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2018DA" w14:textId="77777777" w:rsidR="00311233" w:rsidRPr="003B10E2" w:rsidRDefault="00311233" w:rsidP="00311233">
      <w:pPr>
        <w:widowControl w:val="0"/>
        <w:spacing w:after="0" w:line="240" w:lineRule="auto"/>
        <w:jc w:val="center"/>
        <w:rPr>
          <w:rFonts w:ascii="Times New Roman" w:eastAsia="Times New Roman" w:hAnsi="Times New Roman"/>
          <w:color w:val="000000"/>
          <w:sz w:val="28"/>
        </w:rPr>
      </w:pPr>
      <w:r w:rsidRPr="003B10E2">
        <w:rPr>
          <w:rFonts w:ascii="Times New Roman" w:eastAsia="Times New Roman" w:hAnsi="Times New Roman"/>
          <w:color w:val="000000"/>
          <w:sz w:val="28"/>
        </w:rPr>
        <w:t xml:space="preserve">Федеральное Государственное Автономное Учреждение Науки </w:t>
      </w:r>
    </w:p>
    <w:p w14:paraId="1F6638B1" w14:textId="77777777" w:rsidR="00671B66" w:rsidRPr="003B10E2" w:rsidRDefault="00311233" w:rsidP="00311233">
      <w:pPr>
        <w:widowControl w:val="0"/>
        <w:spacing w:after="0" w:line="240" w:lineRule="auto"/>
        <w:jc w:val="center"/>
        <w:rPr>
          <w:rFonts w:ascii="Times New Roman" w:eastAsia="Times New Roman" w:hAnsi="Times New Roman"/>
          <w:b/>
          <w:bCs/>
          <w:color w:val="000000"/>
          <w:sz w:val="28"/>
          <w:szCs w:val="28"/>
          <w:lang w:eastAsia="ar-SA"/>
        </w:rPr>
      </w:pPr>
      <w:r w:rsidRPr="003B10E2">
        <w:rPr>
          <w:rFonts w:ascii="Times New Roman" w:eastAsia="Times New Roman" w:hAnsi="Times New Roman"/>
          <w:color w:val="000000"/>
          <w:sz w:val="28"/>
        </w:rPr>
        <w:t>"Институт Китая и Современной Азии Российской Академии Наук"</w:t>
      </w:r>
    </w:p>
    <w:p w14:paraId="2F999B72" w14:textId="5C60938A" w:rsidR="00311233" w:rsidRPr="003B10E2" w:rsidRDefault="00311233" w:rsidP="003D29CF">
      <w:pPr>
        <w:widowControl w:val="0"/>
        <w:spacing w:after="0" w:line="240" w:lineRule="auto"/>
        <w:ind w:firstLine="851"/>
        <w:contextualSpacing/>
        <w:jc w:val="right"/>
        <w:rPr>
          <w:rFonts w:ascii="Times New Roman" w:eastAsia="Times New Roman" w:hAnsi="Times New Roman"/>
          <w:i/>
          <w:color w:val="000000"/>
          <w:sz w:val="28"/>
          <w:szCs w:val="28"/>
          <w:lang w:eastAsia="ar-SA"/>
        </w:rPr>
      </w:pPr>
    </w:p>
    <w:p w14:paraId="32ED2048" w14:textId="1240CEFE" w:rsidR="00311233" w:rsidRPr="003B10E2" w:rsidRDefault="00311233" w:rsidP="003D29CF">
      <w:pPr>
        <w:widowControl w:val="0"/>
        <w:spacing w:after="0" w:line="240" w:lineRule="auto"/>
        <w:ind w:firstLine="851"/>
        <w:contextualSpacing/>
        <w:jc w:val="right"/>
        <w:rPr>
          <w:rFonts w:ascii="Times New Roman" w:eastAsia="Times New Roman" w:hAnsi="Times New Roman"/>
          <w:i/>
          <w:color w:val="000000"/>
          <w:sz w:val="28"/>
          <w:szCs w:val="28"/>
          <w:lang w:eastAsia="ar-SA"/>
        </w:rPr>
      </w:pPr>
    </w:p>
    <w:p w14:paraId="4DFC4904" w14:textId="0008EAEE" w:rsidR="00671B66" w:rsidRPr="003B10E2" w:rsidRDefault="003E48C5" w:rsidP="003D29CF">
      <w:pPr>
        <w:widowControl w:val="0"/>
        <w:spacing w:after="0" w:line="240" w:lineRule="auto"/>
        <w:ind w:firstLine="851"/>
        <w:contextualSpacing/>
        <w:jc w:val="right"/>
        <w:rPr>
          <w:rFonts w:ascii="Times New Roman" w:eastAsia="Times New Roman" w:hAnsi="Times New Roman"/>
          <w:i/>
          <w:color w:val="000000"/>
          <w:sz w:val="28"/>
          <w:szCs w:val="28"/>
          <w:lang w:eastAsia="ar-SA"/>
        </w:rPr>
      </w:pPr>
      <w:r>
        <w:rPr>
          <w:rFonts w:ascii="Times New Roman" w:eastAsia="Times New Roman" w:hAnsi="Times New Roman"/>
          <w:noProof/>
          <w:color w:val="000000"/>
          <w:sz w:val="28"/>
          <w:szCs w:val="28"/>
          <w:lang w:eastAsia="ar-SA"/>
        </w:rPr>
        <w:drawing>
          <wp:anchor distT="0" distB="0" distL="114300" distR="114300" simplePos="0" relativeHeight="251659264" behindDoc="0" locked="0" layoutInCell="1" allowOverlap="1" wp14:anchorId="4E16B70F" wp14:editId="7D2E181A">
            <wp:simplePos x="0" y="0"/>
            <wp:positionH relativeFrom="column">
              <wp:posOffset>5278063</wp:posOffset>
            </wp:positionH>
            <wp:positionV relativeFrom="paragraph">
              <wp:posOffset>283845</wp:posOffset>
            </wp:positionV>
            <wp:extent cx="816610" cy="243205"/>
            <wp:effectExtent l="0" t="0" r="2540" b="4445"/>
            <wp:wrapTopAndBottom/>
            <wp:docPr id="68707396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073964" name="Рисунок 687073964"/>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6610" cy="243205"/>
                    </a:xfrm>
                    <a:prstGeom prst="rect">
                      <a:avLst/>
                    </a:prstGeom>
                  </pic:spPr>
                </pic:pic>
              </a:graphicData>
            </a:graphic>
            <wp14:sizeRelH relativeFrom="margin">
              <wp14:pctWidth>0</wp14:pctWidth>
            </wp14:sizeRelH>
            <wp14:sizeRelV relativeFrom="margin">
              <wp14:pctHeight>0</wp14:pctHeight>
            </wp14:sizeRelV>
          </wp:anchor>
        </w:drawing>
      </w:r>
      <w:r w:rsidR="00671B66" w:rsidRPr="003B10E2">
        <w:rPr>
          <w:rFonts w:ascii="Times New Roman" w:eastAsia="Times New Roman" w:hAnsi="Times New Roman"/>
          <w:i/>
          <w:color w:val="000000"/>
          <w:sz w:val="28"/>
          <w:szCs w:val="28"/>
          <w:lang w:eastAsia="ar-SA"/>
        </w:rPr>
        <w:t>На правах рукописи</w:t>
      </w:r>
    </w:p>
    <w:p w14:paraId="6289F6A4" w14:textId="08609C1C" w:rsidR="00671B66" w:rsidRPr="003B10E2" w:rsidRDefault="00671B66" w:rsidP="003D29CF">
      <w:pPr>
        <w:widowControl w:val="0"/>
        <w:spacing w:after="0" w:line="240" w:lineRule="auto"/>
        <w:ind w:firstLine="851"/>
        <w:contextualSpacing/>
        <w:jc w:val="right"/>
        <w:rPr>
          <w:rFonts w:ascii="Times New Roman" w:eastAsia="Times New Roman" w:hAnsi="Times New Roman"/>
          <w:bCs/>
          <w:color w:val="000000"/>
          <w:sz w:val="28"/>
          <w:szCs w:val="28"/>
          <w:lang w:eastAsia="ar-SA"/>
        </w:rPr>
      </w:pPr>
      <w:r w:rsidRPr="003B10E2">
        <w:rPr>
          <w:rFonts w:ascii="Times New Roman" w:eastAsia="Times New Roman" w:hAnsi="Times New Roman"/>
          <w:bCs/>
          <w:color w:val="000000"/>
          <w:sz w:val="28"/>
          <w:szCs w:val="28"/>
          <w:lang w:eastAsia="ar-SA"/>
        </w:rPr>
        <w:t>ББК: 65.</w:t>
      </w:r>
      <w:r w:rsidR="00804CC5" w:rsidRPr="003B10E2">
        <w:rPr>
          <w:rFonts w:ascii="Times New Roman" w:eastAsia="Times New Roman" w:hAnsi="Times New Roman"/>
          <w:bCs/>
          <w:color w:val="000000"/>
          <w:sz w:val="28"/>
          <w:szCs w:val="28"/>
          <w:lang w:eastAsia="ar-SA"/>
        </w:rPr>
        <w:t>59</w:t>
      </w:r>
    </w:p>
    <w:p w14:paraId="61C7E9C3" w14:textId="0FAD09C6" w:rsidR="00671B66" w:rsidRPr="003B10E2" w:rsidRDefault="00671B66" w:rsidP="003D29CF">
      <w:pPr>
        <w:widowControl w:val="0"/>
        <w:spacing w:after="0" w:line="240" w:lineRule="auto"/>
        <w:ind w:firstLine="851"/>
        <w:contextualSpacing/>
        <w:jc w:val="right"/>
        <w:rPr>
          <w:rFonts w:ascii="Times New Roman" w:eastAsia="Times New Roman" w:hAnsi="Times New Roman"/>
          <w:bCs/>
          <w:color w:val="000000"/>
          <w:sz w:val="28"/>
          <w:szCs w:val="28"/>
          <w:lang w:eastAsia="ar-SA"/>
        </w:rPr>
      </w:pPr>
      <w:r w:rsidRPr="003B10E2">
        <w:rPr>
          <w:rFonts w:ascii="Times New Roman" w:eastAsia="Times New Roman" w:hAnsi="Times New Roman"/>
          <w:bCs/>
          <w:color w:val="000000"/>
          <w:sz w:val="28"/>
          <w:szCs w:val="28"/>
          <w:lang w:eastAsia="ar-SA"/>
        </w:rPr>
        <w:t>М69</w:t>
      </w:r>
    </w:p>
    <w:p w14:paraId="4D5FC52A" w14:textId="63425681" w:rsidR="00671B66" w:rsidRPr="003B10E2" w:rsidRDefault="00671B66" w:rsidP="00FC5FA5">
      <w:pPr>
        <w:widowControl w:val="0"/>
        <w:spacing w:after="195" w:line="360" w:lineRule="auto"/>
        <w:rPr>
          <w:rFonts w:ascii="Times New Roman" w:eastAsia="Times New Roman" w:hAnsi="Times New Roman"/>
          <w:b/>
          <w:bCs/>
          <w:color w:val="000000"/>
          <w:sz w:val="28"/>
          <w:szCs w:val="28"/>
          <w:lang w:eastAsia="ar-SA"/>
        </w:rPr>
      </w:pPr>
    </w:p>
    <w:p w14:paraId="6E1BC89A" w14:textId="77777777" w:rsidR="003D29CF" w:rsidRPr="003B10E2" w:rsidRDefault="00671B66" w:rsidP="003D29CF">
      <w:pPr>
        <w:widowControl w:val="0"/>
        <w:spacing w:after="195" w:line="360" w:lineRule="auto"/>
        <w:jc w:val="center"/>
        <w:rPr>
          <w:rFonts w:ascii="Times New Roman" w:eastAsia="Times New Roman" w:hAnsi="Times New Roman"/>
          <w:bCs/>
          <w:color w:val="000000"/>
          <w:sz w:val="28"/>
          <w:szCs w:val="28"/>
          <w:lang w:eastAsia="ar-SA"/>
        </w:rPr>
      </w:pPr>
      <w:r w:rsidRPr="003B10E2">
        <w:rPr>
          <w:rFonts w:ascii="Times New Roman" w:eastAsia="Times New Roman" w:hAnsi="Times New Roman"/>
          <w:bCs/>
          <w:color w:val="000000"/>
          <w:sz w:val="28"/>
          <w:szCs w:val="28"/>
          <w:lang w:eastAsia="ar-SA"/>
        </w:rPr>
        <w:t>Михайлов Алексей Юрьевич</w:t>
      </w:r>
    </w:p>
    <w:p w14:paraId="3AEBAED0" w14:textId="04D14673" w:rsidR="003D29CF" w:rsidRPr="003B10E2" w:rsidRDefault="003D29CF" w:rsidP="003D29CF">
      <w:pPr>
        <w:widowControl w:val="0"/>
        <w:spacing w:after="195" w:line="360" w:lineRule="auto"/>
        <w:jc w:val="center"/>
        <w:rPr>
          <w:rFonts w:ascii="Times New Roman" w:eastAsia="Times New Roman" w:hAnsi="Times New Roman"/>
          <w:bCs/>
          <w:color w:val="000000"/>
          <w:sz w:val="28"/>
          <w:szCs w:val="28"/>
          <w:lang w:eastAsia="ar-SA"/>
        </w:rPr>
      </w:pPr>
    </w:p>
    <w:p w14:paraId="7E9E2691" w14:textId="6FD44433" w:rsidR="00885330" w:rsidRPr="003B10E2" w:rsidRDefault="00885330" w:rsidP="00671B66">
      <w:pPr>
        <w:keepNext/>
        <w:widowControl w:val="0"/>
        <w:tabs>
          <w:tab w:val="left" w:pos="180"/>
        </w:tabs>
        <w:spacing w:before="240" w:after="120" w:line="360" w:lineRule="auto"/>
        <w:jc w:val="center"/>
        <w:rPr>
          <w:rFonts w:ascii="Times New Roman" w:eastAsia="Times New Roman" w:hAnsi="Times New Roman"/>
          <w:bCs/>
          <w:color w:val="000000"/>
          <w:sz w:val="44"/>
          <w:szCs w:val="44"/>
          <w:lang w:eastAsia="ar-SA"/>
        </w:rPr>
      </w:pPr>
      <w:r w:rsidRPr="003B10E2">
        <w:rPr>
          <w:rFonts w:ascii="Times New Roman" w:eastAsia="Times New Roman" w:hAnsi="Times New Roman"/>
          <w:bCs/>
          <w:color w:val="000000"/>
          <w:sz w:val="44"/>
          <w:szCs w:val="44"/>
          <w:lang w:eastAsia="ar-SA"/>
        </w:rPr>
        <w:t xml:space="preserve">МИРОВОЙ РЫНОК КАПИТАЛА: СТРУКТУРНЫЕ ИЗМЕНЕНИЯ И ИНВЕСТИЦИОННЫЕ СТРАТЕГИИ НА РЫНКАХ РОССИИ И КИТАЯ </w:t>
      </w:r>
    </w:p>
    <w:p w14:paraId="143A940C" w14:textId="200A7C28" w:rsidR="00671B66" w:rsidRPr="003B10E2" w:rsidRDefault="00671B66" w:rsidP="00671B66">
      <w:pPr>
        <w:keepNext/>
        <w:widowControl w:val="0"/>
        <w:tabs>
          <w:tab w:val="left" w:pos="180"/>
        </w:tabs>
        <w:spacing w:before="240" w:after="120" w:line="360" w:lineRule="auto"/>
        <w:jc w:val="center"/>
        <w:rPr>
          <w:rFonts w:ascii="Times New Roman" w:eastAsia="Times New Roman" w:hAnsi="Times New Roman"/>
          <w:color w:val="000000"/>
          <w:sz w:val="28"/>
          <w:szCs w:val="28"/>
          <w:lang w:eastAsia="ar-SA"/>
        </w:rPr>
      </w:pPr>
      <w:r w:rsidRPr="003B10E2">
        <w:rPr>
          <w:rFonts w:ascii="Times New Roman" w:eastAsia="Times New Roman" w:hAnsi="Times New Roman"/>
          <w:color w:val="000000"/>
          <w:sz w:val="28"/>
          <w:szCs w:val="28"/>
          <w:lang w:eastAsia="ar-SA"/>
        </w:rPr>
        <w:t xml:space="preserve">Специальность </w:t>
      </w:r>
      <w:r w:rsidR="005D427A" w:rsidRPr="003B10E2">
        <w:rPr>
          <w:rFonts w:ascii="Times New Roman" w:eastAsia="Times New Roman" w:hAnsi="Times New Roman"/>
          <w:color w:val="000000"/>
          <w:sz w:val="28"/>
          <w:szCs w:val="28"/>
          <w:lang w:eastAsia="ar-SA"/>
        </w:rPr>
        <w:t>5.2.5. «Мировая экономика»</w:t>
      </w:r>
    </w:p>
    <w:p w14:paraId="264E3E24" w14:textId="77777777" w:rsidR="00671B66" w:rsidRPr="003B10E2" w:rsidRDefault="00671B66" w:rsidP="00671B66">
      <w:pPr>
        <w:widowControl w:val="0"/>
        <w:spacing w:after="195" w:line="360" w:lineRule="auto"/>
        <w:ind w:firstLine="851"/>
        <w:jc w:val="center"/>
        <w:rPr>
          <w:rFonts w:ascii="Times New Roman" w:eastAsia="Times New Roman" w:hAnsi="Times New Roman"/>
          <w:color w:val="000000"/>
          <w:sz w:val="28"/>
          <w:szCs w:val="28"/>
          <w:lang w:eastAsia="ar-SA"/>
        </w:rPr>
      </w:pPr>
    </w:p>
    <w:p w14:paraId="22B2C43F" w14:textId="77777777" w:rsidR="00671B66" w:rsidRPr="003B10E2" w:rsidRDefault="00671B66" w:rsidP="003D29CF">
      <w:pPr>
        <w:widowControl w:val="0"/>
        <w:spacing w:after="0" w:line="240" w:lineRule="auto"/>
        <w:contextualSpacing/>
        <w:jc w:val="center"/>
        <w:rPr>
          <w:rFonts w:ascii="Times New Roman" w:eastAsia="Times New Roman" w:hAnsi="Times New Roman"/>
          <w:color w:val="000000"/>
          <w:sz w:val="28"/>
          <w:szCs w:val="28"/>
          <w:lang w:eastAsia="ar-SA"/>
        </w:rPr>
      </w:pPr>
      <w:r w:rsidRPr="003B10E2">
        <w:rPr>
          <w:rFonts w:ascii="Times New Roman" w:eastAsia="Times New Roman" w:hAnsi="Times New Roman"/>
          <w:color w:val="000000"/>
          <w:sz w:val="28"/>
          <w:szCs w:val="28"/>
          <w:lang w:eastAsia="ar-SA"/>
        </w:rPr>
        <w:t>ДИССЕРТАЦИЯ</w:t>
      </w:r>
    </w:p>
    <w:p w14:paraId="3F1F5E35" w14:textId="77777777" w:rsidR="00671B66" w:rsidRPr="003B10E2" w:rsidRDefault="00671B66" w:rsidP="003D29CF">
      <w:pPr>
        <w:widowControl w:val="0"/>
        <w:spacing w:after="0" w:line="240" w:lineRule="auto"/>
        <w:contextualSpacing/>
        <w:jc w:val="center"/>
        <w:rPr>
          <w:rFonts w:ascii="Times New Roman" w:eastAsia="Times New Roman" w:hAnsi="Times New Roman"/>
          <w:color w:val="000000"/>
          <w:sz w:val="28"/>
          <w:szCs w:val="28"/>
          <w:lang w:eastAsia="ar-SA"/>
        </w:rPr>
      </w:pPr>
      <w:r w:rsidRPr="003B10E2">
        <w:rPr>
          <w:rFonts w:ascii="Times New Roman" w:eastAsia="Times New Roman" w:hAnsi="Times New Roman"/>
          <w:color w:val="000000"/>
          <w:sz w:val="28"/>
          <w:szCs w:val="28"/>
          <w:lang w:eastAsia="ar-SA"/>
        </w:rPr>
        <w:t>на соискание ученой степени</w:t>
      </w:r>
    </w:p>
    <w:p w14:paraId="316DEF5F" w14:textId="77777777" w:rsidR="00671B66" w:rsidRPr="003B10E2" w:rsidRDefault="00671B66" w:rsidP="003D29CF">
      <w:pPr>
        <w:widowControl w:val="0"/>
        <w:spacing w:after="0" w:line="240" w:lineRule="auto"/>
        <w:contextualSpacing/>
        <w:jc w:val="center"/>
        <w:rPr>
          <w:rFonts w:ascii="Times New Roman" w:eastAsia="Times New Roman" w:hAnsi="Times New Roman"/>
          <w:color w:val="000000"/>
          <w:sz w:val="28"/>
          <w:szCs w:val="28"/>
          <w:lang w:eastAsia="ar-SA"/>
        </w:rPr>
      </w:pPr>
      <w:r w:rsidRPr="003B10E2">
        <w:rPr>
          <w:rFonts w:ascii="Times New Roman" w:eastAsia="Times New Roman" w:hAnsi="Times New Roman"/>
          <w:color w:val="000000"/>
          <w:sz w:val="28"/>
          <w:szCs w:val="28"/>
          <w:lang w:eastAsia="ar-SA"/>
        </w:rPr>
        <w:t>доктора экономических наук</w:t>
      </w:r>
    </w:p>
    <w:p w14:paraId="6184DA5D" w14:textId="77777777" w:rsidR="00671B66" w:rsidRPr="003B10E2" w:rsidRDefault="00671B66" w:rsidP="00671B66">
      <w:pPr>
        <w:widowControl w:val="0"/>
        <w:spacing w:after="0" w:line="360" w:lineRule="auto"/>
        <w:ind w:firstLine="851"/>
        <w:jc w:val="center"/>
        <w:rPr>
          <w:rFonts w:ascii="Times New Roman" w:eastAsia="Times New Roman" w:hAnsi="Times New Roman"/>
          <w:color w:val="000000"/>
          <w:sz w:val="28"/>
          <w:szCs w:val="28"/>
          <w:lang w:eastAsia="ar-SA"/>
        </w:rPr>
      </w:pPr>
    </w:p>
    <w:p w14:paraId="40BA0D3C" w14:textId="77777777" w:rsidR="00671B66" w:rsidRPr="003B10E2" w:rsidRDefault="00671B66" w:rsidP="00671B66">
      <w:pPr>
        <w:widowControl w:val="0"/>
        <w:spacing w:after="0" w:line="360" w:lineRule="auto"/>
        <w:ind w:firstLine="851"/>
        <w:jc w:val="center"/>
        <w:rPr>
          <w:rFonts w:ascii="Times New Roman" w:eastAsia="Times New Roman" w:hAnsi="Times New Roman"/>
          <w:color w:val="000000"/>
          <w:sz w:val="28"/>
          <w:szCs w:val="28"/>
          <w:lang w:eastAsia="ar-SA"/>
        </w:rPr>
      </w:pPr>
    </w:p>
    <w:p w14:paraId="3C9A7C68" w14:textId="77777777" w:rsidR="00671B66" w:rsidRPr="003B10E2" w:rsidRDefault="00671B66" w:rsidP="00671B66">
      <w:pPr>
        <w:widowControl w:val="0"/>
        <w:spacing w:after="0" w:line="360" w:lineRule="auto"/>
        <w:ind w:firstLine="851"/>
        <w:jc w:val="center"/>
        <w:rPr>
          <w:rFonts w:ascii="Times New Roman" w:eastAsia="Times New Roman" w:hAnsi="Times New Roman"/>
          <w:color w:val="000000"/>
          <w:sz w:val="28"/>
          <w:szCs w:val="28"/>
          <w:lang w:eastAsia="ar-SA"/>
        </w:rPr>
      </w:pPr>
    </w:p>
    <w:p w14:paraId="0DA371CF" w14:textId="77777777" w:rsidR="003D29CF" w:rsidRPr="003B10E2" w:rsidRDefault="003D29CF" w:rsidP="00671B66">
      <w:pPr>
        <w:widowControl w:val="0"/>
        <w:spacing w:after="0" w:line="360" w:lineRule="auto"/>
        <w:ind w:firstLine="851"/>
        <w:jc w:val="center"/>
        <w:rPr>
          <w:rFonts w:ascii="Times New Roman" w:eastAsia="Times New Roman" w:hAnsi="Times New Roman"/>
          <w:color w:val="000000"/>
          <w:sz w:val="28"/>
          <w:szCs w:val="28"/>
          <w:lang w:eastAsia="ar-SA"/>
        </w:rPr>
      </w:pPr>
    </w:p>
    <w:p w14:paraId="5251C560" w14:textId="67CA4D3A" w:rsidR="003D29CF" w:rsidRPr="003B10E2" w:rsidRDefault="003D29CF" w:rsidP="00671B66">
      <w:pPr>
        <w:widowControl w:val="0"/>
        <w:spacing w:after="0" w:line="360" w:lineRule="auto"/>
        <w:ind w:firstLine="851"/>
        <w:jc w:val="center"/>
        <w:rPr>
          <w:rFonts w:ascii="Times New Roman" w:eastAsia="Times New Roman" w:hAnsi="Times New Roman"/>
          <w:color w:val="000000"/>
          <w:sz w:val="28"/>
          <w:szCs w:val="28"/>
          <w:lang w:eastAsia="ar-SA"/>
        </w:rPr>
      </w:pPr>
    </w:p>
    <w:p w14:paraId="260DD00A" w14:textId="77777777" w:rsidR="00671B66" w:rsidRPr="003B10E2" w:rsidRDefault="00671B66" w:rsidP="00671B66">
      <w:pPr>
        <w:widowControl w:val="0"/>
        <w:spacing w:after="0" w:line="360" w:lineRule="auto"/>
        <w:jc w:val="center"/>
        <w:rPr>
          <w:rFonts w:ascii="Times New Roman" w:eastAsia="Times New Roman" w:hAnsi="Times New Roman"/>
          <w:color w:val="000000"/>
          <w:sz w:val="28"/>
          <w:szCs w:val="28"/>
          <w:lang w:eastAsia="ar-SA"/>
        </w:rPr>
      </w:pPr>
    </w:p>
    <w:p w14:paraId="7AF2D324" w14:textId="77777777" w:rsidR="009A162B" w:rsidRPr="003B10E2" w:rsidRDefault="009A162B" w:rsidP="00442C9C">
      <w:pPr>
        <w:widowControl w:val="0"/>
        <w:spacing w:after="0" w:line="360" w:lineRule="auto"/>
        <w:jc w:val="center"/>
        <w:rPr>
          <w:rFonts w:ascii="Times New Roman" w:eastAsia="Times New Roman" w:hAnsi="Times New Roman"/>
          <w:color w:val="000000"/>
          <w:sz w:val="28"/>
          <w:szCs w:val="28"/>
          <w:lang w:eastAsia="ar-SA"/>
        </w:rPr>
      </w:pPr>
    </w:p>
    <w:p w14:paraId="509AFF2B" w14:textId="77777777" w:rsidR="006A215F" w:rsidRPr="003B10E2" w:rsidRDefault="00671B66" w:rsidP="00442C9C">
      <w:pPr>
        <w:widowControl w:val="0"/>
        <w:spacing w:after="0" w:line="360" w:lineRule="auto"/>
        <w:jc w:val="center"/>
        <w:rPr>
          <w:color w:val="000000"/>
        </w:rPr>
      </w:pPr>
      <w:r w:rsidRPr="003B10E2">
        <w:rPr>
          <w:rFonts w:ascii="Times New Roman" w:eastAsia="Times New Roman" w:hAnsi="Times New Roman"/>
          <w:color w:val="000000"/>
          <w:sz w:val="28"/>
          <w:szCs w:val="28"/>
          <w:lang w:eastAsia="ar-SA"/>
        </w:rPr>
        <w:t>Москва – 202</w:t>
      </w:r>
      <w:r w:rsidR="00164D7C">
        <w:rPr>
          <w:rFonts w:ascii="Times New Roman" w:eastAsia="Times New Roman" w:hAnsi="Times New Roman"/>
          <w:color w:val="000000"/>
          <w:sz w:val="28"/>
          <w:szCs w:val="28"/>
          <w:lang w:eastAsia="ar-SA"/>
        </w:rPr>
        <w:t>4</w:t>
      </w:r>
    </w:p>
    <w:p w14:paraId="653BEE75" w14:textId="77777777" w:rsidR="00671B66" w:rsidRPr="003B10E2" w:rsidRDefault="00671B66" w:rsidP="00671B66">
      <w:pPr>
        <w:pStyle w:val="a7"/>
        <w:tabs>
          <w:tab w:val="left" w:pos="7830"/>
        </w:tabs>
        <w:jc w:val="center"/>
        <w:rPr>
          <w:color w:val="000000"/>
          <w:lang w:eastAsia="ar-SA"/>
        </w:rPr>
      </w:pPr>
      <w:r w:rsidRPr="003B10E2">
        <w:rPr>
          <w:color w:val="000000"/>
          <w:lang w:eastAsia="ar-SA"/>
        </w:rPr>
        <w:t>Оглавление</w:t>
      </w:r>
    </w:p>
    <w:p w14:paraId="4737F68A" w14:textId="77777777" w:rsidR="00671B66" w:rsidRPr="003B10E2" w:rsidRDefault="00671B66" w:rsidP="00181929">
      <w:pPr>
        <w:spacing w:after="0" w:line="360" w:lineRule="auto"/>
        <w:contextualSpacing/>
        <w:jc w:val="both"/>
        <w:rPr>
          <w:rFonts w:ascii="Times New Roman" w:hAnsi="Times New Roman"/>
          <w:sz w:val="28"/>
          <w:szCs w:val="28"/>
        </w:rPr>
      </w:pPr>
    </w:p>
    <w:p w14:paraId="48F9E586" w14:textId="77777777" w:rsidR="00181929" w:rsidRPr="003B10E2" w:rsidRDefault="00181929" w:rsidP="00181929">
      <w:pPr>
        <w:spacing w:after="0" w:line="360" w:lineRule="auto"/>
        <w:contextualSpacing/>
        <w:jc w:val="both"/>
        <w:rPr>
          <w:rFonts w:ascii="Times New Roman" w:hAnsi="Times New Roman"/>
          <w:sz w:val="28"/>
          <w:szCs w:val="28"/>
        </w:rPr>
      </w:pPr>
      <w:r w:rsidRPr="003B10E2">
        <w:rPr>
          <w:rFonts w:ascii="Times New Roman" w:hAnsi="Times New Roman"/>
          <w:sz w:val="28"/>
          <w:szCs w:val="28"/>
        </w:rPr>
        <w:t>Введение</w:t>
      </w:r>
      <w:r w:rsidRPr="003B10E2">
        <w:rPr>
          <w:rFonts w:ascii="Times New Roman" w:hAnsi="Times New Roman"/>
          <w:sz w:val="28"/>
          <w:szCs w:val="28"/>
        </w:rPr>
        <w:tab/>
        <w:t xml:space="preserve">                                                                                        </w:t>
      </w:r>
      <w:r w:rsidRPr="003B10E2">
        <w:rPr>
          <w:rFonts w:ascii="Times New Roman" w:hAnsi="Times New Roman"/>
          <w:sz w:val="28"/>
          <w:szCs w:val="28"/>
        </w:rPr>
        <w:tab/>
        <w:t xml:space="preserve">           </w:t>
      </w:r>
      <w:r w:rsidR="00470CA4" w:rsidRPr="003B10E2">
        <w:rPr>
          <w:rFonts w:ascii="Times New Roman" w:hAnsi="Times New Roman"/>
          <w:sz w:val="28"/>
          <w:szCs w:val="28"/>
        </w:rPr>
        <w:t>4</w:t>
      </w:r>
    </w:p>
    <w:p w14:paraId="35E713E8" w14:textId="77777777" w:rsidR="00181929" w:rsidRPr="003B10E2" w:rsidRDefault="00181929" w:rsidP="00181929">
      <w:pPr>
        <w:spacing w:after="0" w:line="360" w:lineRule="auto"/>
        <w:contextualSpacing/>
        <w:jc w:val="both"/>
        <w:rPr>
          <w:rFonts w:ascii="Times New Roman" w:hAnsi="Times New Roman"/>
          <w:sz w:val="28"/>
          <w:szCs w:val="28"/>
        </w:rPr>
      </w:pPr>
      <w:r w:rsidRPr="003B10E2">
        <w:rPr>
          <w:rFonts w:ascii="Times New Roman" w:hAnsi="Times New Roman"/>
          <w:sz w:val="28"/>
          <w:szCs w:val="28"/>
        </w:rPr>
        <w:t>Глава 1 Теоретические основы исследования структурных изменений мирового рынка капитала и инвестиционных стратегий</w:t>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t>1</w:t>
      </w:r>
      <w:r w:rsidR="00470CA4" w:rsidRPr="003B10E2">
        <w:rPr>
          <w:rFonts w:ascii="Times New Roman" w:hAnsi="Times New Roman"/>
          <w:sz w:val="28"/>
          <w:szCs w:val="28"/>
        </w:rPr>
        <w:t>4</w:t>
      </w:r>
    </w:p>
    <w:p w14:paraId="7CF37708" w14:textId="77777777" w:rsidR="00181929" w:rsidRPr="003B10E2" w:rsidRDefault="00181929" w:rsidP="00181929">
      <w:pPr>
        <w:spacing w:after="0" w:line="360" w:lineRule="auto"/>
        <w:contextualSpacing/>
        <w:jc w:val="both"/>
        <w:rPr>
          <w:rFonts w:ascii="Times New Roman" w:hAnsi="Times New Roman"/>
          <w:sz w:val="28"/>
          <w:szCs w:val="28"/>
        </w:rPr>
      </w:pPr>
      <w:r w:rsidRPr="003B10E2">
        <w:rPr>
          <w:rFonts w:ascii="Times New Roman" w:hAnsi="Times New Roman"/>
          <w:sz w:val="28"/>
          <w:szCs w:val="28"/>
        </w:rPr>
        <w:t>1.1. Содержание структуры мирового рынка капитала, структурных изменений и связь с инвестиционным поведением</w:t>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t>1</w:t>
      </w:r>
      <w:r w:rsidR="00470CA4" w:rsidRPr="003B10E2">
        <w:rPr>
          <w:rFonts w:ascii="Times New Roman" w:hAnsi="Times New Roman"/>
          <w:sz w:val="28"/>
          <w:szCs w:val="28"/>
        </w:rPr>
        <w:t>4</w:t>
      </w:r>
    </w:p>
    <w:p w14:paraId="232A6040" w14:textId="77777777" w:rsidR="00181929" w:rsidRPr="003B10E2" w:rsidRDefault="00181929" w:rsidP="00181929">
      <w:pPr>
        <w:spacing w:after="0" w:line="360" w:lineRule="auto"/>
        <w:contextualSpacing/>
        <w:jc w:val="both"/>
        <w:rPr>
          <w:rFonts w:ascii="Times New Roman" w:hAnsi="Times New Roman"/>
          <w:sz w:val="28"/>
          <w:szCs w:val="28"/>
        </w:rPr>
      </w:pPr>
      <w:r w:rsidRPr="003B10E2">
        <w:rPr>
          <w:rFonts w:ascii="Times New Roman" w:hAnsi="Times New Roman"/>
          <w:sz w:val="28"/>
          <w:szCs w:val="28"/>
        </w:rPr>
        <w:t>1.2. Теоретические основы исследования инвестиционного поведения</w:t>
      </w:r>
      <w:r w:rsidRPr="003B10E2">
        <w:rPr>
          <w:rFonts w:ascii="Times New Roman" w:hAnsi="Times New Roman"/>
          <w:sz w:val="28"/>
          <w:szCs w:val="28"/>
        </w:rPr>
        <w:tab/>
        <w:t>2</w:t>
      </w:r>
      <w:r w:rsidR="00470CA4" w:rsidRPr="003B10E2">
        <w:rPr>
          <w:rFonts w:ascii="Times New Roman" w:hAnsi="Times New Roman"/>
          <w:sz w:val="28"/>
          <w:szCs w:val="28"/>
        </w:rPr>
        <w:t>2</w:t>
      </w:r>
    </w:p>
    <w:p w14:paraId="2BBB31EC" w14:textId="77777777" w:rsidR="00181929" w:rsidRPr="003B10E2" w:rsidRDefault="00181929" w:rsidP="00181929">
      <w:pPr>
        <w:spacing w:after="0" w:line="360" w:lineRule="auto"/>
        <w:contextualSpacing/>
        <w:jc w:val="both"/>
        <w:rPr>
          <w:rFonts w:ascii="Times New Roman" w:hAnsi="Times New Roman"/>
          <w:sz w:val="28"/>
          <w:szCs w:val="28"/>
        </w:rPr>
      </w:pPr>
      <w:r w:rsidRPr="003B10E2">
        <w:rPr>
          <w:rFonts w:ascii="Times New Roman" w:hAnsi="Times New Roman"/>
          <w:sz w:val="28"/>
          <w:szCs w:val="28"/>
        </w:rPr>
        <w:t>Глава 2 Трансформация инвестиционных стратегий глобальных институциональных инвесторов</w:t>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t>4</w:t>
      </w:r>
      <w:r w:rsidR="00470CA4" w:rsidRPr="003B10E2">
        <w:rPr>
          <w:rFonts w:ascii="Times New Roman" w:hAnsi="Times New Roman"/>
          <w:sz w:val="28"/>
          <w:szCs w:val="28"/>
        </w:rPr>
        <w:t>5</w:t>
      </w:r>
    </w:p>
    <w:p w14:paraId="4776E6D4" w14:textId="77777777" w:rsidR="00181929" w:rsidRPr="003B10E2" w:rsidRDefault="00181929" w:rsidP="00181929">
      <w:pPr>
        <w:spacing w:after="0" w:line="360" w:lineRule="auto"/>
        <w:contextualSpacing/>
        <w:jc w:val="both"/>
        <w:rPr>
          <w:rFonts w:ascii="Times New Roman" w:hAnsi="Times New Roman"/>
          <w:sz w:val="28"/>
          <w:szCs w:val="28"/>
        </w:rPr>
      </w:pPr>
      <w:r w:rsidRPr="003B10E2">
        <w:rPr>
          <w:rFonts w:ascii="Times New Roman" w:hAnsi="Times New Roman"/>
          <w:sz w:val="28"/>
          <w:szCs w:val="28"/>
        </w:rPr>
        <w:t>2.1. Механизм передачи шоков и трансформация традиционных моделей поведения глобальных институциональных инвесторов</w:t>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t>4</w:t>
      </w:r>
      <w:r w:rsidR="00470CA4" w:rsidRPr="003B10E2">
        <w:rPr>
          <w:rFonts w:ascii="Times New Roman" w:hAnsi="Times New Roman"/>
          <w:sz w:val="28"/>
          <w:szCs w:val="28"/>
        </w:rPr>
        <w:t>5</w:t>
      </w:r>
    </w:p>
    <w:p w14:paraId="3782206B" w14:textId="77777777" w:rsidR="00181929" w:rsidRPr="003B10E2" w:rsidRDefault="00181929" w:rsidP="003B10E2">
      <w:pPr>
        <w:spacing w:after="0" w:line="360" w:lineRule="auto"/>
        <w:contextualSpacing/>
        <w:jc w:val="both"/>
        <w:rPr>
          <w:rFonts w:ascii="Times New Roman" w:hAnsi="Times New Roman"/>
          <w:sz w:val="28"/>
          <w:szCs w:val="28"/>
        </w:rPr>
      </w:pPr>
      <w:r w:rsidRPr="003B10E2">
        <w:rPr>
          <w:rFonts w:ascii="Times New Roman" w:hAnsi="Times New Roman"/>
          <w:sz w:val="28"/>
          <w:szCs w:val="28"/>
        </w:rPr>
        <w:t>2.2. Модели поведения российских инвестиционных фондов в будущем</w:t>
      </w:r>
      <w:r w:rsidR="003B10E2">
        <w:rPr>
          <w:rFonts w:ascii="Times New Roman" w:hAnsi="Times New Roman"/>
          <w:sz w:val="28"/>
          <w:szCs w:val="28"/>
        </w:rPr>
        <w:t xml:space="preserve">                                             </w:t>
      </w:r>
      <w:r w:rsidR="003B10E2">
        <w:rPr>
          <w:rFonts w:ascii="Times New Roman" w:hAnsi="Times New Roman"/>
          <w:sz w:val="28"/>
          <w:szCs w:val="28"/>
        </w:rPr>
        <w:tab/>
      </w:r>
      <w:r w:rsidR="003B10E2">
        <w:rPr>
          <w:rFonts w:ascii="Times New Roman" w:hAnsi="Times New Roman"/>
          <w:sz w:val="28"/>
          <w:szCs w:val="28"/>
        </w:rPr>
        <w:tab/>
      </w:r>
      <w:r w:rsidR="003B10E2">
        <w:rPr>
          <w:rFonts w:ascii="Times New Roman" w:hAnsi="Times New Roman"/>
          <w:sz w:val="28"/>
          <w:szCs w:val="28"/>
        </w:rPr>
        <w:tab/>
      </w:r>
      <w:r w:rsidR="003B10E2">
        <w:rPr>
          <w:rFonts w:ascii="Times New Roman" w:hAnsi="Times New Roman"/>
          <w:sz w:val="28"/>
          <w:szCs w:val="28"/>
        </w:rPr>
        <w:tab/>
      </w:r>
      <w:r w:rsidR="003B10E2">
        <w:rPr>
          <w:rFonts w:ascii="Times New Roman" w:hAnsi="Times New Roman"/>
          <w:sz w:val="28"/>
          <w:szCs w:val="28"/>
        </w:rPr>
        <w:tab/>
      </w:r>
      <w:r w:rsidR="003B10E2">
        <w:rPr>
          <w:rFonts w:ascii="Times New Roman" w:hAnsi="Times New Roman"/>
          <w:sz w:val="28"/>
          <w:szCs w:val="28"/>
        </w:rPr>
        <w:tab/>
      </w:r>
      <w:r w:rsidR="003B10E2">
        <w:rPr>
          <w:rFonts w:ascii="Times New Roman" w:hAnsi="Times New Roman"/>
          <w:sz w:val="28"/>
          <w:szCs w:val="28"/>
        </w:rPr>
        <w:tab/>
      </w:r>
      <w:r w:rsidR="003B10E2">
        <w:rPr>
          <w:rFonts w:ascii="Times New Roman" w:hAnsi="Times New Roman"/>
          <w:sz w:val="28"/>
          <w:szCs w:val="28"/>
        </w:rPr>
        <w:tab/>
      </w:r>
      <w:r w:rsidR="003B10E2">
        <w:rPr>
          <w:rFonts w:ascii="Times New Roman" w:hAnsi="Times New Roman"/>
          <w:sz w:val="28"/>
          <w:szCs w:val="28"/>
        </w:rPr>
        <w:tab/>
      </w:r>
      <w:r w:rsidR="003B10E2">
        <w:rPr>
          <w:rFonts w:ascii="Times New Roman" w:hAnsi="Times New Roman"/>
          <w:sz w:val="28"/>
          <w:szCs w:val="28"/>
        </w:rPr>
        <w:tab/>
      </w:r>
      <w:r w:rsidR="003B10E2">
        <w:rPr>
          <w:rFonts w:ascii="Times New Roman" w:hAnsi="Times New Roman"/>
          <w:sz w:val="28"/>
          <w:szCs w:val="28"/>
        </w:rPr>
        <w:tab/>
      </w:r>
      <w:r w:rsidR="003B10E2">
        <w:rPr>
          <w:rFonts w:ascii="Times New Roman" w:hAnsi="Times New Roman"/>
          <w:sz w:val="28"/>
          <w:szCs w:val="28"/>
        </w:rPr>
        <w:tab/>
        <w:t>74</w:t>
      </w:r>
    </w:p>
    <w:p w14:paraId="162274B4" w14:textId="77777777" w:rsidR="00181929" w:rsidRPr="003B10E2" w:rsidRDefault="00181929" w:rsidP="00181929">
      <w:pPr>
        <w:spacing w:after="0" w:line="360" w:lineRule="auto"/>
        <w:contextualSpacing/>
        <w:jc w:val="both"/>
        <w:rPr>
          <w:rFonts w:ascii="Times New Roman" w:hAnsi="Times New Roman"/>
          <w:sz w:val="28"/>
          <w:szCs w:val="28"/>
        </w:rPr>
      </w:pPr>
      <w:r w:rsidRPr="003B10E2">
        <w:rPr>
          <w:rFonts w:ascii="Times New Roman" w:hAnsi="Times New Roman"/>
          <w:sz w:val="28"/>
          <w:szCs w:val="28"/>
        </w:rPr>
        <w:t>2.3. Прогноз долгосрочных инвестиционных стратегий глобальных институциональных инвесторов с учетом структурных сдвигов</w:t>
      </w:r>
      <w:r w:rsidRPr="003B10E2">
        <w:rPr>
          <w:rFonts w:ascii="Times New Roman" w:hAnsi="Times New Roman"/>
          <w:sz w:val="28"/>
          <w:szCs w:val="28"/>
        </w:rPr>
        <w:tab/>
      </w:r>
      <w:r w:rsidRPr="003B10E2">
        <w:rPr>
          <w:rFonts w:ascii="Times New Roman" w:hAnsi="Times New Roman"/>
          <w:sz w:val="28"/>
          <w:szCs w:val="28"/>
        </w:rPr>
        <w:tab/>
        <w:t>9</w:t>
      </w:r>
      <w:r w:rsidR="00470CA4" w:rsidRPr="003B10E2">
        <w:rPr>
          <w:rFonts w:ascii="Times New Roman" w:hAnsi="Times New Roman"/>
          <w:sz w:val="28"/>
          <w:szCs w:val="28"/>
        </w:rPr>
        <w:t>6</w:t>
      </w:r>
    </w:p>
    <w:p w14:paraId="42E3C9F9" w14:textId="77777777" w:rsidR="00181929" w:rsidRPr="003B10E2" w:rsidRDefault="00181929" w:rsidP="00181929">
      <w:pPr>
        <w:spacing w:after="0" w:line="360" w:lineRule="auto"/>
        <w:contextualSpacing/>
        <w:jc w:val="both"/>
        <w:rPr>
          <w:rFonts w:ascii="Times New Roman" w:hAnsi="Times New Roman"/>
          <w:sz w:val="28"/>
          <w:szCs w:val="28"/>
        </w:rPr>
      </w:pPr>
      <w:r w:rsidRPr="003B10E2">
        <w:rPr>
          <w:rFonts w:ascii="Times New Roman" w:hAnsi="Times New Roman"/>
          <w:sz w:val="28"/>
          <w:szCs w:val="28"/>
        </w:rPr>
        <w:t xml:space="preserve">Глава 3 Современные тренды в структуре рынка капитала </w:t>
      </w:r>
      <w:r w:rsidR="003B10E2">
        <w:rPr>
          <w:rFonts w:ascii="Times New Roman" w:hAnsi="Times New Roman"/>
          <w:sz w:val="28"/>
          <w:szCs w:val="28"/>
        </w:rPr>
        <w:t>Р</w:t>
      </w:r>
      <w:r w:rsidRPr="003B10E2">
        <w:rPr>
          <w:rFonts w:ascii="Times New Roman" w:hAnsi="Times New Roman"/>
          <w:sz w:val="28"/>
          <w:szCs w:val="28"/>
        </w:rPr>
        <w:t xml:space="preserve">оссии и </w:t>
      </w:r>
      <w:r w:rsidR="003B10E2">
        <w:rPr>
          <w:rFonts w:ascii="Times New Roman" w:hAnsi="Times New Roman"/>
          <w:sz w:val="28"/>
          <w:szCs w:val="28"/>
        </w:rPr>
        <w:t>К</w:t>
      </w:r>
      <w:r w:rsidRPr="003B10E2">
        <w:rPr>
          <w:rFonts w:ascii="Times New Roman" w:hAnsi="Times New Roman"/>
          <w:sz w:val="28"/>
          <w:szCs w:val="28"/>
        </w:rPr>
        <w:t>итая: 2009 – 2025 гг.</w:t>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t>12</w:t>
      </w:r>
      <w:r w:rsidR="00470CA4" w:rsidRPr="003B10E2">
        <w:rPr>
          <w:rFonts w:ascii="Times New Roman" w:hAnsi="Times New Roman"/>
          <w:sz w:val="28"/>
          <w:szCs w:val="28"/>
        </w:rPr>
        <w:t>8</w:t>
      </w:r>
    </w:p>
    <w:p w14:paraId="37C83238" w14:textId="77777777" w:rsidR="00181929" w:rsidRPr="003B10E2" w:rsidRDefault="00181929" w:rsidP="00181929">
      <w:pPr>
        <w:spacing w:after="0" w:line="360" w:lineRule="auto"/>
        <w:contextualSpacing/>
        <w:jc w:val="both"/>
        <w:rPr>
          <w:rFonts w:ascii="Times New Roman" w:hAnsi="Times New Roman"/>
          <w:sz w:val="28"/>
          <w:szCs w:val="28"/>
        </w:rPr>
      </w:pPr>
      <w:r w:rsidRPr="003B10E2">
        <w:rPr>
          <w:rFonts w:ascii="Times New Roman" w:hAnsi="Times New Roman"/>
          <w:sz w:val="28"/>
          <w:szCs w:val="28"/>
        </w:rPr>
        <w:t>3.1. Структурные изменения на рынке акций на фоне внешних шоков</w:t>
      </w:r>
      <w:r w:rsidRPr="003B10E2">
        <w:rPr>
          <w:rFonts w:ascii="Times New Roman" w:hAnsi="Times New Roman"/>
          <w:sz w:val="28"/>
          <w:szCs w:val="28"/>
        </w:rPr>
        <w:tab/>
        <w:t>12</w:t>
      </w:r>
      <w:r w:rsidR="00470CA4" w:rsidRPr="003B10E2">
        <w:rPr>
          <w:rFonts w:ascii="Times New Roman" w:hAnsi="Times New Roman"/>
          <w:sz w:val="28"/>
          <w:szCs w:val="28"/>
        </w:rPr>
        <w:t>8</w:t>
      </w:r>
    </w:p>
    <w:p w14:paraId="163B633E" w14:textId="77777777" w:rsidR="00181929" w:rsidRPr="003B10E2" w:rsidRDefault="00181929" w:rsidP="00181929">
      <w:pPr>
        <w:spacing w:after="0" w:line="360" w:lineRule="auto"/>
        <w:contextualSpacing/>
        <w:jc w:val="both"/>
        <w:rPr>
          <w:rFonts w:ascii="Times New Roman" w:hAnsi="Times New Roman"/>
          <w:sz w:val="28"/>
          <w:szCs w:val="28"/>
        </w:rPr>
      </w:pPr>
      <w:r w:rsidRPr="003B10E2">
        <w:rPr>
          <w:rFonts w:ascii="Times New Roman" w:hAnsi="Times New Roman"/>
          <w:sz w:val="28"/>
          <w:szCs w:val="28"/>
        </w:rPr>
        <w:t>3.2. Посткризисные сдвиги на рынке облигаций</w:t>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t>15</w:t>
      </w:r>
      <w:r w:rsidR="00470CA4" w:rsidRPr="003B10E2">
        <w:rPr>
          <w:rFonts w:ascii="Times New Roman" w:hAnsi="Times New Roman"/>
          <w:sz w:val="28"/>
          <w:szCs w:val="28"/>
        </w:rPr>
        <w:t>2</w:t>
      </w:r>
    </w:p>
    <w:p w14:paraId="7F5AED47" w14:textId="77777777" w:rsidR="00DF25DE" w:rsidRPr="003B10E2" w:rsidRDefault="00181929" w:rsidP="00181929">
      <w:pPr>
        <w:spacing w:after="0" w:line="360" w:lineRule="auto"/>
        <w:contextualSpacing/>
        <w:jc w:val="both"/>
        <w:rPr>
          <w:rFonts w:ascii="Times New Roman" w:hAnsi="Times New Roman"/>
          <w:sz w:val="28"/>
          <w:szCs w:val="28"/>
        </w:rPr>
      </w:pPr>
      <w:r w:rsidRPr="003B10E2">
        <w:rPr>
          <w:rFonts w:ascii="Times New Roman" w:hAnsi="Times New Roman"/>
          <w:sz w:val="28"/>
          <w:szCs w:val="28"/>
        </w:rPr>
        <w:t>3.3. Цены на сырье, состояние экономики и валютный курс как факторы, воздействующие на поведение инвесторов, вызывающее структурные изменения на рынке капиталов</w:t>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t>17</w:t>
      </w:r>
      <w:r w:rsidR="00470CA4" w:rsidRPr="003B10E2">
        <w:rPr>
          <w:rFonts w:ascii="Times New Roman" w:hAnsi="Times New Roman"/>
          <w:sz w:val="28"/>
          <w:szCs w:val="28"/>
        </w:rPr>
        <w:t>2</w:t>
      </w:r>
      <w:r w:rsidR="00671B66" w:rsidRPr="003B10E2">
        <w:rPr>
          <w:rFonts w:ascii="Times New Roman" w:hAnsi="Times New Roman"/>
          <w:sz w:val="28"/>
          <w:szCs w:val="28"/>
        </w:rPr>
        <w:fldChar w:fldCharType="begin"/>
      </w:r>
      <w:r w:rsidR="00671B66" w:rsidRPr="003B10E2">
        <w:rPr>
          <w:rFonts w:ascii="Times New Roman" w:hAnsi="Times New Roman"/>
          <w:webHidden/>
          <w:sz w:val="28"/>
          <w:szCs w:val="28"/>
        </w:rPr>
        <w:instrText xml:space="preserve"> TOC \z \o "1-3" \u \h</w:instrText>
      </w:r>
      <w:r w:rsidR="00671B66" w:rsidRPr="003B10E2">
        <w:rPr>
          <w:rFonts w:ascii="Times New Roman" w:hAnsi="Times New Roman"/>
          <w:sz w:val="28"/>
          <w:szCs w:val="28"/>
        </w:rPr>
        <w:fldChar w:fldCharType="separate"/>
      </w:r>
    </w:p>
    <w:p w14:paraId="5E4DBFFE" w14:textId="77777777" w:rsidR="00181929" w:rsidRPr="003B10E2" w:rsidRDefault="00671B66" w:rsidP="00181929">
      <w:pPr>
        <w:spacing w:after="0" w:line="360" w:lineRule="auto"/>
        <w:contextualSpacing/>
        <w:jc w:val="both"/>
        <w:rPr>
          <w:rFonts w:ascii="Times New Roman" w:hAnsi="Times New Roman"/>
          <w:sz w:val="28"/>
          <w:szCs w:val="28"/>
        </w:rPr>
      </w:pPr>
      <w:r w:rsidRPr="003B10E2">
        <w:rPr>
          <w:rFonts w:ascii="Times New Roman" w:hAnsi="Times New Roman"/>
          <w:sz w:val="28"/>
          <w:szCs w:val="28"/>
        </w:rPr>
        <w:fldChar w:fldCharType="end"/>
      </w:r>
      <w:r w:rsidR="00181929" w:rsidRPr="003B10E2">
        <w:rPr>
          <w:rFonts w:ascii="Times New Roman" w:hAnsi="Times New Roman"/>
          <w:sz w:val="28"/>
          <w:szCs w:val="28"/>
        </w:rPr>
        <w:t>Глава 4 Трансформация рынка капитала Китая</w:t>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t>18</w:t>
      </w:r>
      <w:r w:rsidR="00FE25A5">
        <w:rPr>
          <w:rFonts w:ascii="Times New Roman" w:hAnsi="Times New Roman"/>
          <w:sz w:val="28"/>
          <w:szCs w:val="28"/>
        </w:rPr>
        <w:t>3</w:t>
      </w:r>
    </w:p>
    <w:p w14:paraId="67CB4F35" w14:textId="77777777" w:rsidR="00181929" w:rsidRPr="003B10E2" w:rsidRDefault="00181929" w:rsidP="00181929">
      <w:pPr>
        <w:spacing w:after="0" w:line="360" w:lineRule="auto"/>
        <w:contextualSpacing/>
        <w:jc w:val="both"/>
        <w:rPr>
          <w:rFonts w:ascii="Times New Roman" w:hAnsi="Times New Roman"/>
          <w:sz w:val="28"/>
          <w:szCs w:val="28"/>
        </w:rPr>
      </w:pPr>
      <w:r w:rsidRPr="003B10E2">
        <w:rPr>
          <w:rFonts w:ascii="Times New Roman" w:hAnsi="Times New Roman"/>
          <w:sz w:val="28"/>
          <w:szCs w:val="28"/>
        </w:rPr>
        <w:t>4.1. Формирование рынка капитала Китая</w:t>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t>18</w:t>
      </w:r>
      <w:r w:rsidR="00FE25A5">
        <w:rPr>
          <w:rFonts w:ascii="Times New Roman" w:hAnsi="Times New Roman"/>
          <w:sz w:val="28"/>
          <w:szCs w:val="28"/>
        </w:rPr>
        <w:t>3</w:t>
      </w:r>
    </w:p>
    <w:p w14:paraId="7DAA9F95" w14:textId="77777777" w:rsidR="00181929" w:rsidRPr="003B10E2" w:rsidRDefault="00181929" w:rsidP="00181929">
      <w:pPr>
        <w:spacing w:after="0" w:line="360" w:lineRule="auto"/>
        <w:contextualSpacing/>
        <w:jc w:val="both"/>
        <w:rPr>
          <w:rFonts w:ascii="Times New Roman" w:hAnsi="Times New Roman"/>
          <w:sz w:val="28"/>
          <w:szCs w:val="28"/>
        </w:rPr>
      </w:pPr>
      <w:r w:rsidRPr="003B10E2">
        <w:rPr>
          <w:rFonts w:ascii="Times New Roman" w:hAnsi="Times New Roman"/>
          <w:sz w:val="28"/>
          <w:szCs w:val="28"/>
        </w:rPr>
        <w:t>4.2. Структурные изменения на рынке облигаций</w:t>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r>
      <w:r w:rsidR="00374CC8">
        <w:rPr>
          <w:rFonts w:ascii="Times New Roman" w:hAnsi="Times New Roman"/>
          <w:sz w:val="28"/>
          <w:szCs w:val="28"/>
        </w:rPr>
        <w:t>195</w:t>
      </w:r>
    </w:p>
    <w:p w14:paraId="15B91696" w14:textId="77777777" w:rsidR="00181929" w:rsidRPr="003B10E2" w:rsidRDefault="00181929" w:rsidP="00181929">
      <w:pPr>
        <w:spacing w:after="0" w:line="360" w:lineRule="auto"/>
        <w:contextualSpacing/>
        <w:jc w:val="both"/>
        <w:rPr>
          <w:rFonts w:ascii="Times New Roman" w:hAnsi="Times New Roman"/>
          <w:sz w:val="28"/>
          <w:szCs w:val="28"/>
        </w:rPr>
      </w:pPr>
      <w:r w:rsidRPr="003B10E2">
        <w:rPr>
          <w:rFonts w:ascii="Times New Roman" w:hAnsi="Times New Roman"/>
          <w:sz w:val="28"/>
          <w:szCs w:val="28"/>
        </w:rPr>
        <w:t>4.3. Трансформация свойств активов на рынке Китая</w:t>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t>2</w:t>
      </w:r>
      <w:r w:rsidR="00374CC8">
        <w:rPr>
          <w:rFonts w:ascii="Times New Roman" w:hAnsi="Times New Roman"/>
          <w:sz w:val="28"/>
          <w:szCs w:val="28"/>
        </w:rPr>
        <w:t>11</w:t>
      </w:r>
    </w:p>
    <w:p w14:paraId="78A42AEA" w14:textId="77777777" w:rsidR="00A22C51" w:rsidRPr="003B10E2" w:rsidRDefault="00A22C51" w:rsidP="00A22C51">
      <w:pPr>
        <w:spacing w:after="0" w:line="360" w:lineRule="auto"/>
        <w:contextualSpacing/>
        <w:jc w:val="both"/>
        <w:rPr>
          <w:rFonts w:ascii="Times New Roman" w:hAnsi="Times New Roman"/>
          <w:sz w:val="28"/>
          <w:szCs w:val="28"/>
        </w:rPr>
      </w:pPr>
      <w:r w:rsidRPr="003B10E2">
        <w:rPr>
          <w:rFonts w:ascii="Times New Roman" w:hAnsi="Times New Roman"/>
          <w:sz w:val="28"/>
          <w:szCs w:val="28"/>
        </w:rPr>
        <w:t>Заключение</w:t>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Pr="003B10E2">
        <w:rPr>
          <w:rFonts w:ascii="Times New Roman" w:hAnsi="Times New Roman"/>
          <w:sz w:val="28"/>
          <w:szCs w:val="28"/>
        </w:rPr>
        <w:t>2</w:t>
      </w:r>
      <w:r w:rsidR="00374CC8">
        <w:rPr>
          <w:rFonts w:ascii="Times New Roman" w:hAnsi="Times New Roman"/>
          <w:sz w:val="28"/>
          <w:szCs w:val="28"/>
        </w:rPr>
        <w:t>28</w:t>
      </w:r>
    </w:p>
    <w:p w14:paraId="4D0F5C93" w14:textId="77777777" w:rsidR="00A22C51" w:rsidRPr="003B10E2" w:rsidRDefault="00A22C51" w:rsidP="00A22C51">
      <w:pPr>
        <w:spacing w:after="0" w:line="360" w:lineRule="auto"/>
        <w:contextualSpacing/>
        <w:jc w:val="both"/>
        <w:rPr>
          <w:rFonts w:ascii="Times New Roman" w:hAnsi="Times New Roman"/>
          <w:sz w:val="28"/>
          <w:szCs w:val="28"/>
        </w:rPr>
      </w:pPr>
      <w:r w:rsidRPr="003B10E2">
        <w:rPr>
          <w:rFonts w:ascii="Times New Roman" w:hAnsi="Times New Roman"/>
          <w:sz w:val="28"/>
          <w:szCs w:val="28"/>
        </w:rPr>
        <w:t>Список литературы</w:t>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Pr="003B10E2">
        <w:rPr>
          <w:rFonts w:ascii="Times New Roman" w:hAnsi="Times New Roman"/>
          <w:sz w:val="28"/>
          <w:szCs w:val="28"/>
        </w:rPr>
        <w:t>2</w:t>
      </w:r>
      <w:r w:rsidR="00374CC8">
        <w:rPr>
          <w:rFonts w:ascii="Times New Roman" w:hAnsi="Times New Roman"/>
          <w:sz w:val="28"/>
          <w:szCs w:val="28"/>
        </w:rPr>
        <w:t>32</w:t>
      </w:r>
    </w:p>
    <w:p w14:paraId="615F601F" w14:textId="77777777" w:rsidR="00A22C51" w:rsidRPr="00015E16" w:rsidRDefault="00A22C51" w:rsidP="00A22C51">
      <w:pPr>
        <w:spacing w:after="0" w:line="360" w:lineRule="auto"/>
        <w:contextualSpacing/>
        <w:jc w:val="both"/>
        <w:rPr>
          <w:rFonts w:ascii="Times New Roman" w:hAnsi="Times New Roman"/>
          <w:sz w:val="28"/>
          <w:szCs w:val="28"/>
        </w:rPr>
      </w:pPr>
      <w:r w:rsidRPr="003B10E2">
        <w:rPr>
          <w:rFonts w:ascii="Times New Roman" w:hAnsi="Times New Roman"/>
          <w:sz w:val="28"/>
          <w:szCs w:val="28"/>
        </w:rPr>
        <w:t>Приложение А</w:t>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CA1706" w:rsidRPr="00CA1706">
        <w:rPr>
          <w:rFonts w:ascii="Times New Roman" w:hAnsi="Times New Roman"/>
          <w:sz w:val="28"/>
          <w:szCs w:val="28"/>
        </w:rPr>
        <w:t>30</w:t>
      </w:r>
      <w:r w:rsidR="00CA1706" w:rsidRPr="00015E16">
        <w:rPr>
          <w:rFonts w:ascii="Times New Roman" w:hAnsi="Times New Roman"/>
          <w:sz w:val="28"/>
          <w:szCs w:val="28"/>
        </w:rPr>
        <w:t>0</w:t>
      </w:r>
    </w:p>
    <w:p w14:paraId="22F7749B" w14:textId="77777777" w:rsidR="003A0BD7" w:rsidRPr="00CA1706" w:rsidRDefault="003A0BD7" w:rsidP="00A22C51">
      <w:pPr>
        <w:spacing w:after="0" w:line="360" w:lineRule="auto"/>
        <w:contextualSpacing/>
        <w:jc w:val="both"/>
        <w:rPr>
          <w:rFonts w:ascii="Times New Roman" w:hAnsi="Times New Roman"/>
          <w:sz w:val="28"/>
          <w:szCs w:val="28"/>
        </w:rPr>
      </w:pPr>
      <w:r w:rsidRPr="003B10E2">
        <w:rPr>
          <w:rFonts w:ascii="Times New Roman" w:hAnsi="Times New Roman"/>
          <w:sz w:val="28"/>
          <w:szCs w:val="28"/>
        </w:rPr>
        <w:t>Приложение Б</w:t>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CA1706" w:rsidRPr="00CA1706">
        <w:rPr>
          <w:rFonts w:ascii="Times New Roman" w:hAnsi="Times New Roman"/>
          <w:sz w:val="28"/>
          <w:szCs w:val="28"/>
        </w:rPr>
        <w:t>303</w:t>
      </w:r>
    </w:p>
    <w:p w14:paraId="0A413501" w14:textId="77777777" w:rsidR="00560D69" w:rsidRPr="00CA1706" w:rsidRDefault="003A0BD7" w:rsidP="00671B66">
      <w:pPr>
        <w:spacing w:after="0" w:line="360" w:lineRule="auto"/>
        <w:contextualSpacing/>
        <w:jc w:val="both"/>
        <w:rPr>
          <w:rFonts w:ascii="Times New Roman" w:hAnsi="Times New Roman"/>
          <w:sz w:val="28"/>
          <w:szCs w:val="28"/>
        </w:rPr>
      </w:pPr>
      <w:bookmarkStart w:id="0" w:name="_Hlk137662768"/>
      <w:r w:rsidRPr="003B10E2">
        <w:rPr>
          <w:rFonts w:ascii="Times New Roman" w:hAnsi="Times New Roman"/>
          <w:sz w:val="28"/>
          <w:szCs w:val="28"/>
        </w:rPr>
        <w:t>Приложение В</w:t>
      </w:r>
      <w:r w:rsidR="00181929" w:rsidRPr="003B10E2">
        <w:rPr>
          <w:rFonts w:ascii="Times New Roman" w:hAnsi="Times New Roman"/>
          <w:sz w:val="28"/>
          <w:szCs w:val="28"/>
        </w:rPr>
        <w:tab/>
        <w:t xml:space="preserve"> </w:t>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CA1706" w:rsidRPr="00CA1706">
        <w:rPr>
          <w:rFonts w:ascii="Times New Roman" w:hAnsi="Times New Roman"/>
          <w:sz w:val="28"/>
          <w:szCs w:val="28"/>
        </w:rPr>
        <w:t>304</w:t>
      </w:r>
    </w:p>
    <w:p w14:paraId="029B20EA" w14:textId="77777777" w:rsidR="00560D69" w:rsidRPr="00CA1706" w:rsidRDefault="00560D69" w:rsidP="00560D69">
      <w:pPr>
        <w:spacing w:after="0" w:line="360" w:lineRule="auto"/>
        <w:contextualSpacing/>
        <w:jc w:val="both"/>
        <w:rPr>
          <w:rFonts w:ascii="Times New Roman" w:hAnsi="Times New Roman"/>
          <w:sz w:val="28"/>
          <w:szCs w:val="28"/>
        </w:rPr>
      </w:pPr>
      <w:r w:rsidRPr="003B10E2">
        <w:rPr>
          <w:rFonts w:ascii="Times New Roman" w:hAnsi="Times New Roman"/>
          <w:sz w:val="28"/>
          <w:szCs w:val="28"/>
        </w:rPr>
        <w:t>Приложение Г</w:t>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CA1706" w:rsidRPr="00CA1706">
        <w:rPr>
          <w:rFonts w:ascii="Times New Roman" w:hAnsi="Times New Roman"/>
          <w:sz w:val="28"/>
          <w:szCs w:val="28"/>
        </w:rPr>
        <w:t>304</w:t>
      </w:r>
    </w:p>
    <w:p w14:paraId="144A514E" w14:textId="77777777" w:rsidR="00560D69" w:rsidRPr="00CA1706" w:rsidRDefault="00560D69" w:rsidP="00560D69">
      <w:pPr>
        <w:spacing w:after="0" w:line="360" w:lineRule="auto"/>
        <w:contextualSpacing/>
        <w:jc w:val="both"/>
        <w:rPr>
          <w:rFonts w:ascii="Times New Roman" w:hAnsi="Times New Roman"/>
          <w:sz w:val="28"/>
          <w:szCs w:val="28"/>
        </w:rPr>
      </w:pPr>
      <w:r w:rsidRPr="003B10E2">
        <w:rPr>
          <w:rFonts w:ascii="Times New Roman" w:hAnsi="Times New Roman"/>
          <w:sz w:val="28"/>
          <w:szCs w:val="28"/>
        </w:rPr>
        <w:t>Приложение Д</w:t>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086C62" w:rsidRPr="00CA1706">
        <w:rPr>
          <w:rFonts w:ascii="Times New Roman" w:hAnsi="Times New Roman"/>
          <w:sz w:val="28"/>
          <w:szCs w:val="28"/>
        </w:rPr>
        <w:t>305</w:t>
      </w:r>
    </w:p>
    <w:bookmarkEnd w:id="0"/>
    <w:p w14:paraId="021DDBD5" w14:textId="77777777" w:rsidR="00671B66" w:rsidRPr="003B10E2" w:rsidRDefault="00671B66" w:rsidP="00671B66">
      <w:pPr>
        <w:spacing w:after="0" w:line="360" w:lineRule="auto"/>
        <w:contextualSpacing/>
        <w:jc w:val="both"/>
        <w:rPr>
          <w:rFonts w:ascii="Times New Roman" w:eastAsia="Times New Roman" w:hAnsi="Times New Roman"/>
          <w:b/>
          <w:bCs/>
          <w:caps/>
          <w:sz w:val="28"/>
          <w:szCs w:val="28"/>
          <w:lang w:eastAsia="en-US"/>
        </w:rPr>
      </w:pPr>
    </w:p>
    <w:p w14:paraId="4E87313A" w14:textId="77777777" w:rsidR="00671B66" w:rsidRPr="003B10E2" w:rsidRDefault="00671B66" w:rsidP="00671B66"/>
    <w:p w14:paraId="3378566A" w14:textId="77777777" w:rsidR="00671B66" w:rsidRPr="003B10E2" w:rsidRDefault="00671B66" w:rsidP="00671B66"/>
    <w:p w14:paraId="2A97F0E8" w14:textId="77777777" w:rsidR="00671B66" w:rsidRPr="003B10E2" w:rsidRDefault="00470CA4" w:rsidP="00FC5FA5">
      <w:pPr>
        <w:pStyle w:val="1"/>
        <w:jc w:val="center"/>
        <w:rPr>
          <w:rFonts w:ascii="Times New Roman" w:hAnsi="Times New Roman"/>
          <w:b/>
          <w:color w:val="000000"/>
          <w:lang w:eastAsia="ar-SA"/>
        </w:rPr>
      </w:pPr>
      <w:r w:rsidRPr="003B10E2">
        <w:rPr>
          <w:rFonts w:ascii="Times New Roman" w:hAnsi="Times New Roman"/>
          <w:b/>
        </w:rPr>
        <w:br w:type="page"/>
      </w:r>
      <w:r w:rsidR="00671B66" w:rsidRPr="003B10E2">
        <w:rPr>
          <w:rFonts w:ascii="Times New Roman" w:hAnsi="Times New Roman"/>
          <w:b/>
        </w:rPr>
        <w:fldChar w:fldCharType="begin"/>
      </w:r>
      <w:r w:rsidR="00671B66" w:rsidRPr="003B10E2">
        <w:rPr>
          <w:rFonts w:ascii="Times New Roman" w:hAnsi="Times New Roman"/>
          <w:b/>
          <w:color w:val="000000"/>
          <w:lang w:eastAsia="ar-SA"/>
        </w:rPr>
        <w:instrText xml:space="preserve"> TC "Содержание" \l 9 </w:instrText>
      </w:r>
      <w:r w:rsidR="00671B66" w:rsidRPr="003B10E2">
        <w:rPr>
          <w:rFonts w:ascii="Times New Roman" w:hAnsi="Times New Roman"/>
          <w:b/>
          <w:color w:val="000000"/>
          <w:lang w:eastAsia="ar-SA"/>
        </w:rPr>
        <w:fldChar w:fldCharType="end"/>
      </w:r>
      <w:bookmarkStart w:id="1" w:name="_Toc497174573"/>
      <w:bookmarkStart w:id="2" w:name="_Toc497174646"/>
      <w:bookmarkStart w:id="3" w:name="_Toc497225942"/>
      <w:bookmarkStart w:id="4" w:name="_Toc497226230"/>
      <w:bookmarkStart w:id="5" w:name="_Toc497226334"/>
      <w:bookmarkStart w:id="6" w:name="_Toc497226901"/>
      <w:bookmarkStart w:id="7" w:name="_Toc497227178"/>
      <w:bookmarkStart w:id="8" w:name="_Toc497237359"/>
      <w:bookmarkStart w:id="9" w:name="_Toc500085705"/>
      <w:bookmarkStart w:id="10" w:name="_Toc502763350"/>
      <w:bookmarkStart w:id="11" w:name="_Toc503179424"/>
      <w:bookmarkStart w:id="12" w:name="_Toc523499789"/>
      <w:bookmarkStart w:id="13" w:name="_Toc530742355"/>
      <w:bookmarkStart w:id="14" w:name="_Toc145164369"/>
      <w:r w:rsidR="00671B66" w:rsidRPr="003B10E2">
        <w:rPr>
          <w:rFonts w:ascii="Times New Roman" w:hAnsi="Times New Roman"/>
          <w:b/>
          <w:color w:val="000000"/>
          <w:lang w:eastAsia="ar-SA"/>
        </w:rPr>
        <w:t>Введение</w:t>
      </w:r>
      <w:bookmarkEnd w:id="1"/>
      <w:bookmarkEnd w:id="2"/>
      <w:bookmarkEnd w:id="3"/>
      <w:bookmarkEnd w:id="4"/>
      <w:bookmarkEnd w:id="5"/>
      <w:bookmarkEnd w:id="6"/>
      <w:bookmarkEnd w:id="7"/>
      <w:bookmarkEnd w:id="8"/>
      <w:bookmarkEnd w:id="9"/>
      <w:bookmarkEnd w:id="10"/>
      <w:bookmarkEnd w:id="11"/>
      <w:bookmarkEnd w:id="12"/>
      <w:bookmarkEnd w:id="13"/>
      <w:bookmarkEnd w:id="14"/>
    </w:p>
    <w:p w14:paraId="2201CA4D" w14:textId="77777777" w:rsidR="00671B66" w:rsidRPr="003B10E2" w:rsidRDefault="00671B66" w:rsidP="00671B66">
      <w:pPr>
        <w:rPr>
          <w:lang w:eastAsia="ar-SA"/>
        </w:rPr>
      </w:pPr>
    </w:p>
    <w:p w14:paraId="39BAB388" w14:textId="77777777" w:rsidR="00671B66" w:rsidRPr="003B10E2" w:rsidRDefault="00671B66" w:rsidP="00FC5FA5">
      <w:pPr>
        <w:spacing w:after="0" w:line="360" w:lineRule="auto"/>
        <w:ind w:firstLine="851"/>
        <w:contextualSpacing/>
        <w:jc w:val="both"/>
        <w:rPr>
          <w:rFonts w:ascii="Times New Roman" w:hAnsi="Times New Roman"/>
          <w:color w:val="000000"/>
          <w:sz w:val="28"/>
          <w:szCs w:val="28"/>
        </w:rPr>
      </w:pPr>
      <w:r w:rsidRPr="003B10E2">
        <w:rPr>
          <w:rFonts w:ascii="Times New Roman" w:eastAsia="Times New Roman" w:hAnsi="Times New Roman"/>
          <w:b/>
          <w:color w:val="000000"/>
          <w:sz w:val="28"/>
          <w:szCs w:val="28"/>
          <w:lang w:eastAsia="ar-SA"/>
        </w:rPr>
        <w:t>Актуальность исследования.</w:t>
      </w:r>
      <w:r w:rsidRPr="003B10E2">
        <w:rPr>
          <w:rFonts w:ascii="Times New Roman" w:eastAsia="Times New Roman" w:hAnsi="Times New Roman"/>
          <w:i/>
          <w:color w:val="000000"/>
          <w:sz w:val="28"/>
          <w:szCs w:val="28"/>
          <w:lang w:eastAsia="ar-SA"/>
        </w:rPr>
        <w:t xml:space="preserve"> </w:t>
      </w:r>
      <w:bookmarkStart w:id="15" w:name="_Hlk138264174"/>
      <w:r w:rsidRPr="003B10E2">
        <w:rPr>
          <w:rFonts w:ascii="Times New Roman" w:eastAsia="Times New Roman" w:hAnsi="Times New Roman"/>
          <w:color w:val="000000"/>
          <w:sz w:val="28"/>
          <w:szCs w:val="28"/>
          <w:lang w:eastAsia="ar-SA"/>
        </w:rPr>
        <w:t xml:space="preserve">На сегодняшний день Россия </w:t>
      </w:r>
      <w:r w:rsidR="00885330" w:rsidRPr="003B10E2">
        <w:rPr>
          <w:rFonts w:ascii="Times New Roman" w:eastAsia="Times New Roman" w:hAnsi="Times New Roman"/>
          <w:color w:val="000000"/>
          <w:sz w:val="28"/>
          <w:szCs w:val="28"/>
          <w:lang w:eastAsia="ar-SA"/>
        </w:rPr>
        <w:t xml:space="preserve">и Китай </w:t>
      </w:r>
      <w:r w:rsidRPr="003B10E2">
        <w:rPr>
          <w:rFonts w:ascii="Times New Roman" w:eastAsia="Times New Roman" w:hAnsi="Times New Roman"/>
          <w:color w:val="000000"/>
          <w:sz w:val="28"/>
          <w:szCs w:val="28"/>
          <w:lang w:eastAsia="ar-SA"/>
        </w:rPr>
        <w:t>относ</w:t>
      </w:r>
      <w:r w:rsidR="00885330" w:rsidRPr="003B10E2">
        <w:rPr>
          <w:rFonts w:ascii="Times New Roman" w:eastAsia="Times New Roman" w:hAnsi="Times New Roman"/>
          <w:color w:val="000000"/>
          <w:sz w:val="28"/>
          <w:szCs w:val="28"/>
          <w:lang w:eastAsia="ar-SA"/>
        </w:rPr>
        <w:t>я</w:t>
      </w:r>
      <w:r w:rsidRPr="003B10E2">
        <w:rPr>
          <w:rFonts w:ascii="Times New Roman" w:eastAsia="Times New Roman" w:hAnsi="Times New Roman"/>
          <w:color w:val="000000"/>
          <w:sz w:val="28"/>
          <w:szCs w:val="28"/>
          <w:lang w:eastAsia="ar-SA"/>
        </w:rPr>
        <w:t>тся к странам с развивающимися рынками. В настоящее время рынок капиталов России</w:t>
      </w:r>
      <w:r w:rsidR="00885330" w:rsidRPr="003B10E2">
        <w:rPr>
          <w:rFonts w:ascii="Times New Roman" w:eastAsia="Times New Roman" w:hAnsi="Times New Roman"/>
          <w:color w:val="000000"/>
          <w:sz w:val="28"/>
          <w:szCs w:val="28"/>
          <w:lang w:eastAsia="ar-SA"/>
        </w:rPr>
        <w:t xml:space="preserve"> (в отличие от рынка Китая)</w:t>
      </w:r>
      <w:r w:rsidRPr="003B10E2">
        <w:rPr>
          <w:rFonts w:ascii="Times New Roman" w:eastAsia="Times New Roman" w:hAnsi="Times New Roman"/>
          <w:color w:val="000000"/>
          <w:sz w:val="28"/>
          <w:szCs w:val="28"/>
          <w:lang w:eastAsia="ar-SA"/>
        </w:rPr>
        <w:t xml:space="preserve"> не выполняет свою основную функцию — привлечение денег инвесторов для финансирования долгосрочных проектов.</w:t>
      </w:r>
      <w:r w:rsidRPr="003B10E2">
        <w:rPr>
          <w:rFonts w:ascii="Times New Roman" w:hAnsi="Times New Roman"/>
          <w:color w:val="000000"/>
          <w:sz w:val="28"/>
          <w:szCs w:val="28"/>
        </w:rPr>
        <w:t xml:space="preserve"> </w:t>
      </w:r>
    </w:p>
    <w:p w14:paraId="4A862DCA" w14:textId="77777777" w:rsidR="00671B66" w:rsidRPr="003B10E2" w:rsidRDefault="00671B66" w:rsidP="00FC5FA5">
      <w:pPr>
        <w:spacing w:after="0" w:line="360" w:lineRule="auto"/>
        <w:ind w:firstLine="851"/>
        <w:contextualSpacing/>
        <w:jc w:val="both"/>
        <w:rPr>
          <w:rFonts w:ascii="Times New Roman" w:hAnsi="Times New Roman"/>
          <w:color w:val="000000"/>
          <w:sz w:val="28"/>
          <w:szCs w:val="28"/>
        </w:rPr>
      </w:pPr>
      <w:r w:rsidRPr="003B10E2">
        <w:rPr>
          <w:rFonts w:ascii="Times New Roman" w:eastAsia="Times New Roman" w:hAnsi="Times New Roman"/>
          <w:color w:val="000000"/>
          <w:sz w:val="28"/>
          <w:szCs w:val="28"/>
          <w:lang w:eastAsia="ar-SA"/>
        </w:rPr>
        <w:t xml:space="preserve">Как показывают исследования данной проблемы применительно к российской </w:t>
      </w:r>
      <w:r w:rsidR="00416142" w:rsidRPr="003B10E2">
        <w:rPr>
          <w:rFonts w:ascii="Times New Roman" w:eastAsia="Times New Roman" w:hAnsi="Times New Roman"/>
          <w:color w:val="000000"/>
          <w:sz w:val="28"/>
          <w:szCs w:val="28"/>
          <w:lang w:eastAsia="ar-SA"/>
        </w:rPr>
        <w:t xml:space="preserve">и китайской </w:t>
      </w:r>
      <w:r w:rsidRPr="003B10E2">
        <w:rPr>
          <w:rFonts w:ascii="Times New Roman" w:eastAsia="Times New Roman" w:hAnsi="Times New Roman"/>
          <w:color w:val="000000"/>
          <w:sz w:val="28"/>
          <w:szCs w:val="28"/>
          <w:lang w:eastAsia="ar-SA"/>
        </w:rPr>
        <w:t xml:space="preserve">действительности, в настоящее время требуется фундаментальное рассмотрение развития традиционного </w:t>
      </w:r>
      <w:r w:rsidR="00416142" w:rsidRPr="003B10E2">
        <w:rPr>
          <w:rFonts w:ascii="Times New Roman" w:eastAsia="Times New Roman" w:hAnsi="Times New Roman"/>
          <w:color w:val="000000"/>
          <w:sz w:val="28"/>
          <w:szCs w:val="28"/>
          <w:lang w:eastAsia="ar-SA"/>
        </w:rPr>
        <w:t>мирового</w:t>
      </w:r>
      <w:r w:rsidRPr="003B10E2">
        <w:rPr>
          <w:rFonts w:ascii="Times New Roman" w:eastAsia="Times New Roman" w:hAnsi="Times New Roman"/>
          <w:color w:val="000000"/>
          <w:sz w:val="28"/>
          <w:szCs w:val="28"/>
          <w:lang w:eastAsia="ar-SA"/>
        </w:rPr>
        <w:t xml:space="preserve"> рынка с учетом внедрения новых финансовых технологий, которые могут изменить финансовый мир до неузнаваемости.</w:t>
      </w:r>
    </w:p>
    <w:p w14:paraId="18977FDE" w14:textId="77777777" w:rsidR="00671B66" w:rsidRPr="003B10E2" w:rsidRDefault="00671B66" w:rsidP="00FC5FA5">
      <w:pPr>
        <w:spacing w:after="0" w:line="360" w:lineRule="auto"/>
        <w:ind w:firstLine="851"/>
        <w:contextualSpacing/>
        <w:jc w:val="both"/>
        <w:rPr>
          <w:rFonts w:ascii="Times New Roman" w:hAnsi="Times New Roman"/>
          <w:color w:val="000000"/>
          <w:sz w:val="28"/>
          <w:szCs w:val="28"/>
        </w:rPr>
      </w:pPr>
      <w:r w:rsidRPr="003B10E2">
        <w:rPr>
          <w:rFonts w:ascii="Times New Roman" w:eastAsia="Times New Roman" w:hAnsi="Times New Roman"/>
          <w:color w:val="000000"/>
          <w:sz w:val="28"/>
          <w:szCs w:val="28"/>
          <w:lang w:eastAsia="ar-SA"/>
        </w:rPr>
        <w:t>Актуальность исс</w:t>
      </w:r>
      <w:r w:rsidR="00F25DF5" w:rsidRPr="003B10E2">
        <w:rPr>
          <w:rFonts w:ascii="Times New Roman" w:eastAsia="Times New Roman" w:hAnsi="Times New Roman"/>
          <w:color w:val="000000"/>
          <w:sz w:val="28"/>
          <w:szCs w:val="28"/>
          <w:lang w:eastAsia="ar-SA"/>
        </w:rPr>
        <w:t>ледования обусловлена переходом</w:t>
      </w:r>
      <w:r w:rsidRPr="003B10E2">
        <w:rPr>
          <w:rFonts w:ascii="Times New Roman" w:eastAsia="Times New Roman" w:hAnsi="Times New Roman"/>
          <w:color w:val="000000"/>
          <w:sz w:val="28"/>
          <w:szCs w:val="28"/>
          <w:lang w:eastAsia="ar-SA"/>
        </w:rPr>
        <w:t xml:space="preserve"> как глобальных рынков капитала, так и российского рынка на новый этап развития после мирового финансового кризиса 2008 года. </w:t>
      </w:r>
      <w:r w:rsidRPr="003B10E2">
        <w:rPr>
          <w:rFonts w:ascii="Times New Roman" w:eastAsia="Times New Roman" w:hAnsi="Times New Roman"/>
          <w:color w:val="000000"/>
          <w:sz w:val="28"/>
          <w:szCs w:val="28"/>
        </w:rPr>
        <w:t>Во-первых, появились принципиально новые тенденции в развитии финансового рынка и новые аспекты поведения инвесторов на рынках. Появились новые финансовые инструменты и рынки криптоактивов, которые еще крайне слабо изучены в отечественной науке. Во-вторых, необходимо учитывать отставание во внедрении российским научным сообществом результатов исследований, разработанных за рубежом.</w:t>
      </w:r>
    </w:p>
    <w:p w14:paraId="07112731" w14:textId="77777777" w:rsidR="00671B66" w:rsidRPr="003B10E2" w:rsidRDefault="00671B66" w:rsidP="00FC5FA5">
      <w:pPr>
        <w:spacing w:after="0" w:line="360" w:lineRule="auto"/>
        <w:ind w:firstLine="851"/>
        <w:contextualSpacing/>
        <w:jc w:val="both"/>
        <w:rPr>
          <w:rFonts w:ascii="Times New Roman" w:eastAsia="Times New Roman" w:hAnsi="Times New Roman"/>
          <w:color w:val="000000"/>
          <w:sz w:val="28"/>
          <w:szCs w:val="28"/>
        </w:rPr>
      </w:pPr>
      <w:bookmarkStart w:id="16" w:name="_Hlk122542415"/>
      <w:bookmarkStart w:id="17" w:name="_Hlk1225424151"/>
      <w:bookmarkEnd w:id="16"/>
      <w:r w:rsidRPr="003B10E2">
        <w:rPr>
          <w:rFonts w:ascii="Times New Roman" w:eastAsia="Times New Roman" w:hAnsi="Times New Roman"/>
          <w:color w:val="000000"/>
          <w:sz w:val="28"/>
          <w:szCs w:val="28"/>
        </w:rPr>
        <w:t>В целях данной работы термин «рынок капитала» подразумевает сочетание рынка акций и рынка облигаций, то есть тех сегментов финансового рынка, где должны обращаться длинные деньги со сроком обращения более года</w:t>
      </w:r>
      <w:bookmarkEnd w:id="17"/>
      <w:r w:rsidR="007C437C">
        <w:rPr>
          <w:rFonts w:ascii="Times New Roman" w:eastAsia="Times New Roman" w:hAnsi="Times New Roman"/>
          <w:color w:val="000000"/>
          <w:sz w:val="28"/>
          <w:szCs w:val="28"/>
        </w:rPr>
        <w:t>.</w:t>
      </w:r>
    </w:p>
    <w:p w14:paraId="3819377A" w14:textId="77777777" w:rsidR="00130CBF" w:rsidRPr="003B10E2" w:rsidRDefault="00130CBF"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Использование монетарных инструментов и развитие менее подверженной санкциям экономической активности за рубежом предлагаются в качестве потенциальных стратегий обеспечения устойчивого роста и привлечения длинных денег в экономику. Также подчеркивается важность стабилизации обменного курса рубля для эффективного и устойчивого перехода к более широкому использованию валюты во внешней торговле.</w:t>
      </w:r>
    </w:p>
    <w:p w14:paraId="3A721165" w14:textId="77777777" w:rsidR="00671B66" w:rsidRPr="003B10E2" w:rsidRDefault="00671B66"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Результатом теоретического анализа финансового рынка должно стать создание моделей, которые позволяли бы прогнозировать дальнейшие тенденции развития отдельных аспектов современно</w:t>
      </w:r>
      <w:r w:rsidR="00F25DF5" w:rsidRPr="003B10E2">
        <w:rPr>
          <w:rFonts w:ascii="Times New Roman" w:eastAsia="Times New Roman" w:hAnsi="Times New Roman"/>
          <w:color w:val="000000"/>
          <w:sz w:val="28"/>
          <w:szCs w:val="28"/>
        </w:rPr>
        <w:t xml:space="preserve">го </w:t>
      </w:r>
      <w:r w:rsidR="005D427A" w:rsidRPr="003B10E2">
        <w:rPr>
          <w:rFonts w:ascii="Times New Roman" w:eastAsia="Times New Roman" w:hAnsi="Times New Roman"/>
          <w:color w:val="000000"/>
          <w:sz w:val="28"/>
          <w:szCs w:val="28"/>
        </w:rPr>
        <w:t>мирового рынка капитала</w:t>
      </w:r>
      <w:r w:rsidR="00F25DF5" w:rsidRPr="003B10E2">
        <w:rPr>
          <w:rFonts w:ascii="Times New Roman" w:eastAsia="Times New Roman" w:hAnsi="Times New Roman"/>
          <w:color w:val="000000"/>
          <w:sz w:val="28"/>
          <w:szCs w:val="28"/>
        </w:rPr>
        <w:t>, таких как</w:t>
      </w:r>
      <w:r w:rsidRPr="003B10E2">
        <w:rPr>
          <w:rFonts w:ascii="Times New Roman" w:eastAsia="Times New Roman" w:hAnsi="Times New Roman"/>
          <w:color w:val="000000"/>
          <w:sz w:val="28"/>
          <w:szCs w:val="28"/>
        </w:rPr>
        <w:t xml:space="preserve"> цена активов, динамика волатильности, соотношение между сбережениями и инвестициями, переток шоков (</w:t>
      </w:r>
      <w:r w:rsidRPr="003B10E2">
        <w:rPr>
          <w:rFonts w:ascii="Times New Roman" w:eastAsia="Times New Roman" w:hAnsi="Times New Roman"/>
          <w:color w:val="000000"/>
          <w:sz w:val="28"/>
          <w:szCs w:val="28"/>
          <w:lang w:val="en-US"/>
        </w:rPr>
        <w:t>spillover</w:t>
      </w:r>
      <w:r w:rsidRPr="003B10E2">
        <w:rPr>
          <w:rFonts w:ascii="Times New Roman" w:eastAsia="Times New Roman" w:hAnsi="Times New Roman"/>
          <w:color w:val="000000"/>
          <w:sz w:val="28"/>
          <w:szCs w:val="28"/>
        </w:rPr>
        <w:t xml:space="preserve"> </w:t>
      </w:r>
      <w:r w:rsidRPr="003B10E2">
        <w:rPr>
          <w:rFonts w:ascii="Times New Roman" w:eastAsia="Times New Roman" w:hAnsi="Times New Roman"/>
          <w:color w:val="000000"/>
          <w:sz w:val="28"/>
          <w:szCs w:val="28"/>
          <w:lang w:val="en-US"/>
        </w:rPr>
        <w:t>effect</w:t>
      </w:r>
      <w:r w:rsidRPr="003B10E2">
        <w:rPr>
          <w:rFonts w:ascii="Times New Roman" w:eastAsia="Times New Roman" w:hAnsi="Times New Roman"/>
          <w:color w:val="000000"/>
          <w:sz w:val="28"/>
          <w:szCs w:val="28"/>
        </w:rPr>
        <w:t xml:space="preserve">). </w:t>
      </w:r>
    </w:p>
    <w:p w14:paraId="451233DF" w14:textId="77777777" w:rsidR="00671B66" w:rsidRPr="003B10E2" w:rsidRDefault="00671B66"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 xml:space="preserve">Таким образом, актуальность исследования </w:t>
      </w:r>
      <w:r w:rsidR="005D427A" w:rsidRPr="003B10E2">
        <w:rPr>
          <w:rFonts w:ascii="Times New Roman" w:eastAsia="Times New Roman" w:hAnsi="Times New Roman"/>
          <w:color w:val="000000"/>
          <w:sz w:val="28"/>
          <w:szCs w:val="28"/>
        </w:rPr>
        <w:t>мирового рынка капитала</w:t>
      </w:r>
      <w:r w:rsidRPr="003B10E2">
        <w:rPr>
          <w:rFonts w:ascii="Times New Roman" w:eastAsia="Times New Roman" w:hAnsi="Times New Roman"/>
          <w:color w:val="000000"/>
          <w:sz w:val="28"/>
          <w:szCs w:val="28"/>
        </w:rPr>
        <w:t xml:space="preserve"> обусловлена необходимостью:</w:t>
      </w:r>
    </w:p>
    <w:p w14:paraId="665CC63B" w14:textId="77777777" w:rsidR="00671B66" w:rsidRPr="003B10E2" w:rsidRDefault="006035CA"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lang w:eastAsia="ar-SA"/>
        </w:rPr>
        <w:t>-</w:t>
      </w:r>
      <w:r w:rsidR="00671B66" w:rsidRPr="003B10E2">
        <w:rPr>
          <w:rFonts w:ascii="Times New Roman" w:eastAsia="Times New Roman" w:hAnsi="Times New Roman"/>
          <w:color w:val="000000"/>
          <w:sz w:val="28"/>
          <w:szCs w:val="28"/>
        </w:rPr>
        <w:t xml:space="preserve"> развития теории и методологии исследования российского </w:t>
      </w:r>
      <w:r w:rsidR="005D427A" w:rsidRPr="003B10E2">
        <w:rPr>
          <w:rFonts w:ascii="Times New Roman" w:eastAsia="Times New Roman" w:hAnsi="Times New Roman"/>
          <w:color w:val="000000"/>
          <w:sz w:val="28"/>
          <w:szCs w:val="28"/>
        </w:rPr>
        <w:t>мирового рынка капитала</w:t>
      </w:r>
      <w:r w:rsidR="00671B66" w:rsidRPr="003B10E2">
        <w:rPr>
          <w:rFonts w:ascii="Times New Roman" w:eastAsia="Times New Roman" w:hAnsi="Times New Roman"/>
          <w:color w:val="000000"/>
          <w:sz w:val="28"/>
          <w:szCs w:val="28"/>
        </w:rPr>
        <w:t xml:space="preserve"> для выявления тенденций, моделей поведения инвесторов и альтернативных механизмов инвестирования как фундаментального научного базиса;</w:t>
      </w:r>
    </w:p>
    <w:p w14:paraId="102DA592" w14:textId="77777777" w:rsidR="00671B66" w:rsidRPr="003B10E2" w:rsidRDefault="006035CA"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lang w:eastAsia="ar-SA"/>
        </w:rPr>
        <w:t>-</w:t>
      </w:r>
      <w:r w:rsidR="00671B66" w:rsidRPr="003B10E2">
        <w:rPr>
          <w:rFonts w:ascii="Times New Roman" w:eastAsia="Times New Roman" w:hAnsi="Times New Roman"/>
          <w:color w:val="000000"/>
          <w:sz w:val="28"/>
          <w:szCs w:val="28"/>
        </w:rPr>
        <w:t xml:space="preserve"> развития теории альтернативных финансовых рынков </w:t>
      </w:r>
      <w:r w:rsidR="00671B66" w:rsidRPr="003B10E2">
        <w:rPr>
          <w:rFonts w:ascii="Times New Roman" w:eastAsia="Times New Roman" w:hAnsi="Times New Roman"/>
          <w:color w:val="000000"/>
          <w:sz w:val="28"/>
          <w:szCs w:val="28"/>
          <w:lang w:eastAsia="ar-SA"/>
        </w:rPr>
        <w:t>—</w:t>
      </w:r>
      <w:r w:rsidR="00671B66" w:rsidRPr="003B10E2">
        <w:rPr>
          <w:rFonts w:ascii="Times New Roman" w:eastAsia="Times New Roman" w:hAnsi="Times New Roman"/>
          <w:color w:val="000000"/>
          <w:sz w:val="28"/>
          <w:szCs w:val="28"/>
        </w:rPr>
        <w:t xml:space="preserve"> рынков криптоактивов и оценки потенциала рынка криптоактивов для инвестиций «тихой гавани»;</w:t>
      </w:r>
    </w:p>
    <w:p w14:paraId="4235873D" w14:textId="77777777" w:rsidR="00671B66" w:rsidRPr="003B10E2" w:rsidRDefault="006035CA"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lang w:eastAsia="ar-SA"/>
        </w:rPr>
        <w:t>-</w:t>
      </w:r>
      <w:r w:rsidR="00671B66" w:rsidRPr="003B10E2">
        <w:rPr>
          <w:rFonts w:ascii="Times New Roman" w:eastAsia="Times New Roman" w:hAnsi="Times New Roman"/>
          <w:color w:val="000000"/>
          <w:sz w:val="28"/>
          <w:szCs w:val="28"/>
        </w:rPr>
        <w:t xml:space="preserve"> обоснования рекомендаций по использованию методов</w:t>
      </w:r>
      <w:r w:rsidR="00D82238" w:rsidRPr="003B10E2">
        <w:rPr>
          <w:rFonts w:ascii="Times New Roman" w:eastAsia="Times New Roman" w:hAnsi="Times New Roman"/>
          <w:color w:val="000000"/>
          <w:sz w:val="28"/>
          <w:szCs w:val="28"/>
        </w:rPr>
        <w:t xml:space="preserve"> машинного обучения для</w:t>
      </w:r>
      <w:r w:rsidR="00671B66" w:rsidRPr="003B10E2">
        <w:rPr>
          <w:rFonts w:ascii="Times New Roman" w:eastAsia="Times New Roman" w:hAnsi="Times New Roman"/>
          <w:color w:val="000000"/>
          <w:sz w:val="28"/>
          <w:szCs w:val="28"/>
        </w:rPr>
        <w:t xml:space="preserve"> прогнозирования тенденций </w:t>
      </w:r>
      <w:r w:rsidR="005D427A" w:rsidRPr="003B10E2">
        <w:rPr>
          <w:rFonts w:ascii="Times New Roman" w:eastAsia="Times New Roman" w:hAnsi="Times New Roman"/>
          <w:color w:val="000000"/>
          <w:sz w:val="28"/>
          <w:szCs w:val="28"/>
        </w:rPr>
        <w:t>мирового рынка капитала</w:t>
      </w:r>
      <w:r w:rsidR="00671B66" w:rsidRPr="003B10E2">
        <w:rPr>
          <w:rFonts w:ascii="Times New Roman" w:eastAsia="Times New Roman" w:hAnsi="Times New Roman"/>
          <w:color w:val="000000"/>
          <w:sz w:val="28"/>
          <w:szCs w:val="28"/>
        </w:rPr>
        <w:t>, учитывающих прошлый опыт;</w:t>
      </w:r>
    </w:p>
    <w:p w14:paraId="1A9207A7" w14:textId="77777777" w:rsidR="00671B66" w:rsidRPr="003B10E2" w:rsidRDefault="006035CA"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lang w:eastAsia="ar-SA"/>
        </w:rPr>
        <w:t>-</w:t>
      </w:r>
      <w:r w:rsidR="00671B66" w:rsidRPr="003B10E2">
        <w:rPr>
          <w:rFonts w:ascii="Times New Roman" w:eastAsia="Times New Roman" w:hAnsi="Times New Roman"/>
          <w:color w:val="000000"/>
          <w:sz w:val="28"/>
          <w:szCs w:val="28"/>
        </w:rPr>
        <w:t xml:space="preserve"> выявления новых закономерностей применения финансовых теорий цен на активы и моделей прогнозирования волатильности цен на активы на рынках капитала;</w:t>
      </w:r>
    </w:p>
    <w:p w14:paraId="6F3C58FF" w14:textId="77777777" w:rsidR="00671B66" w:rsidRPr="003B10E2" w:rsidRDefault="006035CA"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lang w:eastAsia="ar-SA"/>
        </w:rPr>
        <w:t>-</w:t>
      </w:r>
      <w:r w:rsidR="00671B66" w:rsidRPr="003B10E2">
        <w:rPr>
          <w:rFonts w:ascii="Times New Roman" w:eastAsia="Times New Roman" w:hAnsi="Times New Roman"/>
          <w:color w:val="000000"/>
          <w:sz w:val="28"/>
          <w:szCs w:val="28"/>
        </w:rPr>
        <w:t xml:space="preserve"> оценки влияния глобального экономического кризиса </w:t>
      </w:r>
      <w:r w:rsidR="00D82238" w:rsidRPr="003B10E2">
        <w:rPr>
          <w:rFonts w:ascii="Times New Roman" w:eastAsia="Times New Roman" w:hAnsi="Times New Roman"/>
          <w:color w:val="000000"/>
          <w:sz w:val="28"/>
          <w:szCs w:val="28"/>
        </w:rPr>
        <w:t xml:space="preserve">2008 года </w:t>
      </w:r>
      <w:r w:rsidR="00671B66" w:rsidRPr="003B10E2">
        <w:rPr>
          <w:rFonts w:ascii="Times New Roman" w:eastAsia="Times New Roman" w:hAnsi="Times New Roman"/>
          <w:color w:val="000000"/>
          <w:sz w:val="28"/>
          <w:szCs w:val="28"/>
        </w:rPr>
        <w:t xml:space="preserve">и других финансовых кризисов на состояние </w:t>
      </w:r>
      <w:r w:rsidR="005D427A" w:rsidRPr="003B10E2">
        <w:rPr>
          <w:rFonts w:ascii="Times New Roman" w:eastAsia="Times New Roman" w:hAnsi="Times New Roman"/>
          <w:color w:val="000000"/>
          <w:sz w:val="28"/>
          <w:szCs w:val="28"/>
        </w:rPr>
        <w:t>мирового рынка капитала</w:t>
      </w:r>
      <w:r w:rsidR="00671B66" w:rsidRPr="003B10E2">
        <w:rPr>
          <w:rFonts w:ascii="Times New Roman" w:eastAsia="Times New Roman" w:hAnsi="Times New Roman"/>
          <w:color w:val="000000"/>
          <w:sz w:val="28"/>
          <w:szCs w:val="28"/>
        </w:rPr>
        <w:t>;</w:t>
      </w:r>
    </w:p>
    <w:p w14:paraId="792F2BD7" w14:textId="77777777" w:rsidR="00671B66" w:rsidRPr="003B10E2" w:rsidRDefault="006035CA"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lang w:eastAsia="ar-SA"/>
        </w:rPr>
        <w:t>-</w:t>
      </w:r>
      <w:r w:rsidR="00671B66" w:rsidRPr="003B10E2">
        <w:rPr>
          <w:rFonts w:ascii="Times New Roman" w:eastAsia="Times New Roman" w:hAnsi="Times New Roman"/>
          <w:color w:val="000000"/>
          <w:sz w:val="28"/>
          <w:szCs w:val="28"/>
        </w:rPr>
        <w:t xml:space="preserve"> оценки трансформации моделей поведения и инвестиционных стратегий российских и глобальных инвесторов на российском </w:t>
      </w:r>
      <w:r w:rsidR="005C6FD6" w:rsidRPr="003B10E2">
        <w:rPr>
          <w:rFonts w:ascii="Times New Roman" w:eastAsia="Times New Roman" w:hAnsi="Times New Roman"/>
          <w:color w:val="000000"/>
          <w:sz w:val="28"/>
          <w:szCs w:val="28"/>
        </w:rPr>
        <w:t xml:space="preserve">и китайском </w:t>
      </w:r>
      <w:r w:rsidR="00671B66" w:rsidRPr="003B10E2">
        <w:rPr>
          <w:rFonts w:ascii="Times New Roman" w:eastAsia="Times New Roman" w:hAnsi="Times New Roman"/>
          <w:color w:val="000000"/>
          <w:sz w:val="28"/>
          <w:szCs w:val="28"/>
        </w:rPr>
        <w:t>финансовом рынке;</w:t>
      </w:r>
    </w:p>
    <w:p w14:paraId="21B1C507" w14:textId="77777777" w:rsidR="00671B66" w:rsidRPr="003B10E2" w:rsidRDefault="006035CA"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lang w:eastAsia="ar-SA"/>
        </w:rPr>
        <w:t>-</w:t>
      </w:r>
      <w:r w:rsidR="00671B66" w:rsidRPr="003B10E2">
        <w:rPr>
          <w:rFonts w:ascii="Times New Roman" w:eastAsia="Times New Roman" w:hAnsi="Times New Roman"/>
          <w:color w:val="000000"/>
          <w:sz w:val="28"/>
          <w:szCs w:val="28"/>
        </w:rPr>
        <w:t xml:space="preserve"> применения альтернативных инвестиционных стратегий</w:t>
      </w:r>
      <w:r w:rsidR="00671B66" w:rsidRPr="003B10E2">
        <w:rPr>
          <w:rFonts w:ascii="Times New Roman" w:hAnsi="Times New Roman"/>
          <w:color w:val="000000"/>
          <w:sz w:val="28"/>
          <w:szCs w:val="28"/>
        </w:rPr>
        <w:t xml:space="preserve"> </w:t>
      </w:r>
      <w:r w:rsidR="00671B66" w:rsidRPr="003B10E2">
        <w:rPr>
          <w:rFonts w:ascii="Times New Roman" w:eastAsia="Times New Roman" w:hAnsi="Times New Roman"/>
          <w:color w:val="000000"/>
          <w:sz w:val="28"/>
          <w:szCs w:val="28"/>
        </w:rPr>
        <w:t>глобальных институциональных инвесторов на базе моделей прогнозирования волатильности финансовых активов, которые могли бы применяться в периоды замедления роста мировой экономики или в периоды шоков на финансовых рынках.</w:t>
      </w:r>
    </w:p>
    <w:p w14:paraId="3BE06301" w14:textId="77777777" w:rsidR="005B3E8B" w:rsidRPr="003B10E2" w:rsidRDefault="00671B66" w:rsidP="005B3E8B">
      <w:pPr>
        <w:widowControl w:val="0"/>
        <w:spacing w:after="0" w:line="360" w:lineRule="auto"/>
        <w:ind w:firstLine="851"/>
        <w:contextualSpacing/>
        <w:jc w:val="both"/>
        <w:rPr>
          <w:rFonts w:ascii="Times New Roman" w:eastAsia="Times New Roman" w:hAnsi="Times New Roman"/>
          <w:color w:val="000000"/>
          <w:sz w:val="28"/>
          <w:szCs w:val="28"/>
          <w:lang w:eastAsia="ar-SA"/>
        </w:rPr>
      </w:pPr>
      <w:bookmarkStart w:id="18" w:name="_Hlk138264625"/>
      <w:bookmarkEnd w:id="15"/>
      <w:r w:rsidRPr="003B10E2">
        <w:rPr>
          <w:rFonts w:ascii="Times New Roman" w:eastAsia="Times New Roman" w:hAnsi="Times New Roman"/>
          <w:iCs/>
          <w:color w:val="000000"/>
          <w:sz w:val="28"/>
          <w:szCs w:val="28"/>
          <w:lang w:eastAsia="ar-SA"/>
        </w:rPr>
        <w:t>Область исследования</w:t>
      </w:r>
      <w:r w:rsidRPr="003B10E2">
        <w:rPr>
          <w:rFonts w:ascii="Times New Roman" w:eastAsia="Times New Roman" w:hAnsi="Times New Roman"/>
          <w:color w:val="000000"/>
          <w:sz w:val="28"/>
          <w:szCs w:val="28"/>
          <w:lang w:eastAsia="ar-SA"/>
        </w:rPr>
        <w:t xml:space="preserve"> соответствует специальности 5.2.</w:t>
      </w:r>
      <w:r w:rsidR="005D427A" w:rsidRPr="003B10E2">
        <w:rPr>
          <w:rFonts w:ascii="Times New Roman" w:eastAsia="Times New Roman" w:hAnsi="Times New Roman"/>
          <w:color w:val="000000"/>
          <w:sz w:val="28"/>
          <w:szCs w:val="28"/>
          <w:lang w:eastAsia="ar-SA"/>
        </w:rPr>
        <w:t>5</w:t>
      </w:r>
      <w:r w:rsidRPr="003B10E2">
        <w:rPr>
          <w:rFonts w:ascii="Times New Roman" w:eastAsia="Times New Roman" w:hAnsi="Times New Roman"/>
          <w:color w:val="000000"/>
          <w:sz w:val="28"/>
          <w:szCs w:val="28"/>
          <w:lang w:eastAsia="ar-SA"/>
        </w:rPr>
        <w:t xml:space="preserve"> — «</w:t>
      </w:r>
      <w:r w:rsidR="005D427A" w:rsidRPr="003B10E2">
        <w:rPr>
          <w:rFonts w:ascii="Times New Roman" w:eastAsia="Times New Roman" w:hAnsi="Times New Roman"/>
          <w:color w:val="000000"/>
          <w:sz w:val="28"/>
          <w:szCs w:val="28"/>
          <w:lang w:eastAsia="ar-SA"/>
        </w:rPr>
        <w:t>Мировая экономика</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color w:val="000000"/>
          <w:sz w:val="28"/>
          <w:szCs w:val="28"/>
        </w:rPr>
        <w:t xml:space="preserve"> </w:t>
      </w:r>
      <w:r w:rsidRPr="003B10E2">
        <w:rPr>
          <w:rFonts w:ascii="Times New Roman" w:eastAsia="Times New Roman" w:hAnsi="Times New Roman"/>
          <w:color w:val="000000"/>
          <w:sz w:val="28"/>
          <w:szCs w:val="28"/>
          <w:lang w:eastAsia="ar-SA"/>
        </w:rPr>
        <w:t>паспорта специальностей ВАК Министерства образования и науки РФ (экономические науки)</w:t>
      </w:r>
      <w:r w:rsidR="005B3E8B" w:rsidRPr="003B10E2">
        <w:rPr>
          <w:rFonts w:ascii="Times New Roman" w:eastAsia="Times New Roman" w:hAnsi="Times New Roman"/>
          <w:color w:val="000000"/>
          <w:sz w:val="28"/>
          <w:szCs w:val="28"/>
          <w:lang w:eastAsia="ar-SA"/>
        </w:rPr>
        <w:t>, п. 21. Международная конкурентоспособность национальных экономик.</w:t>
      </w:r>
      <w:r w:rsidR="005B3E8B" w:rsidRPr="003B10E2">
        <w:t xml:space="preserve"> </w:t>
      </w:r>
      <w:r w:rsidR="005B3E8B" w:rsidRPr="003B10E2">
        <w:rPr>
          <w:rFonts w:ascii="Times New Roman" w:eastAsia="Times New Roman" w:hAnsi="Times New Roman"/>
          <w:color w:val="000000"/>
          <w:sz w:val="28"/>
          <w:szCs w:val="28"/>
          <w:lang w:eastAsia="ar-SA"/>
        </w:rPr>
        <w:t>Сопряженные направления: пп. 6. Ценообразование на мировых рынках товаров и услуг; 8. Международное движение капитала. Международные инвестиции; 9. Международные финансовые рынки.</w:t>
      </w:r>
    </w:p>
    <w:p w14:paraId="2A42DF74" w14:textId="77777777" w:rsidR="00671B66" w:rsidRPr="003B10E2" w:rsidRDefault="00671B66" w:rsidP="00FC5FA5">
      <w:pPr>
        <w:widowControl w:val="0"/>
        <w:spacing w:after="0" w:line="360" w:lineRule="auto"/>
        <w:ind w:firstLine="851"/>
        <w:contextualSpacing/>
        <w:jc w:val="both"/>
        <w:rPr>
          <w:rFonts w:ascii="Times New Roman" w:eastAsia="Times New Roman" w:hAnsi="Times New Roman"/>
          <w:color w:val="000000"/>
          <w:sz w:val="28"/>
          <w:szCs w:val="28"/>
          <w:lang w:eastAsia="ar-SA"/>
        </w:rPr>
      </w:pPr>
      <w:bookmarkStart w:id="19" w:name="_Hlk138264446"/>
      <w:bookmarkEnd w:id="18"/>
      <w:r w:rsidRPr="003B10E2">
        <w:rPr>
          <w:rFonts w:ascii="Times New Roman" w:eastAsia="Times New Roman" w:hAnsi="Times New Roman"/>
          <w:b/>
          <w:color w:val="000000"/>
          <w:sz w:val="28"/>
          <w:szCs w:val="28"/>
          <w:lang w:eastAsia="ar-SA"/>
        </w:rPr>
        <w:t>Объектом и</w:t>
      </w:r>
      <w:bookmarkStart w:id="20" w:name="_Hlk122533395"/>
      <w:r w:rsidRPr="003B10E2">
        <w:rPr>
          <w:rFonts w:ascii="Times New Roman" w:eastAsia="Times New Roman" w:hAnsi="Times New Roman"/>
          <w:b/>
          <w:color w:val="000000"/>
          <w:sz w:val="28"/>
          <w:szCs w:val="28"/>
          <w:lang w:eastAsia="ar-SA"/>
        </w:rPr>
        <w:t>сследования</w:t>
      </w:r>
      <w:r w:rsidRPr="003B10E2">
        <w:rPr>
          <w:rFonts w:ascii="Times New Roman" w:eastAsia="Times New Roman" w:hAnsi="Times New Roman"/>
          <w:color w:val="000000"/>
          <w:sz w:val="28"/>
          <w:szCs w:val="28"/>
          <w:lang w:eastAsia="ar-SA"/>
        </w:rPr>
        <w:t xml:space="preserve"> </w:t>
      </w:r>
      <w:bookmarkStart w:id="21" w:name="_Hlk147771087"/>
      <w:r w:rsidRPr="003B10E2">
        <w:rPr>
          <w:rFonts w:ascii="Times New Roman" w:eastAsia="Times New Roman" w:hAnsi="Times New Roman"/>
          <w:color w:val="000000"/>
          <w:sz w:val="28"/>
          <w:szCs w:val="28"/>
          <w:lang w:eastAsia="ar-SA"/>
        </w:rPr>
        <w:t>явля</w:t>
      </w:r>
      <w:r w:rsidR="00D82238" w:rsidRPr="003B10E2">
        <w:rPr>
          <w:rFonts w:ascii="Times New Roman" w:eastAsia="Times New Roman" w:hAnsi="Times New Roman"/>
          <w:color w:val="000000"/>
          <w:sz w:val="28"/>
          <w:szCs w:val="28"/>
          <w:lang w:eastAsia="ar-SA"/>
        </w:rPr>
        <w:t>е</w:t>
      </w:r>
      <w:r w:rsidRPr="003B10E2">
        <w:rPr>
          <w:rFonts w:ascii="Times New Roman" w:eastAsia="Times New Roman" w:hAnsi="Times New Roman"/>
          <w:color w:val="000000"/>
          <w:sz w:val="28"/>
          <w:szCs w:val="28"/>
          <w:lang w:eastAsia="ar-SA"/>
        </w:rPr>
        <w:t>тся российск</w:t>
      </w:r>
      <w:r w:rsidR="00D82238" w:rsidRPr="003B10E2">
        <w:rPr>
          <w:rFonts w:ascii="Times New Roman" w:eastAsia="Times New Roman" w:hAnsi="Times New Roman"/>
          <w:color w:val="000000"/>
          <w:sz w:val="28"/>
          <w:szCs w:val="28"/>
          <w:lang w:eastAsia="ar-SA"/>
        </w:rPr>
        <w:t>ий</w:t>
      </w:r>
      <w:r w:rsidRPr="003B10E2">
        <w:rPr>
          <w:rFonts w:ascii="Times New Roman" w:eastAsia="Times New Roman" w:hAnsi="Times New Roman"/>
          <w:color w:val="000000"/>
          <w:sz w:val="28"/>
          <w:szCs w:val="28"/>
          <w:lang w:eastAsia="ar-SA"/>
        </w:rPr>
        <w:t xml:space="preserve"> </w:t>
      </w:r>
      <w:r w:rsidR="005C6FD6" w:rsidRPr="003B10E2">
        <w:rPr>
          <w:rFonts w:ascii="Times New Roman" w:eastAsia="Times New Roman" w:hAnsi="Times New Roman"/>
          <w:color w:val="000000"/>
          <w:sz w:val="28"/>
          <w:szCs w:val="28"/>
          <w:lang w:eastAsia="ar-SA"/>
        </w:rPr>
        <w:t xml:space="preserve">и китайский </w:t>
      </w:r>
      <w:r w:rsidR="007B2AC8" w:rsidRPr="003B10E2">
        <w:rPr>
          <w:rFonts w:ascii="Times New Roman" w:eastAsia="Times New Roman" w:hAnsi="Times New Roman"/>
          <w:color w:val="000000"/>
          <w:sz w:val="28"/>
          <w:szCs w:val="28"/>
          <w:lang w:eastAsia="ar-SA"/>
        </w:rPr>
        <w:t>рын</w:t>
      </w:r>
      <w:r w:rsidR="005C6FD6" w:rsidRPr="003B10E2">
        <w:rPr>
          <w:rFonts w:ascii="Times New Roman" w:eastAsia="Times New Roman" w:hAnsi="Times New Roman"/>
          <w:color w:val="000000"/>
          <w:sz w:val="28"/>
          <w:szCs w:val="28"/>
          <w:lang w:eastAsia="ar-SA"/>
        </w:rPr>
        <w:t>ки</w:t>
      </w:r>
      <w:r w:rsidR="007B2AC8" w:rsidRPr="003B10E2">
        <w:rPr>
          <w:rFonts w:ascii="Times New Roman" w:eastAsia="Times New Roman" w:hAnsi="Times New Roman"/>
          <w:color w:val="000000"/>
          <w:sz w:val="28"/>
          <w:szCs w:val="28"/>
          <w:lang w:eastAsia="ar-SA"/>
        </w:rPr>
        <w:t xml:space="preserve"> капитала</w:t>
      </w:r>
      <w:r w:rsidRPr="003B10E2">
        <w:rPr>
          <w:rFonts w:ascii="Times New Roman" w:eastAsia="Times New Roman" w:hAnsi="Times New Roman"/>
          <w:color w:val="000000"/>
          <w:sz w:val="28"/>
          <w:szCs w:val="28"/>
          <w:lang w:eastAsia="ar-SA"/>
        </w:rPr>
        <w:t>, поведение инвесторов на финансовом рынке и альтернативные активы для вложения средств институциональных инвесторов</w:t>
      </w:r>
      <w:r w:rsidR="009E6153" w:rsidRPr="003B10E2">
        <w:rPr>
          <w:rFonts w:ascii="Times New Roman" w:eastAsia="Times New Roman" w:hAnsi="Times New Roman"/>
          <w:color w:val="000000"/>
          <w:sz w:val="28"/>
          <w:szCs w:val="28"/>
          <w:lang w:eastAsia="ar-SA"/>
        </w:rPr>
        <w:t>,</w:t>
      </w:r>
      <w:r w:rsidRPr="003B10E2">
        <w:rPr>
          <w:rFonts w:ascii="Times New Roman" w:eastAsia="Times New Roman" w:hAnsi="Times New Roman"/>
          <w:color w:val="000000"/>
          <w:sz w:val="28"/>
          <w:szCs w:val="28"/>
          <w:lang w:eastAsia="ar-SA"/>
        </w:rPr>
        <w:t xml:space="preserve"> </w:t>
      </w:r>
      <w:bookmarkEnd w:id="20"/>
      <w:r w:rsidR="009E6153" w:rsidRPr="003B10E2">
        <w:rPr>
          <w:rFonts w:ascii="Times New Roman" w:eastAsia="Times New Roman" w:hAnsi="Times New Roman"/>
          <w:color w:val="000000"/>
          <w:sz w:val="28"/>
          <w:szCs w:val="28"/>
          <w:lang w:eastAsia="ar-SA"/>
        </w:rPr>
        <w:t>развитие взаимодействия международных валютно-финансовых систем России и Китая.</w:t>
      </w:r>
    </w:p>
    <w:p w14:paraId="6283208F" w14:textId="77777777" w:rsidR="00F863CC" w:rsidRPr="003B10E2" w:rsidRDefault="00F863CC" w:rsidP="00FC5FA5">
      <w:pPr>
        <w:widowControl w:val="0"/>
        <w:spacing w:after="0" w:line="360" w:lineRule="auto"/>
        <w:ind w:firstLine="851"/>
        <w:contextualSpacing/>
        <w:jc w:val="both"/>
        <w:rPr>
          <w:rFonts w:ascii="Times New Roman" w:eastAsia="Times New Roman" w:hAnsi="Times New Roman"/>
          <w:color w:val="000000"/>
          <w:sz w:val="28"/>
          <w:szCs w:val="28"/>
          <w:lang w:eastAsia="ar-SA"/>
        </w:rPr>
      </w:pPr>
      <w:r w:rsidRPr="003B10E2">
        <w:rPr>
          <w:rFonts w:ascii="Times New Roman" w:eastAsia="Times New Roman" w:hAnsi="Times New Roman"/>
          <w:color w:val="000000"/>
          <w:sz w:val="28"/>
          <w:szCs w:val="28"/>
          <w:lang w:eastAsia="ar-SA"/>
        </w:rPr>
        <w:t xml:space="preserve">Поскольку нефтегазовые ресурсы занимают заметную долю </w:t>
      </w:r>
      <w:r w:rsidR="00AC1773" w:rsidRPr="003B10E2">
        <w:rPr>
          <w:rFonts w:ascii="Times New Roman" w:eastAsia="Times New Roman" w:hAnsi="Times New Roman"/>
          <w:color w:val="000000"/>
          <w:sz w:val="28"/>
          <w:szCs w:val="28"/>
          <w:lang w:eastAsia="ar-SA"/>
        </w:rPr>
        <w:t xml:space="preserve">реального сектора </w:t>
      </w:r>
      <w:r w:rsidRPr="003B10E2">
        <w:rPr>
          <w:rFonts w:ascii="Times New Roman" w:eastAsia="Times New Roman" w:hAnsi="Times New Roman"/>
          <w:color w:val="000000"/>
          <w:sz w:val="28"/>
          <w:szCs w:val="28"/>
          <w:lang w:eastAsia="ar-SA"/>
        </w:rPr>
        <w:t>российской экономики, то в данной работе расмотрена связь рынка капитала России с нефтегазовым сектором экономики (</w:t>
      </w:r>
      <w:r w:rsidR="00130CBF" w:rsidRPr="003B10E2">
        <w:rPr>
          <w:rFonts w:ascii="Times New Roman" w:eastAsia="Times New Roman" w:hAnsi="Times New Roman"/>
          <w:color w:val="000000"/>
          <w:sz w:val="28"/>
          <w:szCs w:val="28"/>
          <w:lang w:eastAsia="ar-SA"/>
        </w:rPr>
        <w:t>п</w:t>
      </w:r>
      <w:r w:rsidR="00AC1773" w:rsidRPr="003B10E2">
        <w:rPr>
          <w:rFonts w:ascii="Times New Roman" w:eastAsia="Times New Roman" w:hAnsi="Times New Roman"/>
          <w:color w:val="000000"/>
          <w:sz w:val="28"/>
          <w:szCs w:val="28"/>
          <w:lang w:eastAsia="ar-SA"/>
        </w:rPr>
        <w:t>араграф 3.3</w:t>
      </w:r>
      <w:r w:rsidRPr="003B10E2">
        <w:rPr>
          <w:rFonts w:ascii="Times New Roman" w:eastAsia="Times New Roman" w:hAnsi="Times New Roman"/>
          <w:color w:val="000000"/>
          <w:sz w:val="28"/>
          <w:szCs w:val="28"/>
          <w:lang w:eastAsia="ar-SA"/>
        </w:rPr>
        <w:t>).</w:t>
      </w:r>
      <w:r w:rsidR="00AC1773" w:rsidRPr="003B10E2">
        <w:t xml:space="preserve"> </w:t>
      </w:r>
      <w:r w:rsidR="00AC1773" w:rsidRPr="003B10E2">
        <w:rPr>
          <w:rFonts w:ascii="Times New Roman" w:eastAsia="Times New Roman" w:hAnsi="Times New Roman"/>
          <w:color w:val="000000"/>
          <w:sz w:val="28"/>
          <w:szCs w:val="28"/>
          <w:lang w:eastAsia="ar-SA"/>
        </w:rPr>
        <w:t>Автором найдена отрицательная связь между экономическим ростом</w:t>
      </w:r>
      <w:r w:rsidR="00AC1773" w:rsidRPr="003B10E2">
        <w:t xml:space="preserve"> </w:t>
      </w:r>
      <w:r w:rsidR="00AC1773" w:rsidRPr="003B10E2">
        <w:rPr>
          <w:rFonts w:ascii="Times New Roman" w:eastAsia="Times New Roman" w:hAnsi="Times New Roman"/>
          <w:color w:val="000000"/>
          <w:sz w:val="28"/>
          <w:szCs w:val="28"/>
          <w:lang w:eastAsia="ar-SA"/>
        </w:rPr>
        <w:t xml:space="preserve">в нефтегазовом секторе реальной экономики и рынком капитала, что предполагает, что долгосрочные облигации имеют более низкую доходность, когда долгосрочный рост, как ожидается, будет низким. </w:t>
      </w:r>
    </w:p>
    <w:bookmarkEnd w:id="21"/>
    <w:p w14:paraId="5B84E95C" w14:textId="77777777" w:rsidR="00671B66" w:rsidRPr="003B10E2" w:rsidRDefault="00671B66" w:rsidP="00FC5FA5">
      <w:pPr>
        <w:widowControl w:val="0"/>
        <w:spacing w:after="0" w:line="360" w:lineRule="auto"/>
        <w:ind w:firstLine="851"/>
        <w:contextualSpacing/>
        <w:jc w:val="both"/>
        <w:rPr>
          <w:rFonts w:ascii="Times New Roman" w:eastAsia="Times New Roman" w:hAnsi="Times New Roman"/>
          <w:color w:val="000000"/>
          <w:sz w:val="28"/>
          <w:szCs w:val="28"/>
          <w:lang w:eastAsia="ar-SA"/>
        </w:rPr>
      </w:pPr>
      <w:r w:rsidRPr="003B10E2">
        <w:rPr>
          <w:rFonts w:ascii="Times New Roman" w:eastAsia="Times New Roman" w:hAnsi="Times New Roman"/>
          <w:b/>
          <w:color w:val="000000"/>
          <w:sz w:val="28"/>
          <w:szCs w:val="28"/>
          <w:lang w:eastAsia="ar-SA"/>
        </w:rPr>
        <w:t>Предметом исследования</w:t>
      </w:r>
      <w:r w:rsidRPr="003B10E2">
        <w:rPr>
          <w:rFonts w:ascii="Times New Roman" w:eastAsia="Times New Roman" w:hAnsi="Times New Roman"/>
          <w:color w:val="000000"/>
          <w:sz w:val="28"/>
          <w:szCs w:val="28"/>
          <w:lang w:eastAsia="ar-SA"/>
        </w:rPr>
        <w:t xml:space="preserve"> являются </w:t>
      </w:r>
      <w:r w:rsidR="00C60BA7" w:rsidRPr="003B10E2">
        <w:rPr>
          <w:rFonts w:ascii="Times New Roman" w:eastAsia="Times New Roman" w:hAnsi="Times New Roman"/>
          <w:color w:val="000000"/>
          <w:sz w:val="28"/>
          <w:szCs w:val="28"/>
          <w:lang w:eastAsia="ar-SA"/>
        </w:rPr>
        <w:t xml:space="preserve">общие </w:t>
      </w:r>
      <w:r w:rsidR="007B2AC8" w:rsidRPr="003B10E2">
        <w:rPr>
          <w:rFonts w:ascii="Times New Roman" w:eastAsia="Times New Roman" w:hAnsi="Times New Roman"/>
          <w:color w:val="000000"/>
          <w:sz w:val="28"/>
          <w:szCs w:val="28"/>
          <w:lang w:eastAsia="ar-SA"/>
        </w:rPr>
        <w:t xml:space="preserve">структурные изменения и инвестиционные </w:t>
      </w:r>
      <w:r w:rsidR="005C6FD6" w:rsidRPr="003B10E2">
        <w:rPr>
          <w:rFonts w:ascii="Times New Roman" w:eastAsia="Times New Roman" w:hAnsi="Times New Roman"/>
          <w:color w:val="000000"/>
          <w:sz w:val="28"/>
          <w:szCs w:val="28"/>
          <w:lang w:eastAsia="ar-SA"/>
        </w:rPr>
        <w:t>стратегии российского</w:t>
      </w:r>
      <w:r w:rsidRPr="003B10E2">
        <w:rPr>
          <w:rFonts w:ascii="Times New Roman" w:eastAsia="Times New Roman" w:hAnsi="Times New Roman"/>
          <w:color w:val="000000"/>
          <w:sz w:val="28"/>
          <w:szCs w:val="28"/>
          <w:lang w:eastAsia="ar-SA"/>
        </w:rPr>
        <w:t xml:space="preserve"> </w:t>
      </w:r>
      <w:r w:rsidR="00C60BA7" w:rsidRPr="003B10E2">
        <w:rPr>
          <w:rFonts w:ascii="Times New Roman" w:eastAsia="Times New Roman" w:hAnsi="Times New Roman"/>
          <w:color w:val="000000"/>
          <w:sz w:val="28"/>
          <w:szCs w:val="28"/>
          <w:lang w:eastAsia="ar-SA"/>
        </w:rPr>
        <w:t xml:space="preserve">и </w:t>
      </w:r>
      <w:r w:rsidR="005C6FD6" w:rsidRPr="003B10E2">
        <w:rPr>
          <w:rFonts w:ascii="Times New Roman" w:eastAsia="Times New Roman" w:hAnsi="Times New Roman"/>
          <w:color w:val="000000"/>
          <w:sz w:val="28"/>
          <w:szCs w:val="28"/>
          <w:lang w:eastAsia="ar-SA"/>
        </w:rPr>
        <w:t>китайского</w:t>
      </w:r>
      <w:r w:rsidR="005D427A" w:rsidRPr="003B10E2">
        <w:rPr>
          <w:rFonts w:ascii="Times New Roman" w:eastAsia="Times New Roman" w:hAnsi="Times New Roman"/>
          <w:color w:val="000000"/>
          <w:sz w:val="28"/>
          <w:szCs w:val="28"/>
          <w:lang w:eastAsia="ar-SA"/>
        </w:rPr>
        <w:t xml:space="preserve"> рынка капитала</w:t>
      </w:r>
      <w:r w:rsidR="009E6153" w:rsidRPr="003B10E2">
        <w:rPr>
          <w:rFonts w:ascii="Times New Roman" w:eastAsia="Times New Roman" w:hAnsi="Times New Roman"/>
          <w:color w:val="000000"/>
          <w:sz w:val="28"/>
          <w:szCs w:val="28"/>
          <w:lang w:eastAsia="ar-SA"/>
        </w:rPr>
        <w:t xml:space="preserve"> с точки зрения международной конкуренции. </w:t>
      </w:r>
    </w:p>
    <w:bookmarkEnd w:id="19"/>
    <w:p w14:paraId="14F95F57" w14:textId="77777777" w:rsidR="00671B66" w:rsidRPr="003B10E2" w:rsidRDefault="00671B66" w:rsidP="00193CD4">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b/>
          <w:color w:val="000000"/>
          <w:sz w:val="28"/>
          <w:szCs w:val="28"/>
        </w:rPr>
        <w:t>Степень разработанности темы.</w:t>
      </w:r>
      <w:r w:rsidRPr="003B10E2">
        <w:rPr>
          <w:rFonts w:ascii="Times New Roman" w:eastAsia="Times New Roman" w:hAnsi="Times New Roman"/>
          <w:color w:val="000000"/>
          <w:sz w:val="28"/>
          <w:szCs w:val="28"/>
        </w:rPr>
        <w:t xml:space="preserve"> Попытки аналитического описания тенденций и поведения инвесторов и структурных изменений на финансовом рынке насчитывают не одно столетие. Структура </w:t>
      </w:r>
      <w:r w:rsidR="005D427A" w:rsidRPr="003B10E2">
        <w:rPr>
          <w:rFonts w:ascii="Times New Roman" w:eastAsia="Times New Roman" w:hAnsi="Times New Roman"/>
          <w:color w:val="000000"/>
          <w:sz w:val="28"/>
          <w:szCs w:val="28"/>
        </w:rPr>
        <w:t>мирового рынка капитала</w:t>
      </w:r>
      <w:r w:rsidRPr="003B10E2">
        <w:rPr>
          <w:rFonts w:ascii="Times New Roman" w:eastAsia="Times New Roman" w:hAnsi="Times New Roman"/>
          <w:color w:val="000000"/>
          <w:sz w:val="28"/>
          <w:szCs w:val="28"/>
        </w:rPr>
        <w:t xml:space="preserve"> </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color w:val="000000"/>
          <w:sz w:val="28"/>
          <w:szCs w:val="28"/>
        </w:rPr>
        <w:t xml:space="preserve"> это совокупность элементов </w:t>
      </w:r>
      <w:r w:rsidR="005D427A" w:rsidRPr="003B10E2">
        <w:rPr>
          <w:rFonts w:ascii="Times New Roman" w:eastAsia="Times New Roman" w:hAnsi="Times New Roman"/>
          <w:color w:val="000000"/>
          <w:sz w:val="28"/>
          <w:szCs w:val="28"/>
        </w:rPr>
        <w:t>мирового рынка капитала</w:t>
      </w:r>
      <w:r w:rsidRPr="003B10E2">
        <w:rPr>
          <w:rFonts w:ascii="Times New Roman" w:eastAsia="Times New Roman" w:hAnsi="Times New Roman"/>
          <w:color w:val="000000"/>
          <w:sz w:val="28"/>
          <w:szCs w:val="28"/>
        </w:rPr>
        <w:t xml:space="preserve"> и устойчивых связей между ними. В настоящее время собран огромный массив данных о структуре финансовых рынков в связи с наличием данных о сделках [</w:t>
      </w:r>
      <w:r w:rsidR="00185924" w:rsidRPr="003B10E2">
        <w:rPr>
          <w:rFonts w:ascii="Times New Roman" w:eastAsia="Times New Roman" w:hAnsi="Times New Roman"/>
          <w:color w:val="000000"/>
          <w:sz w:val="28"/>
          <w:szCs w:val="28"/>
        </w:rPr>
        <w:t>49</w:t>
      </w:r>
      <w:r w:rsidRPr="003B10E2">
        <w:rPr>
          <w:rFonts w:ascii="Times New Roman" w:eastAsia="Times New Roman" w:hAnsi="Times New Roman"/>
          <w:color w:val="000000"/>
          <w:sz w:val="28"/>
          <w:szCs w:val="28"/>
        </w:rPr>
        <w:t xml:space="preserve">]. В зарубежной экономической литературе структура </w:t>
      </w:r>
      <w:r w:rsidR="005D427A" w:rsidRPr="003B10E2">
        <w:rPr>
          <w:rFonts w:ascii="Times New Roman" w:eastAsia="Times New Roman" w:hAnsi="Times New Roman"/>
          <w:color w:val="000000"/>
          <w:sz w:val="28"/>
          <w:szCs w:val="28"/>
        </w:rPr>
        <w:t>мирового рынка капитала</w:t>
      </w:r>
      <w:r w:rsidRPr="003B10E2">
        <w:rPr>
          <w:rFonts w:ascii="Times New Roman" w:eastAsia="Times New Roman" w:hAnsi="Times New Roman"/>
          <w:color w:val="000000"/>
          <w:sz w:val="28"/>
          <w:szCs w:val="28"/>
        </w:rPr>
        <w:t xml:space="preserve"> определена: «Взаимоотношения в процессе обмена активами в рамках четких правил торговли. В то время как большая часть экономистов абстрагируется от механики рынков, исследователи структуры рынка анализируют, как конкретные механизмы влияют на процесс ценообразования» [</w:t>
      </w:r>
      <w:r w:rsidR="00185924" w:rsidRPr="003B10E2">
        <w:rPr>
          <w:rFonts w:ascii="Times New Roman" w:eastAsia="Times New Roman" w:hAnsi="Times New Roman"/>
          <w:color w:val="000000"/>
          <w:sz w:val="28"/>
          <w:szCs w:val="28"/>
        </w:rPr>
        <w:t>249</w:t>
      </w:r>
      <w:r w:rsidRPr="003B10E2">
        <w:rPr>
          <w:rFonts w:ascii="Times New Roman" w:eastAsia="Times New Roman" w:hAnsi="Times New Roman"/>
          <w:color w:val="000000"/>
          <w:sz w:val="28"/>
          <w:szCs w:val="28"/>
        </w:rPr>
        <w:t xml:space="preserve">]. Данное определение переносит объект исследования в область микроструктуры рынка, что не планируется делать в рамках данного исследования. Национальное бюро экономических исследований имеет исследовательскую группу по рыночной микроструктуре, которая занимается теоретическими, эмпирическими и экспериментальными исследованиями по экономике финансовых рынков, включая роль информации в процессе ценообразования, определения, измерения, контроля, а также последствия для эффективности, благосостояния и регулирования альтернативных торговых механизмов и рыночных структур [234]. </w:t>
      </w:r>
      <w:r w:rsidR="00193CD4" w:rsidRPr="003B10E2">
        <w:rPr>
          <w:rFonts w:ascii="Times New Roman" w:eastAsia="Times New Roman" w:hAnsi="Times New Roman"/>
          <w:color w:val="000000"/>
          <w:sz w:val="28"/>
          <w:szCs w:val="28"/>
        </w:rPr>
        <w:t>Д</w:t>
      </w:r>
      <w:r w:rsidRPr="003B10E2">
        <w:rPr>
          <w:rFonts w:ascii="Times New Roman" w:eastAsia="Times New Roman" w:hAnsi="Times New Roman"/>
          <w:color w:val="000000"/>
          <w:sz w:val="28"/>
          <w:szCs w:val="28"/>
        </w:rPr>
        <w:t>анн</w:t>
      </w:r>
      <w:r w:rsidR="00193CD4" w:rsidRPr="003B10E2">
        <w:rPr>
          <w:rFonts w:ascii="Times New Roman" w:eastAsia="Times New Roman" w:hAnsi="Times New Roman"/>
          <w:color w:val="000000"/>
          <w:sz w:val="28"/>
          <w:szCs w:val="28"/>
        </w:rPr>
        <w:t>ая</w:t>
      </w:r>
      <w:r w:rsidRPr="003B10E2">
        <w:rPr>
          <w:rFonts w:ascii="Times New Roman" w:eastAsia="Times New Roman" w:hAnsi="Times New Roman"/>
          <w:color w:val="000000"/>
          <w:sz w:val="28"/>
          <w:szCs w:val="28"/>
        </w:rPr>
        <w:t xml:space="preserve"> работ</w:t>
      </w:r>
      <w:r w:rsidR="00193CD4" w:rsidRPr="003B10E2">
        <w:rPr>
          <w:rFonts w:ascii="Times New Roman" w:eastAsia="Times New Roman" w:hAnsi="Times New Roman"/>
          <w:color w:val="000000"/>
          <w:sz w:val="28"/>
          <w:szCs w:val="28"/>
        </w:rPr>
        <w:t>а</w:t>
      </w:r>
      <w:r w:rsidRPr="003B10E2">
        <w:rPr>
          <w:rFonts w:ascii="Times New Roman" w:eastAsia="Times New Roman" w:hAnsi="Times New Roman"/>
          <w:color w:val="000000"/>
          <w:sz w:val="28"/>
          <w:szCs w:val="28"/>
        </w:rPr>
        <w:t xml:space="preserve">, наоборот, относится к области макроструктуры </w:t>
      </w:r>
      <w:r w:rsidR="005D427A" w:rsidRPr="003B10E2">
        <w:rPr>
          <w:rFonts w:ascii="Times New Roman" w:eastAsia="Times New Roman" w:hAnsi="Times New Roman"/>
          <w:color w:val="000000"/>
          <w:sz w:val="28"/>
          <w:szCs w:val="28"/>
        </w:rPr>
        <w:t>мирового рынка капитала</w:t>
      </w:r>
      <w:r w:rsidRPr="003B10E2">
        <w:rPr>
          <w:rFonts w:ascii="Times New Roman" w:eastAsia="Times New Roman" w:hAnsi="Times New Roman"/>
          <w:color w:val="000000"/>
          <w:sz w:val="28"/>
          <w:szCs w:val="28"/>
        </w:rPr>
        <w:t>.</w:t>
      </w:r>
    </w:p>
    <w:p w14:paraId="3DCB5C2E" w14:textId="77777777" w:rsidR="00671B66" w:rsidRPr="003B10E2" w:rsidRDefault="00671B66" w:rsidP="00FC5FA5">
      <w:pPr>
        <w:spacing w:after="0" w:line="360" w:lineRule="auto"/>
        <w:ind w:firstLine="851"/>
        <w:contextualSpacing/>
        <w:jc w:val="both"/>
        <w:rPr>
          <w:rFonts w:ascii="Times New Roman" w:eastAsia="Times New Roman" w:hAnsi="Times New Roman"/>
          <w:color w:val="000000"/>
          <w:sz w:val="28"/>
          <w:szCs w:val="28"/>
        </w:rPr>
      </w:pPr>
      <w:bookmarkStart w:id="22" w:name="_Hlk138264348"/>
      <w:r w:rsidRPr="003B10E2">
        <w:rPr>
          <w:rFonts w:ascii="Times New Roman" w:eastAsia="Times New Roman" w:hAnsi="Times New Roman"/>
          <w:color w:val="000000"/>
          <w:sz w:val="28"/>
          <w:szCs w:val="28"/>
        </w:rPr>
        <w:t>В настоящее время аспекты поведения инвесторов на финансовых рынках и структурных изменений исследуются сотрудниками многих вузов России и научных институтов</w:t>
      </w:r>
      <w:r w:rsidR="00F25DF5" w:rsidRPr="003B10E2">
        <w:rPr>
          <w:rFonts w:ascii="Times New Roman" w:eastAsia="Times New Roman" w:hAnsi="Times New Roman"/>
          <w:color w:val="000000"/>
          <w:sz w:val="28"/>
          <w:szCs w:val="28"/>
        </w:rPr>
        <w:t>, таких как</w:t>
      </w:r>
      <w:r w:rsidRPr="003B10E2">
        <w:rPr>
          <w:rFonts w:ascii="Times New Roman" w:eastAsia="Times New Roman" w:hAnsi="Times New Roman"/>
          <w:color w:val="000000"/>
          <w:sz w:val="28"/>
          <w:szCs w:val="28"/>
        </w:rPr>
        <w:t xml:space="preserve"> </w:t>
      </w:r>
      <w:r w:rsidR="00C60BA7" w:rsidRPr="003B10E2">
        <w:rPr>
          <w:rFonts w:ascii="Times New Roman" w:eastAsia="Times New Roman" w:hAnsi="Times New Roman"/>
          <w:color w:val="000000"/>
          <w:sz w:val="28"/>
          <w:szCs w:val="28"/>
        </w:rPr>
        <w:t xml:space="preserve">Институт Китая и современной Азии РАН, </w:t>
      </w:r>
      <w:r w:rsidRPr="003B10E2">
        <w:rPr>
          <w:rFonts w:ascii="Times New Roman" w:eastAsia="Times New Roman" w:hAnsi="Times New Roman"/>
          <w:color w:val="000000"/>
          <w:sz w:val="28"/>
          <w:szCs w:val="28"/>
        </w:rPr>
        <w:t>Институт экономики РАН, Национальный исследовательский институт мировой экономики и международных отношений имени Е.М. Примакова РАН, Институт народнохозяйственного прогнозирования РАН, Институт экономической политики им. Е.Т. Гайдара, Национальный исследовательский университет «Высшая школа экономики», Московский государственный университет им. М.В. Ломоносова, Финансовый университет при Правительстве Российской Федерации, Московский государственный институт международных отношений (университет) Министерства иностранных дел Российской Федерации.</w:t>
      </w:r>
      <w:r w:rsidRPr="003B10E2">
        <w:rPr>
          <w:rFonts w:ascii="Times New Roman" w:hAnsi="Times New Roman"/>
          <w:color w:val="000000"/>
          <w:sz w:val="28"/>
          <w:szCs w:val="28"/>
        </w:rPr>
        <w:t xml:space="preserve"> </w:t>
      </w:r>
    </w:p>
    <w:p w14:paraId="3D9C26CE" w14:textId="77777777" w:rsidR="006035CA" w:rsidRPr="003B10E2" w:rsidRDefault="00671B66" w:rsidP="00FC5FA5">
      <w:pPr>
        <w:spacing w:after="0" w:line="360" w:lineRule="auto"/>
        <w:ind w:firstLine="851"/>
        <w:contextualSpacing/>
        <w:jc w:val="both"/>
        <w:rPr>
          <w:rFonts w:ascii="Times New Roman" w:eastAsia="Times New Roman" w:hAnsi="Times New Roman"/>
          <w:color w:val="000000"/>
          <w:sz w:val="28"/>
          <w:szCs w:val="28"/>
        </w:rPr>
      </w:pPr>
      <w:bookmarkStart w:id="23" w:name="_Hlk121939354"/>
      <w:bookmarkEnd w:id="22"/>
      <w:r w:rsidRPr="003B10E2">
        <w:rPr>
          <w:rFonts w:ascii="Times New Roman" w:eastAsia="Times New Roman" w:hAnsi="Times New Roman"/>
          <w:b/>
          <w:color w:val="000000"/>
          <w:sz w:val="28"/>
          <w:szCs w:val="28"/>
        </w:rPr>
        <w:t>Цель исследования</w:t>
      </w:r>
      <w:bookmarkStart w:id="24" w:name="_Hlk121694157"/>
      <w:r w:rsidR="006035CA" w:rsidRPr="003B10E2">
        <w:rPr>
          <w:rFonts w:ascii="Times New Roman" w:eastAsia="Times New Roman" w:hAnsi="Times New Roman"/>
          <w:b/>
          <w:color w:val="000000"/>
          <w:sz w:val="28"/>
          <w:szCs w:val="28"/>
        </w:rPr>
        <w:t>:</w:t>
      </w:r>
      <w:r w:rsidR="006035CA" w:rsidRPr="003B10E2">
        <w:rPr>
          <w:rFonts w:ascii="Times New Roman" w:eastAsia="Times New Roman" w:hAnsi="Times New Roman"/>
          <w:color w:val="000000"/>
          <w:sz w:val="28"/>
          <w:szCs w:val="28"/>
        </w:rPr>
        <w:t xml:space="preserve"> </w:t>
      </w:r>
      <w:bookmarkStart w:id="25" w:name="_Hlk138264376"/>
      <w:r w:rsidRPr="003B10E2">
        <w:rPr>
          <w:rFonts w:ascii="Times New Roman" w:eastAsia="Times New Roman" w:hAnsi="Times New Roman"/>
          <w:color w:val="000000"/>
          <w:sz w:val="28"/>
          <w:szCs w:val="28"/>
        </w:rPr>
        <w:t xml:space="preserve">анализ </w:t>
      </w:r>
      <w:bookmarkStart w:id="26" w:name="_Hlk121694077"/>
      <w:bookmarkEnd w:id="24"/>
      <w:r w:rsidRPr="003B10E2">
        <w:rPr>
          <w:rFonts w:ascii="Times New Roman" w:eastAsia="Times New Roman" w:hAnsi="Times New Roman"/>
          <w:color w:val="000000"/>
          <w:sz w:val="28"/>
          <w:szCs w:val="28"/>
        </w:rPr>
        <w:t xml:space="preserve">российского </w:t>
      </w:r>
      <w:r w:rsidR="005D427A" w:rsidRPr="003B10E2">
        <w:rPr>
          <w:rFonts w:ascii="Times New Roman" w:eastAsia="Times New Roman" w:hAnsi="Times New Roman"/>
          <w:color w:val="000000"/>
          <w:sz w:val="28"/>
          <w:szCs w:val="28"/>
        </w:rPr>
        <w:t>мирового рынка капитала</w:t>
      </w:r>
      <w:r w:rsidRPr="003B10E2">
        <w:rPr>
          <w:rFonts w:ascii="Times New Roman" w:eastAsia="Times New Roman" w:hAnsi="Times New Roman"/>
          <w:color w:val="000000"/>
          <w:sz w:val="28"/>
          <w:szCs w:val="28"/>
        </w:rPr>
        <w:t xml:space="preserve">, а также структурных изменений и инвестиционных стратегий. </w:t>
      </w:r>
      <w:bookmarkEnd w:id="23"/>
    </w:p>
    <w:p w14:paraId="2A897B5D" w14:textId="77777777" w:rsidR="00671B66" w:rsidRPr="003B10E2" w:rsidRDefault="00671B66"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 xml:space="preserve">Для достижения данной цели </w:t>
      </w:r>
      <w:r w:rsidR="00EA41E0" w:rsidRPr="003B10E2">
        <w:rPr>
          <w:rFonts w:ascii="Times New Roman" w:eastAsia="Times New Roman" w:hAnsi="Times New Roman"/>
          <w:color w:val="000000"/>
          <w:sz w:val="28"/>
          <w:szCs w:val="28"/>
        </w:rPr>
        <w:t xml:space="preserve">были </w:t>
      </w:r>
      <w:r w:rsidRPr="003B10E2">
        <w:rPr>
          <w:rFonts w:ascii="Times New Roman" w:eastAsia="Times New Roman" w:hAnsi="Times New Roman"/>
          <w:color w:val="000000"/>
          <w:sz w:val="28"/>
          <w:szCs w:val="28"/>
        </w:rPr>
        <w:t xml:space="preserve">поставлены следующие </w:t>
      </w:r>
      <w:r w:rsidRPr="003B10E2">
        <w:rPr>
          <w:rFonts w:ascii="Times New Roman" w:eastAsia="Times New Roman" w:hAnsi="Times New Roman"/>
          <w:b/>
          <w:color w:val="000000"/>
          <w:sz w:val="28"/>
          <w:szCs w:val="28"/>
        </w:rPr>
        <w:t>задачи:</w:t>
      </w:r>
    </w:p>
    <w:p w14:paraId="774E600B" w14:textId="77777777" w:rsidR="00671B66" w:rsidRPr="003B10E2" w:rsidRDefault="006035CA"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 xml:space="preserve">- </w:t>
      </w:r>
      <w:r w:rsidR="00671B66" w:rsidRPr="003B10E2">
        <w:rPr>
          <w:rFonts w:ascii="Times New Roman" w:eastAsia="Times New Roman" w:hAnsi="Times New Roman"/>
          <w:color w:val="000000"/>
          <w:sz w:val="28"/>
          <w:szCs w:val="28"/>
        </w:rPr>
        <w:t>выявить закономерности финансовых теорий цен на активы и моделей прогнозирования волатильности цен на активы на</w:t>
      </w:r>
      <w:r w:rsidR="00C60BA7" w:rsidRPr="003B10E2">
        <w:rPr>
          <w:rFonts w:ascii="Times New Roman" w:eastAsia="Times New Roman" w:hAnsi="Times New Roman"/>
          <w:color w:val="000000"/>
          <w:sz w:val="28"/>
          <w:szCs w:val="28"/>
        </w:rPr>
        <w:t xml:space="preserve"> мировых</w:t>
      </w:r>
      <w:r w:rsidR="00671B66" w:rsidRPr="003B10E2">
        <w:rPr>
          <w:rFonts w:ascii="Times New Roman" w:eastAsia="Times New Roman" w:hAnsi="Times New Roman"/>
          <w:color w:val="000000"/>
          <w:sz w:val="28"/>
          <w:szCs w:val="28"/>
        </w:rPr>
        <w:t xml:space="preserve"> рынках капитала;</w:t>
      </w:r>
    </w:p>
    <w:p w14:paraId="14C78E38" w14:textId="77777777" w:rsidR="00671B66" w:rsidRPr="003B10E2" w:rsidRDefault="006035CA"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 xml:space="preserve">- </w:t>
      </w:r>
      <w:r w:rsidR="00671B66" w:rsidRPr="003B10E2">
        <w:rPr>
          <w:rFonts w:ascii="Times New Roman" w:eastAsia="Times New Roman" w:hAnsi="Times New Roman"/>
          <w:color w:val="000000"/>
          <w:sz w:val="28"/>
          <w:szCs w:val="28"/>
        </w:rPr>
        <w:t xml:space="preserve">осуществить анализ влияния глобального экономического кризиса </w:t>
      </w:r>
      <w:r w:rsidR="00185924" w:rsidRPr="003B10E2">
        <w:rPr>
          <w:rFonts w:ascii="Times New Roman" w:eastAsia="Times New Roman" w:hAnsi="Times New Roman"/>
          <w:color w:val="000000"/>
          <w:sz w:val="28"/>
          <w:szCs w:val="28"/>
        </w:rPr>
        <w:t xml:space="preserve">2008 года </w:t>
      </w:r>
      <w:r w:rsidR="00671B66" w:rsidRPr="003B10E2">
        <w:rPr>
          <w:rFonts w:ascii="Times New Roman" w:eastAsia="Times New Roman" w:hAnsi="Times New Roman"/>
          <w:color w:val="000000"/>
          <w:sz w:val="28"/>
          <w:szCs w:val="28"/>
        </w:rPr>
        <w:t xml:space="preserve">на состояние глобального </w:t>
      </w:r>
      <w:r w:rsidR="005D427A" w:rsidRPr="003B10E2">
        <w:rPr>
          <w:rFonts w:ascii="Times New Roman" w:eastAsia="Times New Roman" w:hAnsi="Times New Roman"/>
          <w:color w:val="000000"/>
          <w:sz w:val="28"/>
          <w:szCs w:val="28"/>
        </w:rPr>
        <w:t>мирового рынка капитала</w:t>
      </w:r>
      <w:r w:rsidR="00671B66" w:rsidRPr="003B10E2">
        <w:rPr>
          <w:rFonts w:ascii="Times New Roman" w:eastAsia="Times New Roman" w:hAnsi="Times New Roman"/>
          <w:color w:val="000000"/>
          <w:sz w:val="28"/>
          <w:szCs w:val="28"/>
        </w:rPr>
        <w:t xml:space="preserve"> </w:t>
      </w:r>
      <w:r w:rsidR="005C6FD6" w:rsidRPr="003B10E2">
        <w:rPr>
          <w:rFonts w:ascii="Times New Roman" w:eastAsia="Times New Roman" w:hAnsi="Times New Roman"/>
          <w:color w:val="000000"/>
          <w:sz w:val="28"/>
          <w:szCs w:val="28"/>
        </w:rPr>
        <w:t>(</w:t>
      </w:r>
      <w:r w:rsidR="00671B66" w:rsidRPr="003B10E2">
        <w:rPr>
          <w:rFonts w:ascii="Times New Roman" w:eastAsia="Times New Roman" w:hAnsi="Times New Roman"/>
          <w:color w:val="000000"/>
          <w:sz w:val="28"/>
          <w:szCs w:val="28"/>
        </w:rPr>
        <w:t>в целом</w:t>
      </w:r>
      <w:r w:rsidR="005C6FD6" w:rsidRPr="003B10E2">
        <w:rPr>
          <w:rFonts w:ascii="Times New Roman" w:eastAsia="Times New Roman" w:hAnsi="Times New Roman"/>
          <w:color w:val="000000"/>
          <w:sz w:val="28"/>
          <w:szCs w:val="28"/>
        </w:rPr>
        <w:t>)</w:t>
      </w:r>
      <w:r w:rsidR="00671B66" w:rsidRPr="003B10E2">
        <w:rPr>
          <w:rFonts w:ascii="Times New Roman" w:eastAsia="Times New Roman" w:hAnsi="Times New Roman"/>
          <w:color w:val="000000"/>
          <w:sz w:val="28"/>
          <w:szCs w:val="28"/>
        </w:rPr>
        <w:t xml:space="preserve"> и российского </w:t>
      </w:r>
      <w:r w:rsidR="005C6FD6" w:rsidRPr="003B10E2">
        <w:rPr>
          <w:rFonts w:ascii="Times New Roman" w:eastAsia="Times New Roman" w:hAnsi="Times New Roman"/>
          <w:color w:val="000000"/>
          <w:sz w:val="28"/>
          <w:szCs w:val="28"/>
        </w:rPr>
        <w:t xml:space="preserve">и китайского </w:t>
      </w:r>
      <w:r w:rsidR="005D427A" w:rsidRPr="003B10E2">
        <w:rPr>
          <w:rFonts w:ascii="Times New Roman" w:eastAsia="Times New Roman" w:hAnsi="Times New Roman"/>
          <w:color w:val="000000"/>
          <w:sz w:val="28"/>
          <w:szCs w:val="28"/>
        </w:rPr>
        <w:t>рынк</w:t>
      </w:r>
      <w:r w:rsidR="005C6FD6" w:rsidRPr="003B10E2">
        <w:rPr>
          <w:rFonts w:ascii="Times New Roman" w:eastAsia="Times New Roman" w:hAnsi="Times New Roman"/>
          <w:color w:val="000000"/>
          <w:sz w:val="28"/>
          <w:szCs w:val="28"/>
        </w:rPr>
        <w:t>ов</w:t>
      </w:r>
      <w:r w:rsidR="005D427A" w:rsidRPr="003B10E2">
        <w:rPr>
          <w:rFonts w:ascii="Times New Roman" w:eastAsia="Times New Roman" w:hAnsi="Times New Roman"/>
          <w:color w:val="000000"/>
          <w:sz w:val="28"/>
          <w:szCs w:val="28"/>
        </w:rPr>
        <w:t xml:space="preserve"> капитала</w:t>
      </w:r>
      <w:r w:rsidR="00671B66" w:rsidRPr="003B10E2">
        <w:rPr>
          <w:rFonts w:ascii="Times New Roman" w:eastAsia="Times New Roman" w:hAnsi="Times New Roman"/>
          <w:color w:val="000000"/>
          <w:sz w:val="28"/>
          <w:szCs w:val="28"/>
        </w:rPr>
        <w:t xml:space="preserve"> </w:t>
      </w:r>
      <w:r w:rsidR="005C6FD6" w:rsidRPr="003B10E2">
        <w:rPr>
          <w:rFonts w:ascii="Times New Roman" w:eastAsia="Times New Roman" w:hAnsi="Times New Roman"/>
          <w:color w:val="000000"/>
          <w:sz w:val="28"/>
          <w:szCs w:val="28"/>
        </w:rPr>
        <w:t>(</w:t>
      </w:r>
      <w:r w:rsidR="00671B66" w:rsidRPr="003B10E2">
        <w:rPr>
          <w:rFonts w:ascii="Times New Roman" w:eastAsia="Times New Roman" w:hAnsi="Times New Roman"/>
          <w:color w:val="000000"/>
          <w:sz w:val="28"/>
          <w:szCs w:val="28"/>
        </w:rPr>
        <w:t>в частности</w:t>
      </w:r>
      <w:r w:rsidR="005C6FD6" w:rsidRPr="003B10E2">
        <w:rPr>
          <w:rFonts w:ascii="Times New Roman" w:eastAsia="Times New Roman" w:hAnsi="Times New Roman"/>
          <w:color w:val="000000"/>
          <w:sz w:val="28"/>
          <w:szCs w:val="28"/>
        </w:rPr>
        <w:t>)</w:t>
      </w:r>
      <w:r w:rsidR="0082133C" w:rsidRPr="003B10E2">
        <w:rPr>
          <w:rFonts w:ascii="Times New Roman" w:eastAsia="Times New Roman" w:hAnsi="Times New Roman"/>
          <w:color w:val="000000"/>
          <w:sz w:val="28"/>
          <w:szCs w:val="28"/>
        </w:rPr>
        <w:t>;</w:t>
      </w:r>
    </w:p>
    <w:p w14:paraId="46A7B683" w14:textId="77777777" w:rsidR="00671B66" w:rsidRPr="003B10E2" w:rsidRDefault="006035CA"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 xml:space="preserve">- </w:t>
      </w:r>
      <w:r w:rsidR="00671B66" w:rsidRPr="003B10E2">
        <w:rPr>
          <w:rFonts w:ascii="Times New Roman" w:eastAsia="Times New Roman" w:hAnsi="Times New Roman"/>
          <w:color w:val="000000"/>
          <w:sz w:val="28"/>
          <w:szCs w:val="28"/>
        </w:rPr>
        <w:t xml:space="preserve">определить преимущества и недостатки наиболее влиятельных и востребованных в настоящее время финансовых теорий прогнозирования волатильности с точки зрения их применения для современного </w:t>
      </w:r>
      <w:r w:rsidR="005D427A" w:rsidRPr="003B10E2">
        <w:rPr>
          <w:rFonts w:ascii="Times New Roman" w:eastAsia="Times New Roman" w:hAnsi="Times New Roman"/>
          <w:color w:val="000000"/>
          <w:sz w:val="28"/>
          <w:szCs w:val="28"/>
        </w:rPr>
        <w:t>мирового рынка капитала</w:t>
      </w:r>
      <w:r w:rsidR="00671B66" w:rsidRPr="003B10E2">
        <w:rPr>
          <w:rFonts w:ascii="Times New Roman" w:eastAsia="Times New Roman" w:hAnsi="Times New Roman"/>
          <w:color w:val="000000"/>
          <w:sz w:val="28"/>
          <w:szCs w:val="28"/>
        </w:rPr>
        <w:t>;</w:t>
      </w:r>
    </w:p>
    <w:p w14:paraId="2B1193F6" w14:textId="77777777" w:rsidR="00671B66" w:rsidRPr="003B10E2" w:rsidRDefault="006035CA"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 xml:space="preserve">- </w:t>
      </w:r>
      <w:r w:rsidR="00671B66" w:rsidRPr="003B10E2">
        <w:rPr>
          <w:rFonts w:ascii="Times New Roman" w:eastAsia="Times New Roman" w:hAnsi="Times New Roman"/>
          <w:color w:val="000000"/>
          <w:sz w:val="28"/>
          <w:szCs w:val="28"/>
        </w:rPr>
        <w:t xml:space="preserve">на основе анализа тенденций развития российского </w:t>
      </w:r>
      <w:r w:rsidR="005D427A" w:rsidRPr="003B10E2">
        <w:rPr>
          <w:rFonts w:ascii="Times New Roman" w:eastAsia="Times New Roman" w:hAnsi="Times New Roman"/>
          <w:color w:val="000000"/>
          <w:sz w:val="28"/>
          <w:szCs w:val="28"/>
        </w:rPr>
        <w:t>мирового рынка капитала</w:t>
      </w:r>
      <w:r w:rsidR="00671B66" w:rsidRPr="003B10E2">
        <w:rPr>
          <w:rFonts w:ascii="Times New Roman" w:eastAsia="Times New Roman" w:hAnsi="Times New Roman"/>
          <w:color w:val="000000"/>
          <w:sz w:val="28"/>
          <w:szCs w:val="28"/>
        </w:rPr>
        <w:t xml:space="preserve"> и поведения глобальных институциональных инвесторов предложить оптимальные параметры осуществления инвестиционной стратегии </w:t>
      </w:r>
      <w:r w:rsidR="00671B66" w:rsidRPr="003B10E2">
        <w:rPr>
          <w:rFonts w:ascii="Times New Roman" w:eastAsia="Times New Roman" w:hAnsi="Times New Roman"/>
          <w:color w:val="000000"/>
          <w:sz w:val="28"/>
          <w:szCs w:val="28"/>
          <w:lang w:val="en-US"/>
        </w:rPr>
        <w:t>carry</w:t>
      </w:r>
      <w:r w:rsidR="00671B66" w:rsidRPr="003B10E2">
        <w:rPr>
          <w:rFonts w:ascii="Times New Roman" w:eastAsia="Times New Roman" w:hAnsi="Times New Roman"/>
          <w:color w:val="000000"/>
          <w:sz w:val="28"/>
          <w:szCs w:val="28"/>
        </w:rPr>
        <w:t xml:space="preserve"> </w:t>
      </w:r>
      <w:r w:rsidR="00671B66" w:rsidRPr="003B10E2">
        <w:rPr>
          <w:rFonts w:ascii="Times New Roman" w:eastAsia="Times New Roman" w:hAnsi="Times New Roman"/>
          <w:color w:val="000000"/>
          <w:sz w:val="28"/>
          <w:szCs w:val="28"/>
          <w:lang w:val="en-US"/>
        </w:rPr>
        <w:t>trade</w:t>
      </w:r>
      <w:r w:rsidR="00671B66" w:rsidRPr="003B10E2">
        <w:rPr>
          <w:rFonts w:ascii="Times New Roman" w:eastAsia="Times New Roman" w:hAnsi="Times New Roman"/>
          <w:color w:val="000000"/>
          <w:sz w:val="28"/>
          <w:szCs w:val="28"/>
        </w:rPr>
        <w:t xml:space="preserve"> на глобальном и </w:t>
      </w:r>
      <w:r w:rsidR="005C6FD6" w:rsidRPr="003B10E2">
        <w:rPr>
          <w:rFonts w:ascii="Times New Roman" w:eastAsia="Times New Roman" w:hAnsi="Times New Roman"/>
          <w:color w:val="000000"/>
          <w:sz w:val="28"/>
          <w:szCs w:val="28"/>
        </w:rPr>
        <w:t>локальном</w:t>
      </w:r>
      <w:r w:rsidR="00671B66" w:rsidRPr="003B10E2">
        <w:rPr>
          <w:rFonts w:ascii="Times New Roman" w:eastAsia="Times New Roman" w:hAnsi="Times New Roman"/>
          <w:color w:val="000000"/>
          <w:sz w:val="28"/>
          <w:szCs w:val="28"/>
        </w:rPr>
        <w:t xml:space="preserve"> финансовом рынке;</w:t>
      </w:r>
    </w:p>
    <w:p w14:paraId="5C660C12" w14:textId="77777777" w:rsidR="00671B66" w:rsidRPr="003B10E2" w:rsidRDefault="006035CA" w:rsidP="00784C08">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 xml:space="preserve">- </w:t>
      </w:r>
      <w:r w:rsidR="00671B66" w:rsidRPr="003B10E2">
        <w:rPr>
          <w:rFonts w:ascii="Times New Roman" w:eastAsia="Times New Roman" w:hAnsi="Times New Roman"/>
          <w:color w:val="000000"/>
          <w:sz w:val="28"/>
          <w:szCs w:val="28"/>
        </w:rPr>
        <w:t>рассмотреть альтернативные инвестиционные стратегии</w:t>
      </w:r>
      <w:r w:rsidR="00671B66" w:rsidRPr="003B10E2">
        <w:rPr>
          <w:rFonts w:ascii="Times New Roman" w:hAnsi="Times New Roman"/>
          <w:color w:val="000000"/>
          <w:sz w:val="28"/>
          <w:szCs w:val="28"/>
        </w:rPr>
        <w:t xml:space="preserve"> </w:t>
      </w:r>
      <w:r w:rsidR="00671B66" w:rsidRPr="003B10E2">
        <w:rPr>
          <w:rFonts w:ascii="Times New Roman" w:eastAsia="Times New Roman" w:hAnsi="Times New Roman"/>
          <w:color w:val="000000"/>
          <w:sz w:val="28"/>
          <w:szCs w:val="28"/>
        </w:rPr>
        <w:t>глобальных институциональных инвесторов на базе моделей прогнозирования волатильности финансовых активов, которые могли бы применяться в периоды замедления роста мировой экономики или периоды шоков на финансовых рынках;</w:t>
      </w:r>
    </w:p>
    <w:p w14:paraId="51EA0839" w14:textId="77777777" w:rsidR="00671B66" w:rsidRPr="003B10E2" w:rsidRDefault="006035CA" w:rsidP="00784C08">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 xml:space="preserve">- </w:t>
      </w:r>
      <w:r w:rsidR="00671B66" w:rsidRPr="003B10E2">
        <w:rPr>
          <w:rFonts w:ascii="Times New Roman" w:eastAsia="Times New Roman" w:hAnsi="Times New Roman"/>
          <w:color w:val="000000"/>
          <w:sz w:val="28"/>
          <w:szCs w:val="28"/>
        </w:rPr>
        <w:t>разработать механизмы прогнозирования цен и волатильности на рынке криптоактивов и оценить потенциал рынка криптоактивов для инвестиций.</w:t>
      </w:r>
    </w:p>
    <w:p w14:paraId="1A4A4BF3" w14:textId="77777777" w:rsidR="00671B66" w:rsidRPr="003B10E2" w:rsidRDefault="001A4562" w:rsidP="00784C08">
      <w:pPr>
        <w:widowControl w:val="0"/>
        <w:spacing w:after="0" w:line="360" w:lineRule="auto"/>
        <w:ind w:firstLine="851"/>
        <w:contextualSpacing/>
        <w:jc w:val="both"/>
        <w:rPr>
          <w:rFonts w:ascii="Times New Roman" w:eastAsia="Times New Roman" w:hAnsi="Times New Roman"/>
          <w:color w:val="000000"/>
          <w:sz w:val="28"/>
          <w:szCs w:val="28"/>
          <w:lang w:eastAsia="ar-SA"/>
        </w:rPr>
      </w:pPr>
      <w:bookmarkStart w:id="27" w:name="_Hlk122533708"/>
      <w:bookmarkStart w:id="28" w:name="_Hlk131415318"/>
      <w:bookmarkEnd w:id="25"/>
      <w:bookmarkEnd w:id="26"/>
      <w:r w:rsidRPr="003B10E2">
        <w:rPr>
          <w:rFonts w:ascii="Times New Roman" w:eastAsia="Times New Roman" w:hAnsi="Times New Roman"/>
          <w:b/>
          <w:iCs/>
          <w:color w:val="000000"/>
          <w:sz w:val="28"/>
          <w:szCs w:val="28"/>
          <w:lang w:eastAsia="ar-SA"/>
        </w:rPr>
        <w:t>Основная н</w:t>
      </w:r>
      <w:r w:rsidR="00671B66" w:rsidRPr="003B10E2">
        <w:rPr>
          <w:rFonts w:ascii="Times New Roman" w:eastAsia="Times New Roman" w:hAnsi="Times New Roman"/>
          <w:b/>
          <w:iCs/>
          <w:color w:val="000000"/>
          <w:sz w:val="28"/>
          <w:szCs w:val="28"/>
          <w:lang w:eastAsia="ar-SA"/>
        </w:rPr>
        <w:t>аучная гипотеза</w:t>
      </w:r>
      <w:r w:rsidR="00671B66" w:rsidRPr="003B10E2">
        <w:rPr>
          <w:rFonts w:ascii="Times New Roman" w:eastAsia="Times New Roman" w:hAnsi="Times New Roman"/>
          <w:color w:val="000000"/>
          <w:sz w:val="28"/>
          <w:szCs w:val="28"/>
          <w:lang w:eastAsia="ar-SA"/>
        </w:rPr>
        <w:t xml:space="preserve"> работы состоит в предположении об изменении поведения инвесторов на </w:t>
      </w:r>
      <w:r w:rsidR="00C60BA7" w:rsidRPr="003B10E2">
        <w:rPr>
          <w:rFonts w:ascii="Times New Roman" w:eastAsia="Times New Roman" w:hAnsi="Times New Roman"/>
          <w:color w:val="000000"/>
          <w:sz w:val="28"/>
          <w:szCs w:val="28"/>
          <w:lang w:eastAsia="ar-SA"/>
        </w:rPr>
        <w:t>мировом</w:t>
      </w:r>
      <w:r w:rsidR="00671B66" w:rsidRPr="003B10E2">
        <w:rPr>
          <w:rFonts w:ascii="Times New Roman" w:eastAsia="Times New Roman" w:hAnsi="Times New Roman"/>
          <w:color w:val="000000"/>
          <w:sz w:val="28"/>
          <w:szCs w:val="28"/>
          <w:lang w:eastAsia="ar-SA"/>
        </w:rPr>
        <w:t xml:space="preserve"> рынке капитала после валютного кризиса 2014 – 2015 гг. </w:t>
      </w:r>
      <w:bookmarkEnd w:id="27"/>
    </w:p>
    <w:p w14:paraId="2F506991" w14:textId="77777777" w:rsidR="00671B66" w:rsidRPr="003B10E2" w:rsidRDefault="00671B66" w:rsidP="00784C08">
      <w:pPr>
        <w:spacing w:after="0" w:line="360" w:lineRule="auto"/>
        <w:ind w:firstLine="851"/>
        <w:contextualSpacing/>
        <w:jc w:val="both"/>
        <w:rPr>
          <w:rFonts w:ascii="Times New Roman" w:eastAsia="Times New Roman" w:hAnsi="Times New Roman"/>
          <w:color w:val="000000"/>
          <w:sz w:val="28"/>
          <w:szCs w:val="28"/>
        </w:rPr>
      </w:pPr>
      <w:bookmarkStart w:id="29" w:name="_Hlk138264840"/>
      <w:bookmarkEnd w:id="28"/>
      <w:r w:rsidRPr="003B10E2">
        <w:rPr>
          <w:rFonts w:ascii="Times New Roman" w:eastAsia="Times New Roman" w:hAnsi="Times New Roman"/>
          <w:b/>
          <w:iCs/>
          <w:color w:val="000000"/>
          <w:sz w:val="28"/>
          <w:szCs w:val="28"/>
          <w:lang w:eastAsia="ar-SA"/>
        </w:rPr>
        <w:t>Научная новизна</w:t>
      </w:r>
      <w:r w:rsidRPr="003B10E2">
        <w:rPr>
          <w:rFonts w:ascii="Times New Roman" w:eastAsia="Times New Roman" w:hAnsi="Times New Roman"/>
          <w:i/>
          <w:iCs/>
          <w:color w:val="000000"/>
          <w:sz w:val="28"/>
          <w:szCs w:val="28"/>
          <w:lang w:eastAsia="ar-SA"/>
        </w:rPr>
        <w:t xml:space="preserve"> </w:t>
      </w:r>
      <w:r w:rsidR="009E6153" w:rsidRPr="003B10E2">
        <w:rPr>
          <w:rFonts w:ascii="Times New Roman" w:eastAsia="Times New Roman" w:hAnsi="Times New Roman"/>
          <w:color w:val="000000"/>
          <w:sz w:val="28"/>
          <w:szCs w:val="28"/>
          <w:lang w:eastAsia="ar-SA"/>
        </w:rPr>
        <w:t xml:space="preserve">состоит во включении в международную валютно-финансовую политику России и Китая компонента деятельного формирования финансового поведения </w:t>
      </w:r>
      <w:r w:rsidR="000D222C" w:rsidRPr="003B10E2">
        <w:rPr>
          <w:rFonts w:ascii="Times New Roman" w:eastAsia="Times New Roman" w:hAnsi="Times New Roman"/>
          <w:color w:val="000000"/>
          <w:sz w:val="28"/>
          <w:szCs w:val="28"/>
          <w:lang w:eastAsia="ar-SA"/>
        </w:rPr>
        <w:t>партнеров,</w:t>
      </w:r>
      <w:r w:rsidR="009E6153" w:rsidRPr="003B10E2">
        <w:rPr>
          <w:rFonts w:ascii="Times New Roman" w:eastAsia="Times New Roman" w:hAnsi="Times New Roman"/>
          <w:color w:val="000000"/>
          <w:sz w:val="28"/>
          <w:szCs w:val="28"/>
          <w:lang w:eastAsia="ar-SA"/>
        </w:rPr>
        <w:t xml:space="preserve"> а также </w:t>
      </w:r>
      <w:r w:rsidRPr="003B10E2">
        <w:rPr>
          <w:rFonts w:ascii="Times New Roman" w:eastAsia="Times New Roman" w:hAnsi="Times New Roman"/>
          <w:color w:val="000000"/>
          <w:sz w:val="28"/>
          <w:szCs w:val="28"/>
          <w:lang w:eastAsia="ar-SA"/>
        </w:rPr>
        <w:t>следующими полученными автором научными результатами, выносимыми на защиту.</w:t>
      </w:r>
    </w:p>
    <w:p w14:paraId="3AEEB3AC" w14:textId="77777777" w:rsidR="00671B66" w:rsidRPr="003B10E2" w:rsidRDefault="006035CA" w:rsidP="00FC5FA5">
      <w:pPr>
        <w:spacing w:after="0" w:line="360" w:lineRule="auto"/>
        <w:ind w:firstLine="851"/>
        <w:contextualSpacing/>
        <w:jc w:val="both"/>
        <w:rPr>
          <w:rFonts w:ascii="Times New Roman" w:eastAsia="Times New Roman" w:hAnsi="Times New Roman"/>
          <w:color w:val="000000"/>
          <w:sz w:val="28"/>
          <w:szCs w:val="28"/>
        </w:rPr>
      </w:pPr>
      <w:bookmarkStart w:id="30" w:name="_Hlk147771266"/>
      <w:r w:rsidRPr="003B10E2">
        <w:rPr>
          <w:rFonts w:ascii="Times New Roman" w:eastAsia="Times New Roman" w:hAnsi="Times New Roman"/>
          <w:color w:val="000000"/>
          <w:sz w:val="28"/>
          <w:szCs w:val="28"/>
        </w:rPr>
        <w:t xml:space="preserve">1. </w:t>
      </w:r>
      <w:r w:rsidR="00671B66" w:rsidRPr="003B10E2">
        <w:rPr>
          <w:rFonts w:ascii="Times New Roman" w:eastAsia="Times New Roman" w:hAnsi="Times New Roman"/>
          <w:color w:val="000000"/>
          <w:sz w:val="28"/>
          <w:szCs w:val="28"/>
        </w:rPr>
        <w:t xml:space="preserve">Выявлены </w:t>
      </w:r>
      <w:bookmarkStart w:id="31" w:name="_Hlk138265958"/>
      <w:r w:rsidR="00671B66" w:rsidRPr="003B10E2">
        <w:rPr>
          <w:rFonts w:ascii="Times New Roman" w:eastAsia="Times New Roman" w:hAnsi="Times New Roman"/>
          <w:color w:val="000000"/>
          <w:sz w:val="28"/>
          <w:szCs w:val="28"/>
        </w:rPr>
        <w:t>закономерности эволюции финансовых теорий цен на активы и моделей прогнозирования волатильности цен на активы на рынках капитала</w:t>
      </w:r>
      <w:r w:rsidR="000D222C" w:rsidRPr="003B10E2">
        <w:rPr>
          <w:rFonts w:ascii="Times New Roman" w:eastAsia="Times New Roman" w:hAnsi="Times New Roman"/>
          <w:color w:val="000000"/>
          <w:sz w:val="28"/>
          <w:szCs w:val="28"/>
        </w:rPr>
        <w:t xml:space="preserve"> России и Китая</w:t>
      </w:r>
      <w:r w:rsidR="00671B66" w:rsidRPr="003B10E2">
        <w:rPr>
          <w:rFonts w:ascii="Times New Roman" w:eastAsia="Times New Roman" w:hAnsi="Times New Roman"/>
          <w:color w:val="000000"/>
          <w:sz w:val="28"/>
          <w:szCs w:val="28"/>
        </w:rPr>
        <w:t xml:space="preserve">. Собраны доказательства высокой точности и надежности моделей долгой памяти для прогнозирования волатильности динамики цен для различных классов финансовых активов. Предложены теоретические основы оценки криптоактивов как нового сегмента глобального </w:t>
      </w:r>
      <w:r w:rsidR="005D427A" w:rsidRPr="003B10E2">
        <w:rPr>
          <w:rFonts w:ascii="Times New Roman" w:eastAsia="Times New Roman" w:hAnsi="Times New Roman"/>
          <w:color w:val="000000"/>
          <w:sz w:val="28"/>
          <w:szCs w:val="28"/>
        </w:rPr>
        <w:t>мирового рынка капитала</w:t>
      </w:r>
      <w:r w:rsidR="00671B66" w:rsidRPr="003B10E2">
        <w:rPr>
          <w:rFonts w:ascii="Times New Roman" w:eastAsia="Times New Roman" w:hAnsi="Times New Roman"/>
          <w:color w:val="000000"/>
          <w:sz w:val="28"/>
          <w:szCs w:val="28"/>
        </w:rPr>
        <w:t xml:space="preserve">.  </w:t>
      </w:r>
      <w:bookmarkEnd w:id="31"/>
    </w:p>
    <w:p w14:paraId="726F98B6" w14:textId="77777777" w:rsidR="00671B66" w:rsidRPr="003B10E2" w:rsidRDefault="000D222C"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 xml:space="preserve">2. </w:t>
      </w:r>
      <w:r w:rsidR="00D32EE3" w:rsidRPr="003B10E2">
        <w:rPr>
          <w:rFonts w:ascii="Times New Roman" w:eastAsia="Times New Roman" w:hAnsi="Times New Roman"/>
          <w:color w:val="000000"/>
          <w:sz w:val="28"/>
          <w:szCs w:val="28"/>
        </w:rPr>
        <w:t>Неприятие</w:t>
      </w:r>
      <w:r w:rsidR="00671B66" w:rsidRPr="003B10E2">
        <w:rPr>
          <w:rFonts w:ascii="Times New Roman" w:eastAsia="Times New Roman" w:hAnsi="Times New Roman"/>
          <w:color w:val="000000"/>
          <w:sz w:val="28"/>
          <w:szCs w:val="28"/>
        </w:rPr>
        <w:t xml:space="preserve"> риск</w:t>
      </w:r>
      <w:r w:rsidR="00D32EE3" w:rsidRPr="003B10E2">
        <w:rPr>
          <w:rFonts w:ascii="Times New Roman" w:eastAsia="Times New Roman" w:hAnsi="Times New Roman"/>
          <w:color w:val="000000"/>
          <w:sz w:val="28"/>
          <w:szCs w:val="28"/>
        </w:rPr>
        <w:t>а</w:t>
      </w:r>
      <w:r w:rsidR="00671B66" w:rsidRPr="003B10E2">
        <w:rPr>
          <w:rFonts w:ascii="Times New Roman" w:eastAsia="Times New Roman" w:hAnsi="Times New Roman"/>
          <w:color w:val="000000"/>
          <w:sz w:val="28"/>
          <w:szCs w:val="28"/>
        </w:rPr>
        <w:t xml:space="preserve"> и негативные настроения в модели поведения российских</w:t>
      </w:r>
      <w:r w:rsidR="005C6FD6" w:rsidRPr="003B10E2">
        <w:rPr>
          <w:rFonts w:ascii="Times New Roman" w:eastAsia="Times New Roman" w:hAnsi="Times New Roman"/>
          <w:color w:val="000000"/>
          <w:sz w:val="28"/>
          <w:szCs w:val="28"/>
        </w:rPr>
        <w:t xml:space="preserve"> и китайских</w:t>
      </w:r>
      <w:r w:rsidR="00671B66" w:rsidRPr="003B10E2">
        <w:rPr>
          <w:rFonts w:ascii="Times New Roman" w:eastAsia="Times New Roman" w:hAnsi="Times New Roman"/>
          <w:color w:val="000000"/>
          <w:sz w:val="28"/>
          <w:szCs w:val="28"/>
        </w:rPr>
        <w:t xml:space="preserve"> фондов долгового рынка варьируются сезонно. Денежные потоки в фонды облигаций выше средних значений осенью и зимой. Различные</w:t>
      </w:r>
      <w:r w:rsidR="001A4562" w:rsidRPr="003B10E2">
        <w:rPr>
          <w:rFonts w:ascii="Times New Roman" w:eastAsia="Times New Roman" w:hAnsi="Times New Roman"/>
          <w:color w:val="000000"/>
          <w:sz w:val="28"/>
          <w:szCs w:val="28"/>
        </w:rPr>
        <w:t xml:space="preserve"> </w:t>
      </w:r>
      <w:r w:rsidR="00671B66" w:rsidRPr="003B10E2">
        <w:rPr>
          <w:rFonts w:ascii="Times New Roman" w:eastAsia="Times New Roman" w:hAnsi="Times New Roman"/>
          <w:color w:val="000000"/>
          <w:sz w:val="28"/>
          <w:szCs w:val="28"/>
        </w:rPr>
        <w:t xml:space="preserve">стили поведения могут быть альтернативными драйверами специфических различий фонда. </w:t>
      </w:r>
    </w:p>
    <w:p w14:paraId="3E42660B" w14:textId="77777777" w:rsidR="00671B66" w:rsidRPr="003B10E2" w:rsidRDefault="000D222C"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3</w:t>
      </w:r>
      <w:r w:rsidR="006035CA" w:rsidRPr="003B10E2">
        <w:rPr>
          <w:rFonts w:ascii="Times New Roman" w:eastAsia="Times New Roman" w:hAnsi="Times New Roman"/>
          <w:color w:val="000000"/>
          <w:sz w:val="28"/>
          <w:szCs w:val="28"/>
        </w:rPr>
        <w:t xml:space="preserve">. </w:t>
      </w:r>
      <w:r w:rsidR="007521E9" w:rsidRPr="003B10E2">
        <w:rPr>
          <w:rFonts w:ascii="Times New Roman" w:eastAsia="Times New Roman" w:hAnsi="Times New Roman"/>
          <w:color w:val="000000"/>
          <w:sz w:val="28"/>
          <w:szCs w:val="28"/>
        </w:rPr>
        <w:t>Показано эмпирически, что российский и китайский рынки капитала в посткризисный период (2013 – 2022 гг.) имеют высокие показатели реальной дивидендной доходности акций и доходности к погашению облигаций. Приток (отток) инвестиций со стороны инвесторов на российском и китайском рынках акций и облигаций зависел в 2013-2022 гг, от дивидендной доходности. Повышенная премия за риск компенсируется инвесторам с помощью высокой дивидендной доходности (9,5% годовых).</w:t>
      </w:r>
    </w:p>
    <w:p w14:paraId="14518B71" w14:textId="77777777" w:rsidR="00671B66" w:rsidRPr="003B10E2" w:rsidRDefault="000D222C"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4</w:t>
      </w:r>
      <w:r w:rsidR="00EA41E0" w:rsidRPr="003B10E2">
        <w:rPr>
          <w:rFonts w:ascii="Times New Roman" w:eastAsia="Times New Roman" w:hAnsi="Times New Roman"/>
          <w:color w:val="000000"/>
          <w:sz w:val="28"/>
          <w:szCs w:val="28"/>
        </w:rPr>
        <w:t xml:space="preserve">. </w:t>
      </w:r>
      <w:bookmarkStart w:id="32" w:name="_Hlk147771548"/>
      <w:r w:rsidR="00671B66" w:rsidRPr="003B10E2">
        <w:rPr>
          <w:rFonts w:ascii="Times New Roman" w:eastAsia="Times New Roman" w:hAnsi="Times New Roman"/>
          <w:color w:val="000000"/>
          <w:sz w:val="28"/>
          <w:szCs w:val="28"/>
        </w:rPr>
        <w:t xml:space="preserve">Предложены оптимальные параметры осуществления инвестиционной стратегии carry trade на основе анализа современных тенденций развития российского </w:t>
      </w:r>
      <w:r w:rsidR="005C6FD6" w:rsidRPr="003B10E2">
        <w:rPr>
          <w:rFonts w:ascii="Times New Roman" w:eastAsia="Times New Roman" w:hAnsi="Times New Roman"/>
          <w:color w:val="000000"/>
          <w:sz w:val="28"/>
          <w:szCs w:val="28"/>
        </w:rPr>
        <w:t xml:space="preserve">и китайского </w:t>
      </w:r>
      <w:r w:rsidR="005D427A" w:rsidRPr="003B10E2">
        <w:rPr>
          <w:rFonts w:ascii="Times New Roman" w:eastAsia="Times New Roman" w:hAnsi="Times New Roman"/>
          <w:color w:val="000000"/>
          <w:sz w:val="28"/>
          <w:szCs w:val="28"/>
        </w:rPr>
        <w:t>рынка капитала</w:t>
      </w:r>
      <w:r w:rsidR="00671B66" w:rsidRPr="003B10E2">
        <w:rPr>
          <w:rFonts w:ascii="Times New Roman" w:eastAsia="Times New Roman" w:hAnsi="Times New Roman"/>
          <w:color w:val="000000"/>
          <w:sz w:val="28"/>
          <w:szCs w:val="28"/>
        </w:rPr>
        <w:t xml:space="preserve"> и особенностей поведения глобальных институциональных инвесторов. Доходность по валютным стратегиям carry trade положительно коррелирует с периодами повышения рыночной ликвидности и отражает увеличение доходности относительно предыдущего периода. В периоды экономических кризисов стратегия carry trade становится убыточной, и реализуется риск, связанный с паритетом процентных ставок между валютами двух стран. </w:t>
      </w:r>
      <w:bookmarkEnd w:id="32"/>
    </w:p>
    <w:p w14:paraId="175F208E" w14:textId="77777777" w:rsidR="00671B66" w:rsidRPr="003B10E2" w:rsidRDefault="000D222C" w:rsidP="00FC5FA5">
      <w:pPr>
        <w:spacing w:after="0" w:line="360" w:lineRule="auto"/>
        <w:ind w:firstLine="851"/>
        <w:contextualSpacing/>
        <w:jc w:val="both"/>
        <w:rPr>
          <w:rFonts w:ascii="Times New Roman" w:eastAsia="Times New Roman" w:hAnsi="Times New Roman"/>
          <w:color w:val="000000"/>
          <w:sz w:val="28"/>
          <w:szCs w:val="28"/>
        </w:rPr>
      </w:pPr>
      <w:bookmarkStart w:id="33" w:name="_Hlk122544496"/>
      <w:r w:rsidRPr="003B10E2">
        <w:rPr>
          <w:rFonts w:ascii="Times New Roman" w:eastAsia="Times New Roman" w:hAnsi="Times New Roman"/>
          <w:color w:val="000000"/>
          <w:sz w:val="28"/>
          <w:szCs w:val="28"/>
        </w:rPr>
        <w:t>5</w:t>
      </w:r>
      <w:r w:rsidR="00671B66" w:rsidRPr="003B10E2">
        <w:rPr>
          <w:rFonts w:ascii="Times New Roman" w:eastAsia="Times New Roman" w:hAnsi="Times New Roman"/>
          <w:color w:val="000000"/>
          <w:sz w:val="28"/>
          <w:szCs w:val="28"/>
        </w:rPr>
        <w:t xml:space="preserve">. </w:t>
      </w:r>
      <w:bookmarkEnd w:id="33"/>
      <w:r w:rsidR="00484557" w:rsidRPr="003B10E2">
        <w:rPr>
          <w:rFonts w:ascii="Times New Roman" w:eastAsia="Times New Roman" w:hAnsi="Times New Roman"/>
          <w:color w:val="000000"/>
          <w:sz w:val="28"/>
          <w:szCs w:val="28"/>
        </w:rPr>
        <w:t>Произведена оценка передачи внешних шоков на рынке облигаций Китая и Росси, которая осуще</w:t>
      </w:r>
      <w:r w:rsidR="005B09AA" w:rsidRPr="003B10E2">
        <w:rPr>
          <w:rFonts w:ascii="Times New Roman" w:eastAsia="Times New Roman" w:hAnsi="Times New Roman"/>
          <w:color w:val="000000"/>
          <w:sz w:val="28"/>
          <w:szCs w:val="28"/>
        </w:rPr>
        <w:t>с</w:t>
      </w:r>
      <w:r w:rsidR="00484557" w:rsidRPr="003B10E2">
        <w:rPr>
          <w:rFonts w:ascii="Times New Roman" w:eastAsia="Times New Roman" w:hAnsi="Times New Roman"/>
          <w:color w:val="000000"/>
          <w:sz w:val="28"/>
          <w:szCs w:val="28"/>
        </w:rPr>
        <w:t>тсвляется через три канала: регуляторный канал, канал предложения ликвидности, канал риск-аппетита глобальных инвесторов.</w:t>
      </w:r>
    </w:p>
    <w:p w14:paraId="3770AB66" w14:textId="77777777" w:rsidR="00B63385" w:rsidRPr="003B10E2" w:rsidRDefault="00B63385" w:rsidP="00B63385">
      <w:pPr>
        <w:spacing w:after="0" w:line="360" w:lineRule="auto"/>
        <w:ind w:firstLine="851"/>
        <w:contextualSpacing/>
        <w:jc w:val="both"/>
        <w:rPr>
          <w:rFonts w:ascii="Times New Roman" w:eastAsia="Times New Roman" w:hAnsi="Times New Roman"/>
          <w:color w:val="000000"/>
          <w:sz w:val="28"/>
          <w:szCs w:val="28"/>
        </w:rPr>
      </w:pPr>
      <w:bookmarkStart w:id="34" w:name="_Hlk138264724"/>
      <w:bookmarkEnd w:id="29"/>
      <w:bookmarkEnd w:id="30"/>
      <w:r w:rsidRPr="003B10E2">
        <w:rPr>
          <w:rFonts w:ascii="Times New Roman" w:eastAsia="Times New Roman" w:hAnsi="Times New Roman"/>
          <w:b/>
          <w:color w:val="000000"/>
          <w:sz w:val="28"/>
          <w:szCs w:val="28"/>
        </w:rPr>
        <w:t>Теоретическая значимость</w:t>
      </w:r>
      <w:r w:rsidRPr="003B10E2">
        <w:rPr>
          <w:rFonts w:ascii="Times New Roman" w:eastAsia="Times New Roman" w:hAnsi="Times New Roman"/>
          <w:color w:val="000000"/>
          <w:sz w:val="28"/>
          <w:szCs w:val="28"/>
        </w:rPr>
        <w:t xml:space="preserve"> диссертационного исследования заключается в возможности применения полученных результатов </w:t>
      </w:r>
      <w:r w:rsidR="00B56C17" w:rsidRPr="003B10E2">
        <w:rPr>
          <w:rFonts w:ascii="Times New Roman" w:eastAsia="Times New Roman" w:hAnsi="Times New Roman"/>
          <w:color w:val="000000"/>
          <w:sz w:val="28"/>
          <w:szCs w:val="28"/>
        </w:rPr>
        <w:t>для прогнозирования</w:t>
      </w:r>
      <w:r w:rsidRPr="003B10E2">
        <w:rPr>
          <w:rFonts w:ascii="Times New Roman" w:eastAsia="Times New Roman" w:hAnsi="Times New Roman"/>
          <w:color w:val="000000"/>
          <w:sz w:val="28"/>
          <w:szCs w:val="28"/>
        </w:rPr>
        <w:t xml:space="preserve"> волатильности цен финансовых активов на мировом рынке капитала.</w:t>
      </w:r>
    </w:p>
    <w:p w14:paraId="786C2A4A" w14:textId="77777777" w:rsidR="00B63385" w:rsidRPr="003B10E2" w:rsidRDefault="00B63385" w:rsidP="00B6338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b/>
          <w:color w:val="000000"/>
          <w:sz w:val="28"/>
          <w:szCs w:val="28"/>
        </w:rPr>
        <w:t>Практическая значимость полученных результатов.</w:t>
      </w:r>
      <w:r w:rsidRPr="003B10E2">
        <w:rPr>
          <w:rFonts w:ascii="Times New Roman" w:eastAsia="Times New Roman" w:hAnsi="Times New Roman"/>
          <w:color w:val="000000"/>
          <w:sz w:val="28"/>
          <w:szCs w:val="28"/>
        </w:rPr>
        <w:t xml:space="preserve"> Результаты исследования могут быть применены при разработке программ стратегического развития рынка капитала России и Китая и нормативных документов регулирования рынка криптоактивов.</w:t>
      </w:r>
    </w:p>
    <w:p w14:paraId="689F4899" w14:textId="77777777" w:rsidR="00671B66" w:rsidRPr="003B10E2" w:rsidRDefault="00671B66" w:rsidP="00B6338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b/>
          <w:color w:val="000000"/>
          <w:sz w:val="28"/>
          <w:szCs w:val="28"/>
          <w:lang w:eastAsia="ar-SA"/>
        </w:rPr>
        <w:t>Методологической основой</w:t>
      </w:r>
      <w:r w:rsidRPr="003B10E2">
        <w:rPr>
          <w:rFonts w:ascii="Times New Roman" w:eastAsia="Times New Roman" w:hAnsi="Times New Roman"/>
          <w:color w:val="000000"/>
          <w:sz w:val="28"/>
          <w:szCs w:val="28"/>
          <w:lang w:eastAsia="ar-SA"/>
        </w:rPr>
        <w:t xml:space="preserve"> </w:t>
      </w:r>
      <w:bookmarkStart w:id="35" w:name="_Hlk147771117"/>
      <w:r w:rsidR="009E6153" w:rsidRPr="003B10E2">
        <w:rPr>
          <w:rFonts w:ascii="Times New Roman" w:eastAsia="Times New Roman" w:hAnsi="Times New Roman"/>
          <w:color w:val="000000"/>
          <w:sz w:val="28"/>
          <w:szCs w:val="28"/>
          <w:lang w:eastAsia="ar-SA"/>
        </w:rPr>
        <w:t xml:space="preserve">является обоснование выборки фундаментальных условий международной конкуренции, включая структурные изменения мирового финансового капитала, действий российских инвестиционных фондов на мировом рынке капитала, расширение использования Россией цифровых финансовых технологий, короме этого </w:t>
      </w:r>
      <w:r w:rsidRPr="003B10E2">
        <w:rPr>
          <w:rFonts w:ascii="Times New Roman" w:eastAsia="Times New Roman" w:hAnsi="Times New Roman"/>
          <w:color w:val="000000"/>
          <w:sz w:val="28"/>
          <w:szCs w:val="28"/>
        </w:rPr>
        <w:t>экономико-математическое моделирование</w:t>
      </w:r>
      <w:r w:rsidR="009E6153" w:rsidRPr="003B10E2">
        <w:rPr>
          <w:rFonts w:ascii="Times New Roman" w:eastAsia="Times New Roman" w:hAnsi="Times New Roman"/>
          <w:color w:val="000000"/>
          <w:sz w:val="28"/>
          <w:szCs w:val="28"/>
        </w:rPr>
        <w:t>.</w:t>
      </w:r>
      <w:bookmarkEnd w:id="35"/>
    </w:p>
    <w:p w14:paraId="41B10F31" w14:textId="77777777" w:rsidR="00671B66" w:rsidRPr="003B10E2" w:rsidRDefault="00671B66" w:rsidP="00FC5FA5">
      <w:pPr>
        <w:spacing w:after="0" w:line="360" w:lineRule="auto"/>
        <w:ind w:firstLine="851"/>
        <w:contextualSpacing/>
        <w:jc w:val="both"/>
        <w:rPr>
          <w:rFonts w:ascii="Times New Roman" w:hAnsi="Times New Roman"/>
          <w:color w:val="000000"/>
          <w:sz w:val="28"/>
          <w:szCs w:val="28"/>
        </w:rPr>
      </w:pPr>
      <w:bookmarkStart w:id="36" w:name="_Hlk138264304"/>
      <w:bookmarkEnd w:id="34"/>
      <w:r w:rsidRPr="003B10E2">
        <w:rPr>
          <w:rFonts w:ascii="Times New Roman" w:eastAsia="Times New Roman" w:hAnsi="Times New Roman"/>
          <w:color w:val="000000"/>
          <w:sz w:val="28"/>
          <w:szCs w:val="28"/>
        </w:rPr>
        <w:t xml:space="preserve">Вопросы тенденций российского </w:t>
      </w:r>
      <w:r w:rsidR="005D427A" w:rsidRPr="003B10E2">
        <w:rPr>
          <w:rFonts w:ascii="Times New Roman" w:eastAsia="Times New Roman" w:hAnsi="Times New Roman"/>
          <w:color w:val="000000"/>
          <w:sz w:val="28"/>
          <w:szCs w:val="28"/>
        </w:rPr>
        <w:t>мирового рынка капитала</w:t>
      </w:r>
      <w:r w:rsidRPr="003B10E2">
        <w:rPr>
          <w:rFonts w:ascii="Times New Roman" w:eastAsia="Times New Roman" w:hAnsi="Times New Roman"/>
          <w:color w:val="000000"/>
          <w:sz w:val="28"/>
          <w:szCs w:val="28"/>
        </w:rPr>
        <w:t xml:space="preserve"> рассматриваются в трудах отечественных исследователей: А. Е. Абрамова,</w:t>
      </w:r>
      <w:r w:rsidRPr="003B10E2">
        <w:rPr>
          <w:rFonts w:ascii="Times New Roman" w:hAnsi="Times New Roman"/>
          <w:color w:val="000000"/>
          <w:sz w:val="28"/>
          <w:szCs w:val="28"/>
        </w:rPr>
        <w:t xml:space="preserve"> М. А. Абрамовой, Л. Н. Андриановой, Н. И. Берзона,</w:t>
      </w:r>
      <w:r w:rsidRPr="003B10E2">
        <w:rPr>
          <w:rFonts w:ascii="Times New Roman" w:eastAsia="Times New Roman" w:hAnsi="Times New Roman"/>
          <w:color w:val="000000"/>
          <w:sz w:val="28"/>
          <w:szCs w:val="28"/>
        </w:rPr>
        <w:t xml:space="preserve"> Е. Т</w:t>
      </w:r>
      <w:r w:rsidR="00C3193F" w:rsidRPr="003B10E2">
        <w:rPr>
          <w:rFonts w:ascii="Times New Roman" w:eastAsia="Times New Roman" w:hAnsi="Times New Roman"/>
          <w:color w:val="000000"/>
          <w:sz w:val="28"/>
          <w:szCs w:val="28"/>
        </w:rPr>
        <w:t>. Гурвича, И. А. Гусевой, С. М. </w:t>
      </w:r>
      <w:r w:rsidRPr="003B10E2">
        <w:rPr>
          <w:rFonts w:ascii="Times New Roman" w:eastAsia="Times New Roman" w:hAnsi="Times New Roman"/>
          <w:color w:val="000000"/>
          <w:sz w:val="28"/>
          <w:szCs w:val="28"/>
        </w:rPr>
        <w:t xml:space="preserve">Дробышевского, М. В. Ершова, О. И. </w:t>
      </w:r>
      <w:r w:rsidR="00C3193F" w:rsidRPr="003B10E2">
        <w:rPr>
          <w:rFonts w:ascii="Times New Roman" w:eastAsia="Times New Roman" w:hAnsi="Times New Roman"/>
          <w:color w:val="000000"/>
          <w:sz w:val="28"/>
          <w:szCs w:val="28"/>
        </w:rPr>
        <w:t>Лаврушина, Я. М. Миркина, С. Р. </w:t>
      </w:r>
      <w:r w:rsidRPr="003B10E2">
        <w:rPr>
          <w:rFonts w:ascii="Times New Roman" w:eastAsia="Times New Roman" w:hAnsi="Times New Roman"/>
          <w:color w:val="000000"/>
          <w:sz w:val="28"/>
          <w:szCs w:val="28"/>
        </w:rPr>
        <w:t xml:space="preserve">Моисеева, Б. Б. Рубцова, </w:t>
      </w:r>
      <w:r w:rsidRPr="003B10E2">
        <w:rPr>
          <w:rFonts w:ascii="Times New Roman" w:hAnsi="Times New Roman"/>
          <w:color w:val="000000"/>
          <w:sz w:val="28"/>
          <w:szCs w:val="28"/>
        </w:rPr>
        <w:t>В. К. С</w:t>
      </w:r>
      <w:r w:rsidR="00C3193F" w:rsidRPr="003B10E2">
        <w:rPr>
          <w:rFonts w:ascii="Times New Roman" w:hAnsi="Times New Roman"/>
          <w:color w:val="000000"/>
          <w:sz w:val="28"/>
          <w:szCs w:val="28"/>
        </w:rPr>
        <w:t>енчагова, М. М. Соколова, Д. Е. </w:t>
      </w:r>
      <w:r w:rsidRPr="003B10E2">
        <w:rPr>
          <w:rFonts w:ascii="Times New Roman" w:hAnsi="Times New Roman"/>
          <w:color w:val="000000"/>
          <w:sz w:val="28"/>
          <w:szCs w:val="28"/>
        </w:rPr>
        <w:t>Сорокина, О. С. Сухарева,</w:t>
      </w:r>
      <w:r w:rsidRPr="003B10E2">
        <w:rPr>
          <w:rFonts w:ascii="Times New Roman" w:eastAsia="Times New Roman" w:hAnsi="Times New Roman"/>
          <w:color w:val="000000"/>
          <w:sz w:val="28"/>
          <w:szCs w:val="28"/>
        </w:rPr>
        <w:t xml:space="preserve"> П. В. Трунина, К. В. Юдаевой.</w:t>
      </w:r>
      <w:r w:rsidRPr="003B10E2">
        <w:rPr>
          <w:rFonts w:ascii="Times New Roman" w:hAnsi="Times New Roman"/>
          <w:color w:val="000000"/>
          <w:sz w:val="28"/>
          <w:szCs w:val="28"/>
        </w:rPr>
        <w:t xml:space="preserve"> </w:t>
      </w:r>
    </w:p>
    <w:p w14:paraId="40A09D13" w14:textId="77777777" w:rsidR="00671B66" w:rsidRPr="003B10E2" w:rsidRDefault="00671B66"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 xml:space="preserve">Вопросы финансиализации и поведенческие аспекты функционирования российского </w:t>
      </w:r>
      <w:r w:rsidR="005D427A" w:rsidRPr="003B10E2">
        <w:rPr>
          <w:rFonts w:ascii="Times New Roman" w:eastAsia="Times New Roman" w:hAnsi="Times New Roman"/>
          <w:color w:val="000000"/>
          <w:sz w:val="28"/>
          <w:szCs w:val="28"/>
        </w:rPr>
        <w:t>мирового рынка капитала</w:t>
      </w:r>
      <w:r w:rsidRPr="003B10E2">
        <w:rPr>
          <w:rFonts w:ascii="Times New Roman" w:eastAsia="Times New Roman" w:hAnsi="Times New Roman"/>
          <w:color w:val="000000"/>
          <w:sz w:val="28"/>
          <w:szCs w:val="28"/>
        </w:rPr>
        <w:t xml:space="preserve"> рассмотрены в трудах отечественных экономистов, в частности А. Аганбегяна, А. Бузгалина, В.</w:t>
      </w:r>
      <w:r w:rsidR="00C3193F" w:rsidRPr="003B10E2">
        <w:rPr>
          <w:rFonts w:ascii="Times New Roman" w:eastAsia="Times New Roman" w:hAnsi="Times New Roman"/>
          <w:color w:val="000000"/>
          <w:sz w:val="28"/>
          <w:szCs w:val="28"/>
        </w:rPr>
        <w:t> </w:t>
      </w:r>
      <w:r w:rsidRPr="003B10E2">
        <w:rPr>
          <w:rFonts w:ascii="Times New Roman" w:eastAsia="Times New Roman" w:hAnsi="Times New Roman"/>
          <w:color w:val="000000"/>
          <w:sz w:val="28"/>
          <w:szCs w:val="28"/>
        </w:rPr>
        <w:t>Бурлачкова, А. Верникова, А. Дворецк</w:t>
      </w:r>
      <w:r w:rsidR="00C3193F" w:rsidRPr="003B10E2">
        <w:rPr>
          <w:rFonts w:ascii="Times New Roman" w:eastAsia="Times New Roman" w:hAnsi="Times New Roman"/>
          <w:color w:val="000000"/>
          <w:sz w:val="28"/>
          <w:szCs w:val="28"/>
        </w:rPr>
        <w:t>ой, М. Ершова, А. Колганова, Л. </w:t>
      </w:r>
      <w:r w:rsidRPr="003B10E2">
        <w:rPr>
          <w:rFonts w:ascii="Times New Roman" w:eastAsia="Times New Roman" w:hAnsi="Times New Roman"/>
          <w:color w:val="000000"/>
          <w:sz w:val="28"/>
          <w:szCs w:val="28"/>
        </w:rPr>
        <w:t>Красавиной, Е. Миргородской, Я. Миркина</w:t>
      </w:r>
      <w:r w:rsidR="00C3193F" w:rsidRPr="003B10E2">
        <w:rPr>
          <w:rFonts w:ascii="Times New Roman" w:eastAsia="Times New Roman" w:hAnsi="Times New Roman"/>
          <w:color w:val="000000"/>
          <w:sz w:val="28"/>
          <w:szCs w:val="28"/>
        </w:rPr>
        <w:t>, Б. Рубцова, Е. Семенковой, В. </w:t>
      </w:r>
      <w:r w:rsidRPr="003B10E2">
        <w:rPr>
          <w:rFonts w:ascii="Times New Roman" w:eastAsia="Times New Roman" w:hAnsi="Times New Roman"/>
          <w:color w:val="000000"/>
          <w:sz w:val="28"/>
          <w:szCs w:val="28"/>
        </w:rPr>
        <w:t>Сенчагова, В. Слепова, Р. Хасбулато</w:t>
      </w:r>
      <w:r w:rsidR="00C3193F" w:rsidRPr="003B10E2">
        <w:rPr>
          <w:rFonts w:ascii="Times New Roman" w:eastAsia="Times New Roman" w:hAnsi="Times New Roman"/>
          <w:color w:val="000000"/>
          <w:sz w:val="28"/>
          <w:szCs w:val="28"/>
        </w:rPr>
        <w:t>ва, Б. Хейфеца, С. Шаталова, Н. </w:t>
      </w:r>
      <w:r w:rsidRPr="003B10E2">
        <w:rPr>
          <w:rFonts w:ascii="Times New Roman" w:eastAsia="Times New Roman" w:hAnsi="Times New Roman"/>
          <w:color w:val="000000"/>
          <w:sz w:val="28"/>
          <w:szCs w:val="28"/>
        </w:rPr>
        <w:t>Щеголевой и др.</w:t>
      </w:r>
    </w:p>
    <w:bookmarkEnd w:id="36"/>
    <w:p w14:paraId="6CB6A64F" w14:textId="77777777" w:rsidR="00016904" w:rsidRPr="003B10E2" w:rsidRDefault="00671B66"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Информационное обеспечение</w:t>
      </w:r>
      <w:bookmarkStart w:id="37" w:name="_Hlk138264777"/>
      <w:r w:rsidR="00416142" w:rsidRPr="003B10E2">
        <w:rPr>
          <w:rFonts w:ascii="Times New Roman" w:eastAsia="Times New Roman" w:hAnsi="Times New Roman"/>
          <w:color w:val="000000"/>
          <w:sz w:val="28"/>
          <w:szCs w:val="28"/>
        </w:rPr>
        <w:t xml:space="preserve"> включает данные:</w:t>
      </w:r>
    </w:p>
    <w:p w14:paraId="36171EAF" w14:textId="77777777" w:rsidR="00016904" w:rsidRPr="003B10E2" w:rsidRDefault="00016904"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 xml:space="preserve">Минфина России. </w:t>
      </w:r>
    </w:p>
    <w:p w14:paraId="3000EE53" w14:textId="77777777" w:rsidR="00016904" w:rsidRPr="003B10E2" w:rsidRDefault="00016904"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 xml:space="preserve">Министерства экономического развития России, </w:t>
      </w:r>
    </w:p>
    <w:p w14:paraId="2EC3BC52" w14:textId="77777777" w:rsidR="00016904" w:rsidRPr="003B10E2" w:rsidRDefault="00016904"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 xml:space="preserve">Банка России, </w:t>
      </w:r>
    </w:p>
    <w:p w14:paraId="261C6B49" w14:textId="77777777" w:rsidR="00016904" w:rsidRPr="003B10E2" w:rsidRDefault="00671B66"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 xml:space="preserve">Международного валютного фонда, </w:t>
      </w:r>
    </w:p>
    <w:p w14:paraId="2B4C8CAA" w14:textId="77777777" w:rsidR="00016904" w:rsidRPr="003B10E2" w:rsidRDefault="00016904"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 xml:space="preserve">Базельского комитета по банковскому надзору, </w:t>
      </w:r>
    </w:p>
    <w:p w14:paraId="32BD11A0" w14:textId="77777777" w:rsidR="00016904" w:rsidRPr="003B10E2" w:rsidRDefault="00016904"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 xml:space="preserve">Банка международных расчетов, </w:t>
      </w:r>
    </w:p>
    <w:p w14:paraId="1A5A05FD" w14:textId="77777777" w:rsidR="00016904" w:rsidRPr="003B10E2" w:rsidRDefault="00016904"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 xml:space="preserve">Всемирного банка, </w:t>
      </w:r>
    </w:p>
    <w:p w14:paraId="0AA46CBE" w14:textId="77777777" w:rsidR="00016904" w:rsidRPr="003B10E2" w:rsidRDefault="00016904" w:rsidP="00416142">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Международной ассоциации органов страхового надзора,</w:t>
      </w:r>
    </w:p>
    <w:p w14:paraId="60EC607B" w14:textId="77777777" w:rsidR="00016904" w:rsidRPr="003B10E2" w:rsidRDefault="00016904"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 xml:space="preserve">Совета по финансовой стабильности, </w:t>
      </w:r>
    </w:p>
    <w:p w14:paraId="673E3602" w14:textId="77777777" w:rsidR="00671B66" w:rsidRPr="003B10E2" w:rsidRDefault="00671B66" w:rsidP="00FC5FA5">
      <w:pPr>
        <w:spacing w:after="0" w:line="360" w:lineRule="auto"/>
        <w:ind w:firstLine="851"/>
        <w:contextualSpacing/>
        <w:jc w:val="both"/>
        <w:rPr>
          <w:rFonts w:ascii="Times New Roman" w:hAnsi="Times New Roman"/>
          <w:iCs/>
          <w:color w:val="000000"/>
          <w:sz w:val="28"/>
          <w:szCs w:val="28"/>
          <w:lang w:eastAsia="en-US"/>
        </w:rPr>
      </w:pPr>
      <w:r w:rsidRPr="003B10E2">
        <w:rPr>
          <w:rFonts w:ascii="Times New Roman" w:eastAsia="Times New Roman" w:hAnsi="Times New Roman"/>
          <w:color w:val="000000"/>
          <w:sz w:val="28"/>
          <w:szCs w:val="28"/>
        </w:rPr>
        <w:t>а также рабочие материалы из научных периодических источников и информация из сети Интернет.</w:t>
      </w:r>
    </w:p>
    <w:p w14:paraId="58AAD712" w14:textId="77777777" w:rsidR="00671B66" w:rsidRPr="003B10E2" w:rsidRDefault="00671B66"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hAnsi="Times New Roman"/>
          <w:iCs/>
          <w:color w:val="000000"/>
          <w:sz w:val="28"/>
          <w:szCs w:val="28"/>
          <w:lang w:eastAsia="en-US"/>
        </w:rPr>
        <w:t xml:space="preserve">В работе использованы данные с сайта Банка России. </w:t>
      </w:r>
      <w:r w:rsidRPr="003B10E2">
        <w:rPr>
          <w:rFonts w:ascii="Times New Roman" w:eastAsia="Times New Roman" w:hAnsi="Times New Roman"/>
          <w:color w:val="000000"/>
          <w:sz w:val="28"/>
          <w:szCs w:val="28"/>
        </w:rPr>
        <w:t>Материалы диссертационной работы могут быть полезны при формировании прогнозов цен на активы и волатильности активов Министерством экономического развития России, Минфином России, Банком России.</w:t>
      </w:r>
    </w:p>
    <w:p w14:paraId="2D09C068" w14:textId="77777777" w:rsidR="00671B66" w:rsidRPr="003B10E2" w:rsidRDefault="00671B66" w:rsidP="00FC5FA5">
      <w:pPr>
        <w:spacing w:after="0" w:line="360" w:lineRule="auto"/>
        <w:ind w:firstLine="851"/>
        <w:contextualSpacing/>
        <w:jc w:val="both"/>
        <w:rPr>
          <w:rFonts w:ascii="Times New Roman" w:eastAsia="Times New Roman" w:hAnsi="Times New Roman"/>
          <w:color w:val="000000"/>
          <w:sz w:val="28"/>
          <w:szCs w:val="28"/>
        </w:rPr>
      </w:pPr>
      <w:bookmarkStart w:id="38" w:name="_Hlk119078736"/>
      <w:bookmarkStart w:id="39" w:name="_Hlk138265090"/>
      <w:r w:rsidRPr="003B10E2">
        <w:rPr>
          <w:rFonts w:ascii="Times New Roman" w:eastAsia="Times New Roman" w:hAnsi="Times New Roman"/>
          <w:color w:val="000000"/>
          <w:sz w:val="28"/>
          <w:szCs w:val="28"/>
        </w:rPr>
        <w:t>Материалы диссертационной работы могут быть интегрированы в учебный процесс финансово-экономических вузов в рамках таких дисциплин как «</w:t>
      </w:r>
      <w:r w:rsidR="005E4AF4" w:rsidRPr="003B10E2">
        <w:rPr>
          <w:rFonts w:ascii="Times New Roman" w:eastAsia="Times New Roman" w:hAnsi="Times New Roman"/>
          <w:color w:val="000000"/>
          <w:sz w:val="28"/>
          <w:szCs w:val="28"/>
        </w:rPr>
        <w:t>Ф</w:t>
      </w:r>
      <w:r w:rsidRPr="003B10E2">
        <w:rPr>
          <w:rFonts w:ascii="Times New Roman" w:eastAsia="Times New Roman" w:hAnsi="Times New Roman"/>
          <w:color w:val="000000"/>
          <w:sz w:val="28"/>
          <w:szCs w:val="28"/>
        </w:rPr>
        <w:t>инансовые рынки», «</w:t>
      </w:r>
      <w:r w:rsidR="005E4AF4" w:rsidRPr="003B10E2">
        <w:rPr>
          <w:rFonts w:ascii="Times New Roman" w:eastAsia="Times New Roman" w:hAnsi="Times New Roman"/>
          <w:color w:val="000000"/>
          <w:sz w:val="28"/>
          <w:szCs w:val="28"/>
        </w:rPr>
        <w:t>П</w:t>
      </w:r>
      <w:r w:rsidRPr="003B10E2">
        <w:rPr>
          <w:rFonts w:ascii="Times New Roman" w:eastAsia="Times New Roman" w:hAnsi="Times New Roman"/>
          <w:color w:val="000000"/>
          <w:sz w:val="28"/>
          <w:szCs w:val="28"/>
        </w:rPr>
        <w:t>роизводные финансовые инструменты», «</w:t>
      </w:r>
      <w:r w:rsidR="005E4AF4" w:rsidRPr="003B10E2">
        <w:rPr>
          <w:rFonts w:ascii="Times New Roman" w:eastAsia="Times New Roman" w:hAnsi="Times New Roman"/>
          <w:color w:val="000000"/>
          <w:sz w:val="28"/>
          <w:szCs w:val="28"/>
        </w:rPr>
        <w:t>Ф</w:t>
      </w:r>
      <w:r w:rsidRPr="003B10E2">
        <w:rPr>
          <w:rFonts w:ascii="Times New Roman" w:eastAsia="Times New Roman" w:hAnsi="Times New Roman"/>
          <w:color w:val="000000"/>
          <w:sz w:val="28"/>
          <w:szCs w:val="28"/>
        </w:rPr>
        <w:t xml:space="preserve">инансовая экономика». </w:t>
      </w:r>
      <w:bookmarkEnd w:id="38"/>
    </w:p>
    <w:bookmarkEnd w:id="37"/>
    <w:bookmarkEnd w:id="39"/>
    <w:p w14:paraId="6A271AB7" w14:textId="77777777" w:rsidR="00671B66" w:rsidRPr="003B10E2" w:rsidRDefault="00671B66" w:rsidP="00FC5FA5">
      <w:pPr>
        <w:widowControl w:val="0"/>
        <w:spacing w:after="0" w:line="360" w:lineRule="auto"/>
        <w:ind w:firstLine="851"/>
        <w:contextualSpacing/>
        <w:jc w:val="both"/>
        <w:rPr>
          <w:rFonts w:ascii="Times New Roman" w:eastAsia="Times New Roman" w:hAnsi="Times New Roman"/>
          <w:bCs/>
          <w:color w:val="000000"/>
          <w:sz w:val="28"/>
          <w:szCs w:val="28"/>
        </w:rPr>
      </w:pPr>
      <w:r w:rsidRPr="003B10E2">
        <w:rPr>
          <w:rFonts w:ascii="Times New Roman" w:eastAsia="Times New Roman" w:hAnsi="Times New Roman"/>
          <w:b/>
          <w:color w:val="000000"/>
          <w:sz w:val="28"/>
          <w:szCs w:val="28"/>
          <w:lang w:eastAsia="ar-SA"/>
        </w:rPr>
        <w:t>Апробация работы.</w:t>
      </w:r>
      <w:r w:rsidRPr="003B10E2">
        <w:rPr>
          <w:rFonts w:ascii="Times New Roman" w:eastAsia="Times New Roman" w:hAnsi="Times New Roman"/>
          <w:i/>
          <w:color w:val="000000"/>
          <w:sz w:val="28"/>
          <w:szCs w:val="28"/>
          <w:lang w:eastAsia="ar-SA"/>
        </w:rPr>
        <w:t xml:space="preserve"> </w:t>
      </w:r>
      <w:bookmarkStart w:id="40" w:name="_Hlk138265200"/>
      <w:r w:rsidRPr="003B10E2">
        <w:rPr>
          <w:rFonts w:ascii="Times New Roman" w:eastAsia="Times New Roman" w:hAnsi="Times New Roman"/>
          <w:color w:val="000000"/>
          <w:sz w:val="28"/>
          <w:szCs w:val="28"/>
          <w:lang w:eastAsia="ar-SA"/>
        </w:rPr>
        <w:t xml:space="preserve">Основные положения и результаты работы были </w:t>
      </w:r>
      <w:r w:rsidR="00B51A53" w:rsidRPr="003B10E2">
        <w:rPr>
          <w:rFonts w:ascii="Times New Roman" w:eastAsia="Times New Roman" w:hAnsi="Times New Roman"/>
          <w:color w:val="000000"/>
          <w:sz w:val="28"/>
          <w:szCs w:val="28"/>
          <w:lang w:eastAsia="ar-SA"/>
        </w:rPr>
        <w:t>из</w:t>
      </w:r>
      <w:r w:rsidRPr="003B10E2">
        <w:rPr>
          <w:rFonts w:ascii="Times New Roman" w:eastAsia="Times New Roman" w:hAnsi="Times New Roman"/>
          <w:color w:val="000000"/>
          <w:sz w:val="28"/>
          <w:szCs w:val="28"/>
          <w:lang w:eastAsia="ar-SA"/>
        </w:rPr>
        <w:t xml:space="preserve">ложены во время выступлений на научно-практических конференциях: </w:t>
      </w:r>
      <w:r w:rsidRPr="003B10E2">
        <w:rPr>
          <w:rFonts w:ascii="Times New Roman" w:eastAsia="Times New Roman" w:hAnsi="Times New Roman"/>
          <w:color w:val="000000"/>
          <w:sz w:val="28"/>
          <w:szCs w:val="28"/>
        </w:rPr>
        <w:t>«Повышение эффективности финансовых рынков государств-участников Единого экономического пространства (ЕЭП)»</w:t>
      </w:r>
      <w:r w:rsidR="005E4AF4" w:rsidRPr="003B10E2">
        <w:rPr>
          <w:rFonts w:ascii="Times New Roman" w:eastAsia="Times New Roman" w:hAnsi="Times New Roman"/>
          <w:color w:val="000000"/>
          <w:sz w:val="28"/>
          <w:szCs w:val="28"/>
        </w:rPr>
        <w:t xml:space="preserve"> (2014, Научно-исследовательский финансовый институт (НИФИ) Минфина России)</w:t>
      </w:r>
      <w:r w:rsidRPr="003B10E2">
        <w:rPr>
          <w:rFonts w:ascii="Times New Roman" w:eastAsia="Times New Roman" w:hAnsi="Times New Roman"/>
          <w:color w:val="000000"/>
          <w:sz w:val="28"/>
          <w:szCs w:val="28"/>
        </w:rPr>
        <w:t>, «Функции и задачи институтов развития по обеспечению эффективности инновационной инфраструктуры»</w:t>
      </w:r>
      <w:r w:rsidR="005E4AF4" w:rsidRPr="003B10E2">
        <w:t xml:space="preserve"> </w:t>
      </w:r>
      <w:r w:rsidR="005E4AF4" w:rsidRPr="003B10E2">
        <w:rPr>
          <w:rFonts w:ascii="Times New Roman" w:eastAsia="Times New Roman" w:hAnsi="Times New Roman"/>
          <w:color w:val="000000"/>
          <w:sz w:val="28"/>
          <w:szCs w:val="28"/>
        </w:rPr>
        <w:t>(2015, Научно-исследовательский финансовый институт (НИФИ) Минфина России),</w:t>
      </w:r>
      <w:r w:rsidRPr="003B10E2">
        <w:rPr>
          <w:rFonts w:ascii="Times New Roman" w:eastAsia="Times New Roman" w:hAnsi="Times New Roman"/>
          <w:color w:val="000000"/>
          <w:sz w:val="28"/>
          <w:szCs w:val="28"/>
        </w:rPr>
        <w:t xml:space="preserve"> «Механизм отложенных налоговых платежей как способ финансирования инфраструктурных проектов»</w:t>
      </w:r>
      <w:r w:rsidR="005E4AF4" w:rsidRPr="003B10E2">
        <w:t xml:space="preserve"> </w:t>
      </w:r>
      <w:r w:rsidR="005E4AF4" w:rsidRPr="003B10E2">
        <w:rPr>
          <w:rFonts w:ascii="Times New Roman" w:eastAsia="Times New Roman" w:hAnsi="Times New Roman"/>
          <w:color w:val="000000"/>
          <w:sz w:val="28"/>
          <w:szCs w:val="28"/>
        </w:rPr>
        <w:t>(2016, Научно-исследовательский финансовый институт (НИФИ) Минфина России)</w:t>
      </w:r>
      <w:r w:rsidRPr="003B10E2">
        <w:rPr>
          <w:rFonts w:ascii="Times New Roman" w:eastAsia="Times New Roman" w:hAnsi="Times New Roman"/>
          <w:color w:val="000000"/>
          <w:sz w:val="28"/>
          <w:szCs w:val="28"/>
        </w:rPr>
        <w:t xml:space="preserve">, </w:t>
      </w:r>
      <w:r w:rsidRPr="003B10E2">
        <w:rPr>
          <w:rFonts w:ascii="Times New Roman" w:eastAsia="Times New Roman" w:hAnsi="Times New Roman"/>
          <w:bCs/>
          <w:iCs/>
          <w:color w:val="000000"/>
          <w:sz w:val="28"/>
          <w:szCs w:val="28"/>
          <w:lang w:val="x-none"/>
        </w:rPr>
        <w:t>«</w:t>
      </w:r>
      <w:r w:rsidRPr="003B10E2">
        <w:rPr>
          <w:rFonts w:ascii="Times New Roman" w:eastAsia="Times New Roman" w:hAnsi="Times New Roman"/>
          <w:bCs/>
          <w:iCs/>
          <w:color w:val="000000"/>
          <w:sz w:val="28"/>
          <w:szCs w:val="28"/>
        </w:rPr>
        <w:t>Монетарная политика центральных банков</w:t>
      </w:r>
      <w:r w:rsidRPr="003B10E2">
        <w:rPr>
          <w:rFonts w:ascii="Times New Roman" w:eastAsia="Times New Roman" w:hAnsi="Times New Roman"/>
          <w:bCs/>
          <w:iCs/>
          <w:color w:val="000000"/>
          <w:sz w:val="28"/>
          <w:szCs w:val="28"/>
          <w:lang w:val="x-none"/>
        </w:rPr>
        <w:t>»</w:t>
      </w:r>
      <w:r w:rsidRPr="003B10E2">
        <w:rPr>
          <w:rFonts w:ascii="Times New Roman" w:eastAsia="Times New Roman" w:hAnsi="Times New Roman"/>
          <w:iCs/>
          <w:color w:val="000000"/>
          <w:sz w:val="28"/>
          <w:szCs w:val="28"/>
          <w:lang w:val="x-none"/>
        </w:rPr>
        <w:t xml:space="preserve"> </w:t>
      </w:r>
      <w:r w:rsidRPr="003B10E2">
        <w:rPr>
          <w:rFonts w:ascii="Times New Roman" w:eastAsia="Times New Roman" w:hAnsi="Times New Roman"/>
          <w:bCs/>
          <w:iCs/>
          <w:color w:val="000000"/>
          <w:sz w:val="28"/>
          <w:szCs w:val="28"/>
          <w:lang w:val="x-none"/>
        </w:rPr>
        <w:t>в секции «</w:t>
      </w:r>
      <w:r w:rsidRPr="003B10E2">
        <w:rPr>
          <w:rFonts w:ascii="Times New Roman" w:eastAsia="Times New Roman" w:hAnsi="Times New Roman"/>
          <w:bCs/>
          <w:iCs/>
          <w:color w:val="000000"/>
          <w:sz w:val="28"/>
          <w:szCs w:val="28"/>
        </w:rPr>
        <w:t xml:space="preserve">Финансовые рынки под влиянием стимулирующих мер </w:t>
      </w:r>
      <w:r w:rsidRPr="003B10E2">
        <w:rPr>
          <w:rFonts w:ascii="Times New Roman" w:eastAsia="Times New Roman" w:hAnsi="Times New Roman"/>
          <w:bCs/>
          <w:iCs/>
          <w:color w:val="000000"/>
          <w:sz w:val="28"/>
          <w:szCs w:val="28"/>
          <w:lang w:val="x-none"/>
        </w:rPr>
        <w:t xml:space="preserve">центральных банков», </w:t>
      </w:r>
      <w:r w:rsidRPr="003B10E2">
        <w:rPr>
          <w:rFonts w:ascii="Times New Roman" w:eastAsia="Times New Roman" w:hAnsi="Times New Roman"/>
          <w:bCs/>
          <w:iCs/>
          <w:color w:val="000000"/>
          <w:sz w:val="28"/>
          <w:szCs w:val="28"/>
        </w:rPr>
        <w:t>Третий</w:t>
      </w:r>
      <w:r w:rsidRPr="003B10E2">
        <w:rPr>
          <w:rFonts w:ascii="Times New Roman" w:eastAsia="Times New Roman" w:hAnsi="Times New Roman"/>
          <w:bCs/>
          <w:iCs/>
          <w:color w:val="000000"/>
          <w:sz w:val="28"/>
          <w:szCs w:val="28"/>
          <w:lang w:val="x-none"/>
        </w:rPr>
        <w:t xml:space="preserve"> международный конгресс молодых ученых, Финуниверситет</w:t>
      </w:r>
      <w:r w:rsidRPr="003B10E2">
        <w:rPr>
          <w:rFonts w:ascii="Times New Roman" w:eastAsia="Times New Roman" w:hAnsi="Times New Roman"/>
          <w:bCs/>
          <w:iCs/>
          <w:color w:val="000000"/>
          <w:sz w:val="28"/>
          <w:szCs w:val="28"/>
        </w:rPr>
        <w:t xml:space="preserve"> (2017, Москва)</w:t>
      </w:r>
      <w:r w:rsidRPr="003B10E2">
        <w:rPr>
          <w:rFonts w:ascii="Times New Roman" w:eastAsia="Times New Roman" w:hAnsi="Times New Roman"/>
          <w:bCs/>
          <w:color w:val="000000"/>
          <w:sz w:val="28"/>
          <w:szCs w:val="28"/>
        </w:rPr>
        <w:t>,</w:t>
      </w:r>
      <w:r w:rsidRPr="003B10E2">
        <w:rPr>
          <w:rFonts w:ascii="Times New Roman" w:eastAsia="Times New Roman" w:hAnsi="Times New Roman"/>
          <w:bCs/>
          <w:color w:val="000000"/>
          <w:sz w:val="28"/>
          <w:szCs w:val="28"/>
          <w:lang w:val="x-none"/>
        </w:rPr>
        <w:t xml:space="preserve"> «Новые технологии формирования инвестиционного портфеля в качестве кейса для студентов», </w:t>
      </w:r>
      <w:r w:rsidR="00FC5FA5" w:rsidRPr="003B10E2">
        <w:rPr>
          <w:rFonts w:ascii="Times New Roman" w:eastAsia="Times New Roman" w:hAnsi="Times New Roman"/>
          <w:bCs/>
          <w:color w:val="000000"/>
          <w:sz w:val="28"/>
          <w:szCs w:val="28"/>
        </w:rPr>
        <w:t>Международная</w:t>
      </w:r>
      <w:r w:rsidRPr="003B10E2">
        <w:rPr>
          <w:rFonts w:ascii="Times New Roman" w:eastAsia="Times New Roman" w:hAnsi="Times New Roman"/>
          <w:bCs/>
          <w:color w:val="000000"/>
          <w:sz w:val="28"/>
          <w:szCs w:val="28"/>
          <w:lang w:val="x-none"/>
        </w:rPr>
        <w:t xml:space="preserve"> научно-методическая конференция</w:t>
      </w:r>
      <w:r w:rsidRPr="003B10E2">
        <w:rPr>
          <w:rFonts w:ascii="Times New Roman" w:eastAsia="Times New Roman" w:hAnsi="Times New Roman"/>
          <w:bCs/>
          <w:color w:val="000000"/>
          <w:sz w:val="28"/>
          <w:szCs w:val="28"/>
        </w:rPr>
        <w:t xml:space="preserve"> </w:t>
      </w:r>
      <w:r w:rsidRPr="003B10E2">
        <w:rPr>
          <w:rFonts w:ascii="Times New Roman" w:eastAsia="Times New Roman" w:hAnsi="Times New Roman"/>
          <w:bCs/>
          <w:color w:val="000000"/>
          <w:sz w:val="28"/>
          <w:szCs w:val="28"/>
          <w:lang w:val="x-none"/>
        </w:rPr>
        <w:t>«Smart-технологии в образовании: портрет выпускника 2020», Финуниверситет</w:t>
      </w:r>
      <w:r w:rsidRPr="003B10E2">
        <w:rPr>
          <w:rFonts w:ascii="Times New Roman" w:eastAsia="Times New Roman" w:hAnsi="Times New Roman"/>
          <w:bCs/>
          <w:color w:val="000000"/>
          <w:sz w:val="28"/>
          <w:szCs w:val="28"/>
        </w:rPr>
        <w:t xml:space="preserve"> (2017, Москва), </w:t>
      </w:r>
      <w:r w:rsidR="00FC5FA5" w:rsidRPr="003B10E2">
        <w:rPr>
          <w:rFonts w:ascii="Times New Roman" w:eastAsia="Times New Roman" w:hAnsi="Times New Roman"/>
          <w:bCs/>
          <w:color w:val="000000"/>
          <w:sz w:val="28"/>
          <w:szCs w:val="28"/>
        </w:rPr>
        <w:t>Международная</w:t>
      </w:r>
      <w:r w:rsidRPr="003B10E2">
        <w:rPr>
          <w:rFonts w:ascii="Times New Roman" w:eastAsia="Times New Roman" w:hAnsi="Times New Roman"/>
          <w:bCs/>
          <w:color w:val="000000"/>
          <w:sz w:val="28"/>
          <w:szCs w:val="28"/>
          <w:lang w:val="x-none"/>
        </w:rPr>
        <w:t xml:space="preserve"> научно-практическая конференции на тему «Новые банковские технологии </w:t>
      </w:r>
      <w:r w:rsidRPr="003B10E2">
        <w:rPr>
          <w:rFonts w:ascii="Times New Roman" w:eastAsia="Times New Roman" w:hAnsi="Times New Roman"/>
          <w:bCs/>
          <w:color w:val="000000"/>
          <w:sz w:val="28"/>
          <w:szCs w:val="28"/>
          <w:lang w:val="x-none" w:eastAsia="ar-SA"/>
        </w:rPr>
        <w:t>—</w:t>
      </w:r>
      <w:r w:rsidRPr="003B10E2">
        <w:rPr>
          <w:rFonts w:ascii="Times New Roman" w:eastAsia="Times New Roman" w:hAnsi="Times New Roman"/>
          <w:bCs/>
          <w:color w:val="000000"/>
          <w:sz w:val="28"/>
          <w:szCs w:val="28"/>
          <w:lang w:val="x-none"/>
        </w:rPr>
        <w:t xml:space="preserve"> сценарий трансформации банковской системы», Финуниверситет</w:t>
      </w:r>
      <w:r w:rsidRPr="003B10E2">
        <w:rPr>
          <w:rFonts w:ascii="Times New Roman" w:eastAsia="Times New Roman" w:hAnsi="Times New Roman"/>
          <w:bCs/>
          <w:color w:val="000000"/>
          <w:sz w:val="28"/>
          <w:szCs w:val="28"/>
        </w:rPr>
        <w:t xml:space="preserve"> (2017, Москва),</w:t>
      </w:r>
      <w:r w:rsidRPr="003B10E2">
        <w:rPr>
          <w:rFonts w:ascii="Times New Roman" w:eastAsia="Times New Roman" w:hAnsi="Times New Roman"/>
          <w:bCs/>
          <w:color w:val="000000"/>
          <w:sz w:val="28"/>
          <w:szCs w:val="28"/>
          <w:lang w:val="x-none"/>
        </w:rPr>
        <w:t xml:space="preserve"> «Эпоха низких процентных ставок в развитых экономиках»</w:t>
      </w:r>
      <w:r w:rsidR="005E4AF4" w:rsidRPr="003B10E2">
        <w:t xml:space="preserve"> </w:t>
      </w:r>
      <w:r w:rsidR="005E4AF4" w:rsidRPr="003B10E2">
        <w:rPr>
          <w:rFonts w:ascii="Times New Roman" w:eastAsia="Times New Roman" w:hAnsi="Times New Roman"/>
          <w:bCs/>
          <w:color w:val="000000"/>
          <w:sz w:val="28"/>
          <w:szCs w:val="28"/>
          <w:lang w:val="x-none"/>
        </w:rPr>
        <w:t>Финуниверситет (20</w:t>
      </w:r>
      <w:r w:rsidR="005E4AF4" w:rsidRPr="003B10E2">
        <w:rPr>
          <w:rFonts w:ascii="Times New Roman" w:eastAsia="Times New Roman" w:hAnsi="Times New Roman"/>
          <w:bCs/>
          <w:color w:val="000000"/>
          <w:sz w:val="28"/>
          <w:szCs w:val="28"/>
        </w:rPr>
        <w:t>20</w:t>
      </w:r>
      <w:r w:rsidR="005E4AF4" w:rsidRPr="003B10E2">
        <w:rPr>
          <w:rFonts w:ascii="Times New Roman" w:eastAsia="Times New Roman" w:hAnsi="Times New Roman"/>
          <w:bCs/>
          <w:color w:val="000000"/>
          <w:sz w:val="28"/>
          <w:szCs w:val="28"/>
          <w:lang w:val="x-none"/>
        </w:rPr>
        <w:t>, Москва)</w:t>
      </w:r>
      <w:r w:rsidRPr="003B10E2">
        <w:rPr>
          <w:rFonts w:ascii="Times New Roman" w:eastAsia="Times New Roman" w:hAnsi="Times New Roman"/>
          <w:bCs/>
          <w:color w:val="000000"/>
          <w:sz w:val="28"/>
          <w:szCs w:val="28"/>
          <w:lang w:val="x-none"/>
        </w:rPr>
        <w:t xml:space="preserve">, Международный форум «Ловушка </w:t>
      </w:r>
      <w:r w:rsidR="00FC5FA5" w:rsidRPr="003B10E2">
        <w:rPr>
          <w:rFonts w:ascii="Times New Roman" w:eastAsia="Times New Roman" w:hAnsi="Times New Roman"/>
          <w:bCs/>
          <w:color w:val="000000"/>
          <w:sz w:val="28"/>
          <w:szCs w:val="28"/>
        </w:rPr>
        <w:t>новой</w:t>
      </w:r>
      <w:r w:rsidRPr="003B10E2">
        <w:rPr>
          <w:rFonts w:ascii="Times New Roman" w:eastAsia="Times New Roman" w:hAnsi="Times New Roman"/>
          <w:bCs/>
          <w:color w:val="000000"/>
          <w:sz w:val="28"/>
          <w:szCs w:val="28"/>
          <w:lang w:val="x-none"/>
        </w:rPr>
        <w:t xml:space="preserve"> нормальности», </w:t>
      </w:r>
      <w:r w:rsidR="00FC5FA5" w:rsidRPr="003B10E2">
        <w:rPr>
          <w:rFonts w:ascii="Times New Roman" w:eastAsia="Times New Roman" w:hAnsi="Times New Roman"/>
          <w:bCs/>
          <w:color w:val="000000"/>
          <w:sz w:val="28"/>
          <w:szCs w:val="28"/>
        </w:rPr>
        <w:t>секция</w:t>
      </w:r>
      <w:r w:rsidRPr="003B10E2">
        <w:rPr>
          <w:rFonts w:ascii="Times New Roman" w:eastAsia="Times New Roman" w:hAnsi="Times New Roman"/>
          <w:bCs/>
          <w:color w:val="000000"/>
          <w:sz w:val="28"/>
          <w:szCs w:val="28"/>
          <w:lang w:val="x-none"/>
        </w:rPr>
        <w:t xml:space="preserve"> «Где ловушка новой нормальности</w:t>
      </w:r>
      <w:r w:rsidRPr="003B10E2">
        <w:rPr>
          <w:rFonts w:ascii="Times New Roman" w:eastAsia="Times New Roman" w:hAnsi="Times New Roman"/>
          <w:bCs/>
          <w:color w:val="000000"/>
          <w:sz w:val="28"/>
          <w:szCs w:val="28"/>
        </w:rPr>
        <w:t>?»</w:t>
      </w:r>
      <w:r w:rsidRPr="003B10E2">
        <w:rPr>
          <w:rFonts w:ascii="Times New Roman" w:eastAsia="Times New Roman" w:hAnsi="Times New Roman"/>
          <w:bCs/>
          <w:color w:val="000000"/>
          <w:sz w:val="28"/>
          <w:szCs w:val="28"/>
          <w:lang w:val="x-none"/>
        </w:rPr>
        <w:t>, Финуниверситет (</w:t>
      </w:r>
      <w:r w:rsidRPr="003B10E2">
        <w:rPr>
          <w:rFonts w:ascii="Times New Roman" w:eastAsia="Times New Roman" w:hAnsi="Times New Roman"/>
          <w:bCs/>
          <w:color w:val="000000"/>
          <w:sz w:val="28"/>
          <w:szCs w:val="28"/>
        </w:rPr>
        <w:t>2016</w:t>
      </w:r>
      <w:r w:rsidRPr="003B10E2">
        <w:rPr>
          <w:rFonts w:ascii="Times New Roman" w:eastAsia="Times New Roman" w:hAnsi="Times New Roman"/>
          <w:bCs/>
          <w:color w:val="000000"/>
          <w:sz w:val="28"/>
          <w:szCs w:val="28"/>
          <w:lang w:val="x-none"/>
        </w:rPr>
        <w:t>, Москва)</w:t>
      </w:r>
      <w:r w:rsidRPr="003B10E2">
        <w:rPr>
          <w:rFonts w:ascii="Times New Roman" w:eastAsia="Times New Roman" w:hAnsi="Times New Roman"/>
          <w:bCs/>
          <w:color w:val="000000"/>
          <w:sz w:val="28"/>
          <w:szCs w:val="28"/>
        </w:rPr>
        <w:t>.</w:t>
      </w:r>
    </w:p>
    <w:p w14:paraId="7938BC83" w14:textId="77777777" w:rsidR="00671B66" w:rsidRPr="003B10E2" w:rsidRDefault="00671B66" w:rsidP="00FC5FA5">
      <w:pPr>
        <w:widowControl w:val="0"/>
        <w:spacing w:after="0" w:line="360" w:lineRule="auto"/>
        <w:ind w:firstLine="851"/>
        <w:contextualSpacing/>
        <w:jc w:val="both"/>
        <w:rPr>
          <w:rFonts w:ascii="Times New Roman" w:eastAsia="Times New Roman" w:hAnsi="Times New Roman"/>
          <w:bCs/>
          <w:color w:val="000000"/>
          <w:sz w:val="28"/>
          <w:szCs w:val="28"/>
        </w:rPr>
      </w:pPr>
      <w:r w:rsidRPr="003B10E2">
        <w:rPr>
          <w:rFonts w:ascii="Times New Roman" w:eastAsia="Times New Roman" w:hAnsi="Times New Roman"/>
          <w:bCs/>
          <w:color w:val="000000"/>
          <w:sz w:val="28"/>
          <w:szCs w:val="28"/>
        </w:rPr>
        <w:t>На тему диссертации автором выполнены следующие НИР в качестве руководителя.</w:t>
      </w:r>
    </w:p>
    <w:p w14:paraId="10A4EC39" w14:textId="77777777" w:rsidR="00671B66" w:rsidRPr="003B10E2" w:rsidRDefault="00671B66" w:rsidP="00FC5FA5">
      <w:pPr>
        <w:spacing w:after="0" w:line="360" w:lineRule="auto"/>
        <w:ind w:firstLine="851"/>
        <w:contextualSpacing/>
        <w:jc w:val="both"/>
        <w:rPr>
          <w:rFonts w:ascii="Times New Roman" w:eastAsia="Times New Roman" w:hAnsi="Times New Roman"/>
          <w:bCs/>
          <w:color w:val="000000"/>
          <w:sz w:val="28"/>
          <w:szCs w:val="28"/>
        </w:rPr>
      </w:pPr>
      <w:r w:rsidRPr="003B10E2">
        <w:rPr>
          <w:rFonts w:ascii="Times New Roman" w:eastAsia="Times New Roman" w:hAnsi="Times New Roman"/>
          <w:bCs/>
          <w:color w:val="000000"/>
          <w:sz w:val="28"/>
          <w:szCs w:val="28"/>
        </w:rPr>
        <w:t>1. «Прогнозирование энергозатрат на производство криптовалют и анализ особенностей их ценообразования», 2019 г.</w:t>
      </w:r>
    </w:p>
    <w:p w14:paraId="2206F949" w14:textId="77777777" w:rsidR="00671B66" w:rsidRPr="003B10E2" w:rsidRDefault="00671B66" w:rsidP="00FC5FA5">
      <w:pPr>
        <w:spacing w:after="0" w:line="360" w:lineRule="auto"/>
        <w:ind w:firstLine="851"/>
        <w:contextualSpacing/>
        <w:jc w:val="both"/>
        <w:rPr>
          <w:rFonts w:ascii="Times New Roman" w:eastAsia="Times New Roman" w:hAnsi="Times New Roman"/>
          <w:bCs/>
          <w:color w:val="000000"/>
          <w:sz w:val="28"/>
          <w:szCs w:val="28"/>
        </w:rPr>
      </w:pPr>
      <w:r w:rsidRPr="003B10E2">
        <w:rPr>
          <w:rFonts w:ascii="Times New Roman" w:eastAsia="Times New Roman" w:hAnsi="Times New Roman"/>
          <w:bCs/>
          <w:color w:val="000000"/>
          <w:sz w:val="28"/>
          <w:szCs w:val="28"/>
        </w:rPr>
        <w:t>2. «Анализ влияния макроэкономических показателей на ценообразование на рынке нефти», 2018 г.</w:t>
      </w:r>
    </w:p>
    <w:p w14:paraId="0096304D" w14:textId="77777777" w:rsidR="00671B66" w:rsidRPr="003B10E2" w:rsidRDefault="00671B66" w:rsidP="00FC5FA5">
      <w:pPr>
        <w:spacing w:after="0" w:line="360" w:lineRule="auto"/>
        <w:ind w:firstLine="851"/>
        <w:contextualSpacing/>
        <w:jc w:val="both"/>
        <w:rPr>
          <w:rFonts w:ascii="Times New Roman" w:eastAsia="Times New Roman" w:hAnsi="Times New Roman"/>
          <w:bCs/>
          <w:color w:val="000000"/>
          <w:sz w:val="28"/>
          <w:szCs w:val="28"/>
        </w:rPr>
      </w:pPr>
      <w:r w:rsidRPr="003B10E2">
        <w:rPr>
          <w:rFonts w:ascii="Times New Roman" w:eastAsia="Times New Roman" w:hAnsi="Times New Roman"/>
          <w:bCs/>
          <w:color w:val="000000"/>
          <w:sz w:val="28"/>
          <w:szCs w:val="28"/>
        </w:rPr>
        <w:t>3. «Перспектива криптовалют на российском рынке ценных бумаг», 2018 г.</w:t>
      </w:r>
    </w:p>
    <w:p w14:paraId="1CC7B817" w14:textId="77777777" w:rsidR="00671B66" w:rsidRPr="003B10E2" w:rsidRDefault="00671B66" w:rsidP="00FC5FA5">
      <w:pPr>
        <w:spacing w:after="0" w:line="360" w:lineRule="auto"/>
        <w:ind w:firstLine="851"/>
        <w:contextualSpacing/>
        <w:jc w:val="both"/>
        <w:rPr>
          <w:rFonts w:ascii="Times New Roman" w:eastAsia="Times New Roman" w:hAnsi="Times New Roman"/>
          <w:bCs/>
          <w:color w:val="000000"/>
          <w:sz w:val="28"/>
          <w:szCs w:val="28"/>
        </w:rPr>
      </w:pPr>
      <w:r w:rsidRPr="003B10E2">
        <w:rPr>
          <w:rFonts w:ascii="Times New Roman" w:eastAsia="Times New Roman" w:hAnsi="Times New Roman"/>
          <w:bCs/>
          <w:color w:val="000000"/>
          <w:sz w:val="28"/>
          <w:szCs w:val="28"/>
        </w:rPr>
        <w:t>4. «Роль криптовалюты как товара и средства накопления», 2018 г.</w:t>
      </w:r>
    </w:p>
    <w:p w14:paraId="34EE1416" w14:textId="77777777" w:rsidR="00671B66" w:rsidRPr="003B10E2" w:rsidRDefault="00671B66" w:rsidP="00FC5FA5">
      <w:pPr>
        <w:spacing w:after="0" w:line="360" w:lineRule="auto"/>
        <w:ind w:firstLine="851"/>
        <w:contextualSpacing/>
        <w:jc w:val="both"/>
        <w:rPr>
          <w:rFonts w:ascii="Times New Roman" w:eastAsia="Times New Roman" w:hAnsi="Times New Roman"/>
          <w:color w:val="000000"/>
          <w:sz w:val="28"/>
          <w:szCs w:val="28"/>
          <w:lang w:eastAsia="ar-SA"/>
        </w:rPr>
      </w:pPr>
      <w:r w:rsidRPr="003B10E2">
        <w:rPr>
          <w:rFonts w:ascii="Times New Roman" w:eastAsia="Times New Roman" w:hAnsi="Times New Roman"/>
          <w:color w:val="000000"/>
          <w:sz w:val="28"/>
          <w:szCs w:val="28"/>
        </w:rPr>
        <w:t>Результаты исследования нашли применение в курсе «Основы трейдинга» и в курсе «Финансовые рынки» в Финансовом университете при Правительстве РФ, в процессе выполнения ряда научно-исследовательских работ по теме «Стратегия развития финансового рынка и банков в условиях цифровой экономики»</w:t>
      </w:r>
      <w:r w:rsidRPr="003B10E2">
        <w:rPr>
          <w:rFonts w:ascii="Times New Roman" w:eastAsia="Times New Roman" w:hAnsi="Times New Roman"/>
          <w:i/>
          <w:iCs/>
          <w:color w:val="000000"/>
          <w:sz w:val="28"/>
          <w:szCs w:val="28"/>
        </w:rPr>
        <w:t xml:space="preserve">. </w:t>
      </w:r>
      <w:r w:rsidRPr="003B10E2">
        <w:rPr>
          <w:rFonts w:ascii="Times New Roman" w:eastAsia="Times New Roman" w:hAnsi="Times New Roman"/>
          <w:color w:val="000000"/>
          <w:sz w:val="28"/>
          <w:szCs w:val="28"/>
        </w:rPr>
        <w:t>Отдельные положения диссертационной работы также используются в ходе преподавания курсов</w:t>
      </w:r>
      <w:r w:rsidRPr="003B10E2">
        <w:rPr>
          <w:rFonts w:ascii="Times New Roman" w:eastAsia="Times New Roman" w:hAnsi="Times New Roman"/>
          <w:color w:val="000000"/>
          <w:sz w:val="28"/>
          <w:szCs w:val="28"/>
          <w:lang w:eastAsia="ar-SA"/>
        </w:rPr>
        <w:t xml:space="preserve"> Департамента финансовых рынков и банков Финуниверситета</w:t>
      </w:r>
      <w:r w:rsidR="00B63385" w:rsidRPr="003B10E2">
        <w:rPr>
          <w:rFonts w:ascii="Times New Roman" w:eastAsia="Times New Roman" w:hAnsi="Times New Roman"/>
          <w:color w:val="000000"/>
          <w:sz w:val="28"/>
          <w:szCs w:val="28"/>
          <w:lang w:eastAsia="ar-SA"/>
        </w:rPr>
        <w:t>.</w:t>
      </w:r>
    </w:p>
    <w:bookmarkEnd w:id="40"/>
    <w:p w14:paraId="2C856B25" w14:textId="77777777" w:rsidR="00671B66" w:rsidRPr="003B10E2" w:rsidRDefault="00671B66"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b/>
          <w:color w:val="000000"/>
          <w:sz w:val="28"/>
          <w:szCs w:val="28"/>
          <w:lang w:eastAsia="ar-SA"/>
        </w:rPr>
        <w:t>Публикации.</w:t>
      </w:r>
      <w:r w:rsidRPr="003B10E2">
        <w:rPr>
          <w:rFonts w:ascii="Times New Roman" w:eastAsia="Times New Roman" w:hAnsi="Times New Roman"/>
          <w:i/>
          <w:color w:val="000000"/>
          <w:sz w:val="28"/>
          <w:szCs w:val="28"/>
          <w:lang w:eastAsia="ar-SA"/>
        </w:rPr>
        <w:t xml:space="preserve"> </w:t>
      </w:r>
      <w:r w:rsidR="005E4AF4" w:rsidRPr="003B10E2">
        <w:rPr>
          <w:rFonts w:ascii="Times New Roman" w:eastAsia="Times New Roman" w:hAnsi="Times New Roman"/>
          <w:color w:val="000000"/>
          <w:sz w:val="28"/>
          <w:szCs w:val="28"/>
          <w:lang w:eastAsia="ar-SA"/>
        </w:rPr>
        <w:t>По теме диссертации опубликован</w:t>
      </w:r>
      <w:r w:rsidR="002F117F" w:rsidRPr="003B10E2">
        <w:rPr>
          <w:rFonts w:ascii="Times New Roman" w:eastAsia="Times New Roman" w:hAnsi="Times New Roman"/>
          <w:color w:val="000000"/>
          <w:sz w:val="28"/>
          <w:szCs w:val="28"/>
          <w:lang w:eastAsia="ar-SA"/>
        </w:rPr>
        <w:t>ы</w:t>
      </w:r>
      <w:r w:rsidR="005E4AF4"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color w:val="000000"/>
          <w:sz w:val="28"/>
          <w:szCs w:val="28"/>
          <w:lang w:eastAsia="ar-SA"/>
        </w:rPr>
        <w:t xml:space="preserve">3 </w:t>
      </w:r>
      <w:r w:rsidRPr="003B10E2">
        <w:rPr>
          <w:rFonts w:ascii="Times New Roman" w:eastAsia="Times New Roman" w:hAnsi="Times New Roman"/>
          <w:color w:val="000000"/>
          <w:sz w:val="28"/>
          <w:szCs w:val="28"/>
        </w:rPr>
        <w:t xml:space="preserve">индивидуальные монографии, 3 коллективные </w:t>
      </w:r>
      <w:r w:rsidRPr="003B10E2">
        <w:rPr>
          <w:rFonts w:ascii="Times New Roman" w:eastAsia="Times New Roman" w:hAnsi="Times New Roman"/>
          <w:sz w:val="28"/>
          <w:szCs w:val="28"/>
        </w:rPr>
        <w:t xml:space="preserve">монографии, </w:t>
      </w:r>
      <w:r w:rsidR="00B56C17" w:rsidRPr="003B10E2">
        <w:rPr>
          <w:rFonts w:ascii="Times New Roman" w:eastAsia="Times New Roman" w:hAnsi="Times New Roman"/>
          <w:sz w:val="28"/>
          <w:szCs w:val="28"/>
        </w:rPr>
        <w:t>1</w:t>
      </w:r>
      <w:r w:rsidR="00804CC5" w:rsidRPr="003B10E2">
        <w:rPr>
          <w:rFonts w:ascii="Times New Roman" w:eastAsia="Times New Roman" w:hAnsi="Times New Roman"/>
          <w:sz w:val="28"/>
          <w:szCs w:val="28"/>
        </w:rPr>
        <w:t>7</w:t>
      </w:r>
      <w:r w:rsidRPr="003B10E2">
        <w:rPr>
          <w:rFonts w:ascii="Times New Roman" w:eastAsia="Times New Roman" w:hAnsi="Times New Roman"/>
          <w:sz w:val="28"/>
          <w:szCs w:val="28"/>
        </w:rPr>
        <w:t xml:space="preserve"> стат</w:t>
      </w:r>
      <w:r w:rsidR="00B56C17" w:rsidRPr="003B10E2">
        <w:rPr>
          <w:rFonts w:ascii="Times New Roman" w:eastAsia="Times New Roman" w:hAnsi="Times New Roman"/>
          <w:sz w:val="28"/>
          <w:szCs w:val="28"/>
        </w:rPr>
        <w:t>ей</w:t>
      </w:r>
      <w:r w:rsidRPr="003B10E2">
        <w:rPr>
          <w:rFonts w:ascii="Times New Roman" w:eastAsia="Times New Roman" w:hAnsi="Times New Roman"/>
          <w:sz w:val="28"/>
          <w:szCs w:val="28"/>
        </w:rPr>
        <w:t xml:space="preserve"> (в том числе </w:t>
      </w:r>
      <w:r w:rsidR="009A162B" w:rsidRPr="003B10E2">
        <w:rPr>
          <w:rFonts w:ascii="Times New Roman" w:eastAsia="Times New Roman" w:hAnsi="Times New Roman"/>
          <w:sz w:val="28"/>
          <w:szCs w:val="28"/>
        </w:rPr>
        <w:t>1</w:t>
      </w:r>
      <w:r w:rsidR="00B56C17" w:rsidRPr="003B10E2">
        <w:rPr>
          <w:rFonts w:ascii="Times New Roman" w:eastAsia="Times New Roman" w:hAnsi="Times New Roman"/>
          <w:sz w:val="28"/>
          <w:szCs w:val="28"/>
        </w:rPr>
        <w:t>2</w:t>
      </w:r>
      <w:r w:rsidRPr="003B10E2">
        <w:rPr>
          <w:rFonts w:ascii="Times New Roman" w:eastAsia="Times New Roman" w:hAnsi="Times New Roman"/>
          <w:sz w:val="28"/>
          <w:szCs w:val="28"/>
        </w:rPr>
        <w:t xml:space="preserve"> статей </w:t>
      </w:r>
      <w:r w:rsidRPr="003B10E2">
        <w:rPr>
          <w:rFonts w:ascii="Times New Roman" w:eastAsia="Times New Roman" w:hAnsi="Times New Roman"/>
          <w:color w:val="000000"/>
          <w:sz w:val="28"/>
          <w:szCs w:val="28"/>
        </w:rPr>
        <w:t xml:space="preserve">в изданиях, входящих в Перечень ведущих рецензируемых журналов и изданий ВАК). Общий объем </w:t>
      </w:r>
      <w:r w:rsidRPr="003B10E2">
        <w:rPr>
          <w:rFonts w:ascii="Times New Roman" w:eastAsia="Times New Roman" w:hAnsi="Times New Roman"/>
          <w:bCs/>
          <w:color w:val="000000"/>
          <w:sz w:val="28"/>
          <w:szCs w:val="28"/>
          <w:lang w:val="x-none" w:eastAsia="ar-SA"/>
        </w:rPr>
        <w:t>—</w:t>
      </w:r>
      <w:r w:rsidRPr="003B10E2">
        <w:rPr>
          <w:rFonts w:ascii="Times New Roman" w:eastAsia="Times New Roman" w:hAnsi="Times New Roman"/>
          <w:color w:val="000000"/>
          <w:sz w:val="28"/>
          <w:szCs w:val="28"/>
        </w:rPr>
        <w:t xml:space="preserve"> 27</w:t>
      </w:r>
      <w:r w:rsidR="002F117F" w:rsidRPr="003B10E2">
        <w:rPr>
          <w:rFonts w:ascii="Times New Roman" w:eastAsia="Times New Roman" w:hAnsi="Times New Roman"/>
          <w:color w:val="000000"/>
          <w:sz w:val="28"/>
          <w:szCs w:val="28"/>
        </w:rPr>
        <w:t>8</w:t>
      </w:r>
      <w:r w:rsidRPr="003B10E2">
        <w:rPr>
          <w:rFonts w:ascii="Times New Roman" w:eastAsia="Times New Roman" w:hAnsi="Times New Roman"/>
          <w:color w:val="000000"/>
          <w:sz w:val="28"/>
          <w:szCs w:val="28"/>
        </w:rPr>
        <w:t>,</w:t>
      </w:r>
      <w:r w:rsidR="002F117F" w:rsidRPr="003B10E2">
        <w:rPr>
          <w:rFonts w:ascii="Times New Roman" w:eastAsia="Times New Roman" w:hAnsi="Times New Roman"/>
          <w:color w:val="000000"/>
          <w:sz w:val="28"/>
          <w:szCs w:val="28"/>
        </w:rPr>
        <w:t>2</w:t>
      </w:r>
      <w:r w:rsidRPr="003B10E2">
        <w:rPr>
          <w:rFonts w:ascii="Times New Roman" w:eastAsia="Times New Roman" w:hAnsi="Times New Roman"/>
          <w:color w:val="000000"/>
          <w:sz w:val="28"/>
          <w:szCs w:val="28"/>
        </w:rPr>
        <w:t xml:space="preserve"> п.л. (1</w:t>
      </w:r>
      <w:r w:rsidR="002F117F" w:rsidRPr="003B10E2">
        <w:rPr>
          <w:rFonts w:ascii="Times New Roman" w:eastAsia="Times New Roman" w:hAnsi="Times New Roman"/>
          <w:color w:val="000000"/>
          <w:sz w:val="28"/>
          <w:szCs w:val="28"/>
        </w:rPr>
        <w:t>60</w:t>
      </w:r>
      <w:r w:rsidRPr="003B10E2">
        <w:rPr>
          <w:rFonts w:ascii="Times New Roman" w:eastAsia="Times New Roman" w:hAnsi="Times New Roman"/>
          <w:color w:val="000000"/>
          <w:sz w:val="28"/>
          <w:szCs w:val="28"/>
        </w:rPr>
        <w:t>,</w:t>
      </w:r>
      <w:r w:rsidR="002F117F" w:rsidRPr="003B10E2">
        <w:rPr>
          <w:rFonts w:ascii="Times New Roman" w:eastAsia="Times New Roman" w:hAnsi="Times New Roman"/>
          <w:color w:val="000000"/>
          <w:sz w:val="28"/>
          <w:szCs w:val="28"/>
        </w:rPr>
        <w:t>05</w:t>
      </w:r>
      <w:r w:rsidRPr="003B10E2">
        <w:rPr>
          <w:rFonts w:ascii="Times New Roman" w:eastAsia="Times New Roman" w:hAnsi="Times New Roman"/>
          <w:color w:val="000000"/>
          <w:sz w:val="28"/>
          <w:szCs w:val="28"/>
        </w:rPr>
        <w:t xml:space="preserve"> п.л. </w:t>
      </w:r>
      <w:r w:rsidRPr="003B10E2">
        <w:rPr>
          <w:rFonts w:ascii="Times New Roman" w:eastAsia="Times New Roman" w:hAnsi="Times New Roman"/>
          <w:bCs/>
          <w:color w:val="000000"/>
          <w:sz w:val="28"/>
          <w:szCs w:val="28"/>
          <w:lang w:val="x-none" w:eastAsia="ar-SA"/>
        </w:rPr>
        <w:t>—</w:t>
      </w:r>
      <w:r w:rsidRPr="003B10E2">
        <w:rPr>
          <w:rFonts w:ascii="Times New Roman" w:eastAsia="Times New Roman" w:hAnsi="Times New Roman"/>
          <w:color w:val="000000"/>
          <w:sz w:val="28"/>
          <w:szCs w:val="28"/>
        </w:rPr>
        <w:t xml:space="preserve"> авторский объем).</w:t>
      </w:r>
    </w:p>
    <w:p w14:paraId="156C2FCA" w14:textId="77777777" w:rsidR="00B56C17" w:rsidRPr="003B10E2" w:rsidRDefault="00671B66" w:rsidP="00FC5FA5">
      <w:pPr>
        <w:widowControl w:val="0"/>
        <w:spacing w:after="0" w:line="360" w:lineRule="auto"/>
        <w:ind w:firstLine="851"/>
        <w:contextualSpacing/>
        <w:jc w:val="both"/>
        <w:rPr>
          <w:rFonts w:ascii="Times New Roman" w:eastAsia="Times New Roman" w:hAnsi="Times New Roman"/>
          <w:color w:val="000000"/>
          <w:sz w:val="28"/>
          <w:szCs w:val="28"/>
          <w:lang w:eastAsia="ar-SA"/>
        </w:rPr>
      </w:pPr>
      <w:r w:rsidRPr="003B10E2">
        <w:rPr>
          <w:rFonts w:ascii="Times New Roman" w:eastAsia="Times New Roman" w:hAnsi="Times New Roman"/>
          <w:b/>
          <w:color w:val="000000"/>
          <w:sz w:val="28"/>
          <w:szCs w:val="28"/>
          <w:lang w:eastAsia="ar-SA"/>
        </w:rPr>
        <w:t xml:space="preserve">Структура </w:t>
      </w:r>
      <w:r w:rsidR="00B51A53" w:rsidRPr="003B10E2">
        <w:rPr>
          <w:rFonts w:ascii="Times New Roman" w:eastAsia="Times New Roman" w:hAnsi="Times New Roman"/>
          <w:b/>
          <w:color w:val="000000"/>
          <w:sz w:val="28"/>
          <w:szCs w:val="28"/>
          <w:lang w:eastAsia="ar-SA"/>
        </w:rPr>
        <w:t>и объем диссертации</w:t>
      </w:r>
      <w:r w:rsidRPr="003B10E2">
        <w:rPr>
          <w:rFonts w:ascii="Times New Roman" w:eastAsia="Times New Roman" w:hAnsi="Times New Roman"/>
          <w:b/>
          <w:color w:val="000000"/>
          <w:sz w:val="28"/>
          <w:szCs w:val="28"/>
          <w:lang w:eastAsia="ar-SA"/>
        </w:rPr>
        <w:t>.</w:t>
      </w:r>
      <w:r w:rsidRPr="003B10E2">
        <w:rPr>
          <w:rFonts w:ascii="Times New Roman" w:eastAsia="Times New Roman" w:hAnsi="Times New Roman"/>
          <w:i/>
          <w:color w:val="000000"/>
          <w:sz w:val="28"/>
          <w:szCs w:val="28"/>
          <w:lang w:eastAsia="ar-SA"/>
        </w:rPr>
        <w:t xml:space="preserve"> </w:t>
      </w:r>
      <w:r w:rsidRPr="003B10E2">
        <w:rPr>
          <w:rFonts w:ascii="Times New Roman" w:eastAsia="Times New Roman" w:hAnsi="Times New Roman"/>
          <w:color w:val="000000"/>
          <w:sz w:val="28"/>
          <w:szCs w:val="28"/>
          <w:lang w:eastAsia="ar-SA"/>
        </w:rPr>
        <w:t xml:space="preserve">Работа состоит из введения, </w:t>
      </w:r>
      <w:r w:rsidR="00B55A80">
        <w:rPr>
          <w:rFonts w:ascii="Times New Roman" w:eastAsia="Times New Roman" w:hAnsi="Times New Roman"/>
          <w:color w:val="000000"/>
          <w:sz w:val="28"/>
          <w:szCs w:val="28"/>
          <w:lang w:eastAsia="ar-SA"/>
        </w:rPr>
        <w:t xml:space="preserve">четырех </w:t>
      </w:r>
      <w:r w:rsidRPr="003B10E2">
        <w:rPr>
          <w:rFonts w:ascii="Times New Roman" w:eastAsia="Times New Roman" w:hAnsi="Times New Roman"/>
          <w:color w:val="000000"/>
          <w:sz w:val="28"/>
          <w:szCs w:val="28"/>
          <w:lang w:eastAsia="ar-SA"/>
        </w:rPr>
        <w:t>глав, заключения</w:t>
      </w:r>
      <w:r w:rsidR="00A903B6"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color w:val="000000"/>
          <w:sz w:val="28"/>
          <w:szCs w:val="28"/>
          <w:lang w:eastAsia="ar-SA"/>
        </w:rPr>
        <w:t>списка литературы</w:t>
      </w:r>
      <w:r w:rsidR="00A903B6" w:rsidRPr="003B10E2">
        <w:rPr>
          <w:rFonts w:ascii="Times New Roman" w:eastAsia="Times New Roman" w:hAnsi="Times New Roman"/>
          <w:color w:val="000000"/>
          <w:sz w:val="28"/>
          <w:szCs w:val="28"/>
          <w:lang w:eastAsia="ar-SA"/>
        </w:rPr>
        <w:t xml:space="preserve"> и приложений</w:t>
      </w:r>
      <w:r w:rsidRPr="003B10E2">
        <w:rPr>
          <w:rFonts w:ascii="Times New Roman" w:eastAsia="Times New Roman" w:hAnsi="Times New Roman"/>
          <w:color w:val="000000"/>
          <w:sz w:val="28"/>
          <w:szCs w:val="28"/>
          <w:lang w:eastAsia="ar-SA"/>
        </w:rPr>
        <w:t xml:space="preserve"> общим объемом </w:t>
      </w:r>
      <w:r w:rsidR="00EF172B">
        <w:rPr>
          <w:rFonts w:ascii="Times New Roman" w:eastAsia="Times New Roman" w:hAnsi="Times New Roman"/>
          <w:sz w:val="28"/>
          <w:szCs w:val="28"/>
          <w:lang w:eastAsia="ar-SA"/>
        </w:rPr>
        <w:t>299 с</w:t>
      </w:r>
      <w:r w:rsidR="00784C08" w:rsidRPr="003B10E2">
        <w:rPr>
          <w:rFonts w:ascii="Times New Roman" w:eastAsia="Times New Roman" w:hAnsi="Times New Roman"/>
          <w:sz w:val="28"/>
          <w:szCs w:val="28"/>
          <w:lang w:eastAsia="ar-SA"/>
        </w:rPr>
        <w:t>траниц</w:t>
      </w:r>
      <w:r w:rsidR="00EF172B">
        <w:rPr>
          <w:rFonts w:ascii="Times New Roman" w:eastAsia="Times New Roman" w:hAnsi="Times New Roman"/>
          <w:sz w:val="28"/>
          <w:szCs w:val="28"/>
          <w:lang w:eastAsia="ar-SA"/>
        </w:rPr>
        <w:t xml:space="preserve"> </w:t>
      </w:r>
      <w:r w:rsidRPr="003B10E2">
        <w:rPr>
          <w:rFonts w:ascii="Times New Roman" w:eastAsia="Times New Roman" w:hAnsi="Times New Roman"/>
          <w:color w:val="000000"/>
          <w:sz w:val="28"/>
          <w:szCs w:val="28"/>
          <w:lang w:eastAsia="ar-SA"/>
        </w:rPr>
        <w:t>машинописного текста</w:t>
      </w:r>
      <w:r w:rsidR="007065D2" w:rsidRPr="003B10E2">
        <w:rPr>
          <w:rFonts w:ascii="Times New Roman" w:eastAsia="Times New Roman" w:hAnsi="Times New Roman"/>
          <w:color w:val="000000"/>
          <w:sz w:val="28"/>
          <w:szCs w:val="28"/>
          <w:lang w:eastAsia="ar-SA"/>
        </w:rPr>
        <w:t xml:space="preserve"> без учета приложений</w:t>
      </w:r>
      <w:r w:rsidRPr="003B10E2">
        <w:rPr>
          <w:rFonts w:ascii="Times New Roman" w:eastAsia="Times New Roman" w:hAnsi="Times New Roman"/>
          <w:color w:val="000000"/>
          <w:sz w:val="28"/>
          <w:szCs w:val="28"/>
          <w:lang w:eastAsia="ar-SA"/>
        </w:rPr>
        <w:t xml:space="preserve">. В работе содержится </w:t>
      </w:r>
      <w:r w:rsidR="003247CC" w:rsidRPr="003B10E2">
        <w:rPr>
          <w:rFonts w:ascii="Times New Roman" w:eastAsia="Times New Roman" w:hAnsi="Times New Roman"/>
          <w:color w:val="000000"/>
          <w:sz w:val="28"/>
          <w:szCs w:val="28"/>
          <w:lang w:eastAsia="ar-SA"/>
        </w:rPr>
        <w:t>8</w:t>
      </w:r>
      <w:r w:rsidR="002A6782" w:rsidRPr="003B10E2">
        <w:rPr>
          <w:rFonts w:ascii="Times New Roman" w:eastAsia="Times New Roman" w:hAnsi="Times New Roman"/>
          <w:color w:val="000000"/>
          <w:sz w:val="28"/>
          <w:szCs w:val="28"/>
          <w:lang w:eastAsia="ar-SA"/>
        </w:rPr>
        <w:t>4</w:t>
      </w:r>
      <w:r w:rsidR="00E07EA1" w:rsidRPr="003B10E2">
        <w:rPr>
          <w:rFonts w:ascii="Times New Roman" w:eastAsia="Times New Roman" w:hAnsi="Times New Roman"/>
          <w:color w:val="000000"/>
          <w:sz w:val="28"/>
          <w:szCs w:val="28"/>
          <w:lang w:eastAsia="ar-SA"/>
        </w:rPr>
        <w:t xml:space="preserve"> рисунк</w:t>
      </w:r>
      <w:r w:rsidR="00142E20" w:rsidRPr="003B10E2">
        <w:rPr>
          <w:rFonts w:ascii="Times New Roman" w:eastAsia="Times New Roman" w:hAnsi="Times New Roman"/>
          <w:color w:val="000000"/>
          <w:sz w:val="28"/>
          <w:szCs w:val="28"/>
          <w:lang w:eastAsia="ar-SA"/>
        </w:rPr>
        <w:t>а</w:t>
      </w:r>
      <w:r w:rsidRPr="003B10E2">
        <w:rPr>
          <w:rFonts w:ascii="Times New Roman" w:eastAsia="Times New Roman" w:hAnsi="Times New Roman"/>
          <w:color w:val="000000"/>
          <w:sz w:val="28"/>
          <w:szCs w:val="28"/>
          <w:lang w:eastAsia="ar-SA"/>
        </w:rPr>
        <w:t>, 2</w:t>
      </w:r>
      <w:r w:rsidR="002A6782" w:rsidRPr="003B10E2">
        <w:rPr>
          <w:rFonts w:ascii="Times New Roman" w:eastAsia="Times New Roman" w:hAnsi="Times New Roman"/>
          <w:color w:val="000000"/>
          <w:sz w:val="28"/>
          <w:szCs w:val="28"/>
          <w:lang w:eastAsia="ar-SA"/>
        </w:rPr>
        <w:t>2</w:t>
      </w:r>
      <w:r w:rsidRPr="003B10E2">
        <w:rPr>
          <w:rFonts w:ascii="Times New Roman" w:eastAsia="Times New Roman" w:hAnsi="Times New Roman"/>
          <w:color w:val="000000"/>
          <w:sz w:val="28"/>
          <w:szCs w:val="28"/>
          <w:lang w:eastAsia="ar-SA"/>
        </w:rPr>
        <w:t xml:space="preserve"> таблиц</w:t>
      </w:r>
      <w:r w:rsidR="002A6782" w:rsidRPr="003B10E2">
        <w:rPr>
          <w:rFonts w:ascii="Times New Roman" w:eastAsia="Times New Roman" w:hAnsi="Times New Roman"/>
          <w:color w:val="000000"/>
          <w:sz w:val="28"/>
          <w:szCs w:val="28"/>
          <w:lang w:eastAsia="ar-SA"/>
        </w:rPr>
        <w:t>ы</w:t>
      </w:r>
      <w:r w:rsidRPr="003B10E2">
        <w:rPr>
          <w:rFonts w:ascii="Times New Roman" w:eastAsia="Times New Roman" w:hAnsi="Times New Roman"/>
          <w:color w:val="000000"/>
          <w:sz w:val="28"/>
          <w:szCs w:val="28"/>
          <w:lang w:eastAsia="ar-SA"/>
        </w:rPr>
        <w:t xml:space="preserve"> и </w:t>
      </w:r>
      <w:r w:rsidR="00EF172B">
        <w:rPr>
          <w:rFonts w:ascii="Times New Roman" w:eastAsia="Times New Roman" w:hAnsi="Times New Roman"/>
          <w:color w:val="000000"/>
          <w:sz w:val="28"/>
          <w:szCs w:val="28"/>
          <w:lang w:eastAsia="ar-SA"/>
        </w:rPr>
        <w:t xml:space="preserve">5 </w:t>
      </w:r>
      <w:r w:rsidRPr="003B10E2">
        <w:rPr>
          <w:rFonts w:ascii="Times New Roman" w:eastAsia="Times New Roman" w:hAnsi="Times New Roman"/>
          <w:color w:val="000000"/>
          <w:sz w:val="28"/>
          <w:szCs w:val="28"/>
          <w:lang w:eastAsia="ar-SA"/>
        </w:rPr>
        <w:t>приложени</w:t>
      </w:r>
      <w:r w:rsidR="00066C9D" w:rsidRPr="003B10E2">
        <w:rPr>
          <w:rFonts w:ascii="Times New Roman" w:eastAsia="Times New Roman" w:hAnsi="Times New Roman"/>
          <w:color w:val="000000"/>
          <w:sz w:val="28"/>
          <w:szCs w:val="28"/>
          <w:lang w:eastAsia="ar-SA"/>
        </w:rPr>
        <w:t>й</w:t>
      </w:r>
      <w:r w:rsidRPr="003B10E2">
        <w:rPr>
          <w:rFonts w:ascii="Times New Roman" w:eastAsia="Times New Roman" w:hAnsi="Times New Roman"/>
          <w:color w:val="000000"/>
          <w:sz w:val="28"/>
          <w:szCs w:val="28"/>
          <w:lang w:eastAsia="ar-SA"/>
        </w:rPr>
        <w:t>.</w:t>
      </w:r>
    </w:p>
    <w:p w14:paraId="72722332" w14:textId="77777777" w:rsidR="00671B66" w:rsidRPr="003B10E2" w:rsidRDefault="00671B66" w:rsidP="00FC5FA5">
      <w:pPr>
        <w:widowControl w:val="0"/>
        <w:spacing w:after="0" w:line="360" w:lineRule="auto"/>
        <w:ind w:firstLine="851"/>
        <w:contextualSpacing/>
        <w:jc w:val="both"/>
        <w:rPr>
          <w:rFonts w:ascii="Times New Roman" w:eastAsia="Times New Roman" w:hAnsi="Times New Roman"/>
          <w:color w:val="000000"/>
          <w:sz w:val="28"/>
          <w:szCs w:val="28"/>
          <w:lang w:eastAsia="ar-SA"/>
        </w:rPr>
      </w:pPr>
      <w:r w:rsidRPr="003B10E2">
        <w:rPr>
          <w:rFonts w:ascii="Times New Roman" w:hAnsi="Times New Roman"/>
          <w:sz w:val="28"/>
          <w:szCs w:val="28"/>
        </w:rPr>
        <w:br w:type="page"/>
      </w:r>
    </w:p>
    <w:p w14:paraId="1FBD3050" w14:textId="77777777" w:rsidR="00BD245A" w:rsidRPr="003B10E2" w:rsidRDefault="00BD245A" w:rsidP="00B51A53">
      <w:pPr>
        <w:pStyle w:val="1"/>
        <w:spacing w:before="0" w:line="360" w:lineRule="auto"/>
        <w:contextualSpacing/>
        <w:jc w:val="center"/>
        <w:rPr>
          <w:rFonts w:ascii="Times New Roman" w:hAnsi="Times New Roman"/>
          <w:b/>
          <w:color w:val="000000"/>
          <w:lang w:eastAsia="ar-SA"/>
        </w:rPr>
      </w:pPr>
      <w:bookmarkStart w:id="41" w:name="_Toc497174574"/>
      <w:bookmarkStart w:id="42" w:name="_Toc497174647"/>
      <w:bookmarkStart w:id="43" w:name="_Toc497225943"/>
      <w:bookmarkStart w:id="44" w:name="_Toc497226231"/>
      <w:bookmarkStart w:id="45" w:name="_Toc497226335"/>
      <w:bookmarkStart w:id="46" w:name="_Toc497226902"/>
      <w:bookmarkStart w:id="47" w:name="_Toc497227179"/>
      <w:bookmarkStart w:id="48" w:name="_Toc497237360"/>
      <w:bookmarkStart w:id="49" w:name="_Toc500085706"/>
      <w:bookmarkStart w:id="50" w:name="_Toc502763351"/>
      <w:bookmarkStart w:id="51" w:name="_Toc503179425"/>
      <w:bookmarkStart w:id="52" w:name="_Toc523499790"/>
      <w:bookmarkStart w:id="53" w:name="_Toc530742356"/>
      <w:bookmarkStart w:id="54" w:name="_Toc145164370"/>
      <w:r w:rsidRPr="003B10E2">
        <w:rPr>
          <w:rFonts w:ascii="Times New Roman" w:hAnsi="Times New Roman"/>
          <w:b/>
          <w:color w:val="000000"/>
          <w:lang w:eastAsia="ar-SA"/>
        </w:rPr>
        <w:t xml:space="preserve">Глава 1 </w:t>
      </w:r>
      <w:bookmarkStart w:id="55" w:name="_Hlk131416060"/>
      <w:bookmarkEnd w:id="41"/>
      <w:bookmarkEnd w:id="42"/>
      <w:bookmarkEnd w:id="43"/>
      <w:bookmarkEnd w:id="44"/>
      <w:bookmarkEnd w:id="45"/>
      <w:bookmarkEnd w:id="46"/>
      <w:bookmarkEnd w:id="47"/>
      <w:bookmarkEnd w:id="48"/>
      <w:bookmarkEnd w:id="49"/>
      <w:bookmarkEnd w:id="50"/>
      <w:bookmarkEnd w:id="51"/>
      <w:bookmarkEnd w:id="52"/>
      <w:r w:rsidRPr="003B10E2">
        <w:rPr>
          <w:rFonts w:ascii="Times New Roman" w:hAnsi="Times New Roman"/>
          <w:b/>
          <w:color w:val="000000"/>
          <w:lang w:eastAsia="ar-SA"/>
        </w:rPr>
        <w:t xml:space="preserve">Теоретические основы исследования структурных изменений </w:t>
      </w:r>
      <w:r w:rsidR="005D427A" w:rsidRPr="003B10E2">
        <w:rPr>
          <w:rFonts w:ascii="Times New Roman" w:hAnsi="Times New Roman"/>
          <w:b/>
          <w:color w:val="000000"/>
          <w:lang w:eastAsia="ar-SA"/>
        </w:rPr>
        <w:t>мирового рынка капитала</w:t>
      </w:r>
      <w:r w:rsidRPr="003B10E2">
        <w:rPr>
          <w:rFonts w:ascii="Times New Roman" w:hAnsi="Times New Roman"/>
          <w:b/>
          <w:color w:val="000000"/>
          <w:lang w:eastAsia="ar-SA"/>
        </w:rPr>
        <w:t xml:space="preserve"> и инвестиционных стратегий</w:t>
      </w:r>
      <w:bookmarkStart w:id="56" w:name="_Toc497174575"/>
      <w:bookmarkStart w:id="57" w:name="_Toc497174648"/>
      <w:bookmarkStart w:id="58" w:name="_Toc497225944"/>
      <w:bookmarkStart w:id="59" w:name="_Toc497226232"/>
      <w:bookmarkStart w:id="60" w:name="_Toc497226336"/>
      <w:bookmarkStart w:id="61" w:name="_Toc497226903"/>
      <w:bookmarkStart w:id="62" w:name="_Toc497227180"/>
      <w:bookmarkStart w:id="63" w:name="_Toc497237361"/>
      <w:bookmarkStart w:id="64" w:name="_Toc500085707"/>
      <w:bookmarkStart w:id="65" w:name="_Toc502763352"/>
      <w:bookmarkStart w:id="66" w:name="_Toc503179426"/>
      <w:bookmarkStart w:id="67" w:name="_Toc523499791"/>
      <w:bookmarkStart w:id="68" w:name="_Toc530742357"/>
      <w:bookmarkEnd w:id="53"/>
      <w:bookmarkEnd w:id="54"/>
      <w:bookmarkEnd w:id="55"/>
    </w:p>
    <w:p w14:paraId="37F32197" w14:textId="77777777" w:rsidR="00BD245A" w:rsidRPr="003B10E2" w:rsidRDefault="00BD245A" w:rsidP="00BD245A">
      <w:pPr>
        <w:rPr>
          <w:lang w:eastAsia="ar-SA"/>
        </w:rPr>
      </w:pPr>
    </w:p>
    <w:p w14:paraId="055C5DFF" w14:textId="77777777" w:rsidR="00BD245A" w:rsidRPr="003B10E2" w:rsidRDefault="00BD245A" w:rsidP="00BD245A">
      <w:pPr>
        <w:pStyle w:val="2"/>
        <w:spacing w:before="0" w:line="360" w:lineRule="auto"/>
        <w:ind w:firstLine="851"/>
        <w:contextualSpacing/>
        <w:jc w:val="both"/>
        <w:rPr>
          <w:rFonts w:ascii="Times New Roman" w:hAnsi="Times New Roman"/>
          <w:b/>
          <w:sz w:val="28"/>
          <w:szCs w:val="28"/>
        </w:rPr>
      </w:pPr>
      <w:bookmarkStart w:id="69" w:name="_Toc145164371"/>
      <w:r w:rsidRPr="003B10E2">
        <w:rPr>
          <w:rFonts w:ascii="Times New Roman" w:hAnsi="Times New Roman"/>
          <w:b/>
          <w:color w:val="000000"/>
          <w:sz w:val="28"/>
          <w:szCs w:val="28"/>
          <w:lang w:eastAsia="ar-SA"/>
        </w:rPr>
        <w:t xml:space="preserve">1.1 </w:t>
      </w:r>
      <w:bookmarkEnd w:id="56"/>
      <w:bookmarkEnd w:id="57"/>
      <w:bookmarkEnd w:id="58"/>
      <w:bookmarkEnd w:id="59"/>
      <w:bookmarkEnd w:id="60"/>
      <w:bookmarkEnd w:id="61"/>
      <w:bookmarkEnd w:id="62"/>
      <w:bookmarkEnd w:id="63"/>
      <w:bookmarkEnd w:id="64"/>
      <w:bookmarkEnd w:id="65"/>
      <w:bookmarkEnd w:id="66"/>
      <w:bookmarkEnd w:id="67"/>
      <w:r w:rsidRPr="003B10E2">
        <w:rPr>
          <w:rFonts w:ascii="Times New Roman" w:hAnsi="Times New Roman"/>
          <w:b/>
          <w:color w:val="000000"/>
          <w:sz w:val="28"/>
          <w:szCs w:val="28"/>
          <w:lang w:eastAsia="ar-SA"/>
        </w:rPr>
        <w:t xml:space="preserve">Содержание структуры </w:t>
      </w:r>
      <w:r w:rsidR="005D427A" w:rsidRPr="003B10E2">
        <w:rPr>
          <w:rFonts w:ascii="Times New Roman" w:hAnsi="Times New Roman"/>
          <w:b/>
          <w:color w:val="000000"/>
          <w:sz w:val="28"/>
          <w:szCs w:val="28"/>
          <w:lang w:eastAsia="ar-SA"/>
        </w:rPr>
        <w:t>мирового рынка капитала</w:t>
      </w:r>
      <w:r w:rsidRPr="003B10E2">
        <w:rPr>
          <w:rFonts w:ascii="Times New Roman" w:hAnsi="Times New Roman"/>
          <w:b/>
          <w:color w:val="000000"/>
          <w:sz w:val="28"/>
          <w:szCs w:val="28"/>
          <w:lang w:eastAsia="ar-SA"/>
        </w:rPr>
        <w:t>, структурных изменений и связь с инвестиционным поведением</w:t>
      </w:r>
      <w:bookmarkEnd w:id="69"/>
      <w:r w:rsidRPr="003B10E2">
        <w:rPr>
          <w:rFonts w:ascii="Times New Roman" w:hAnsi="Times New Roman"/>
          <w:b/>
          <w:color w:val="000000"/>
          <w:sz w:val="28"/>
          <w:szCs w:val="28"/>
          <w:lang w:eastAsia="ar-SA"/>
        </w:rPr>
        <w:t xml:space="preserve"> </w:t>
      </w:r>
      <w:bookmarkEnd w:id="68"/>
    </w:p>
    <w:p w14:paraId="438EC5B2"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p>
    <w:p w14:paraId="57431122"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Попытки аналитического описания структурных изменений и поведения инвесторов на российском рынке капитала продолжаются в течение последних 50 лет. В рамках данной работы решается научная задача выявления причинно-следственных связей между структурными изменениями и инвестиционным поведением.</w:t>
      </w:r>
    </w:p>
    <w:p w14:paraId="42F52C87"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Существует несколько вариантов определения понятия «структура». Наиболее используемые из них в экономике перечислены ниже.</w:t>
      </w:r>
    </w:p>
    <w:p w14:paraId="52BA1574"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hyperlink r:id="rId9" w:tgtFrame="Структура (философия)">
        <w:r w:rsidRPr="003B10E2">
          <w:rPr>
            <w:rFonts w:ascii="Times New Roman" w:hAnsi="Times New Roman"/>
            <w:color w:val="000000"/>
            <w:sz w:val="28"/>
            <w:szCs w:val="28"/>
          </w:rPr>
          <w:t>Структура</w:t>
        </w:r>
      </w:hyperlink>
      <w:r w:rsidRPr="003B10E2">
        <w:rPr>
          <w:rFonts w:ascii="Times New Roman" w:hAnsi="Times New Roman"/>
          <w:color w:val="000000"/>
          <w:sz w:val="28"/>
          <w:szCs w:val="28"/>
        </w:rPr>
        <w:t xml:space="preserve"> </w:t>
      </w:r>
      <w:r w:rsidRPr="003B10E2">
        <w:rPr>
          <w:rFonts w:ascii="Times New Roman" w:eastAsia="Times New Roman" w:hAnsi="Times New Roman"/>
          <w:bCs/>
          <w:color w:val="000000"/>
          <w:sz w:val="28"/>
          <w:szCs w:val="28"/>
          <w:lang w:val="x-none" w:eastAsia="ar-SA"/>
        </w:rPr>
        <w:t>—</w:t>
      </w:r>
      <w:r w:rsidRPr="003B10E2">
        <w:rPr>
          <w:rFonts w:ascii="Times New Roman" w:hAnsi="Times New Roman"/>
          <w:color w:val="000000"/>
          <w:sz w:val="28"/>
          <w:szCs w:val="28"/>
        </w:rPr>
        <w:t xml:space="preserve"> (от лат. Structura </w:t>
      </w:r>
      <w:r w:rsidRPr="003B10E2">
        <w:rPr>
          <w:rFonts w:ascii="Times New Roman" w:eastAsia="Times New Roman" w:hAnsi="Times New Roman"/>
          <w:bCs/>
          <w:color w:val="000000"/>
          <w:sz w:val="28"/>
          <w:szCs w:val="28"/>
          <w:lang w:val="x-none" w:eastAsia="ar-SA"/>
        </w:rPr>
        <w:t>—</w:t>
      </w:r>
      <w:r w:rsidRPr="003B10E2">
        <w:rPr>
          <w:rFonts w:ascii="Times New Roman" w:hAnsi="Times New Roman"/>
          <w:color w:val="000000"/>
          <w:sz w:val="28"/>
          <w:szCs w:val="28"/>
        </w:rPr>
        <w:t xml:space="preserve"> строение, расположение, порядок) совокупность элементов объекта и устойчивых связей между ними, сохраняющих его целостность [2</w:t>
      </w:r>
      <w:r w:rsidR="0057285F" w:rsidRPr="003B10E2">
        <w:rPr>
          <w:rFonts w:ascii="Times New Roman" w:hAnsi="Times New Roman"/>
          <w:color w:val="000000"/>
          <w:sz w:val="28"/>
          <w:szCs w:val="28"/>
        </w:rPr>
        <w:t>49</w:t>
      </w:r>
      <w:r w:rsidRPr="003B10E2">
        <w:rPr>
          <w:rFonts w:ascii="Times New Roman" w:hAnsi="Times New Roman"/>
          <w:color w:val="000000"/>
          <w:sz w:val="28"/>
          <w:szCs w:val="28"/>
        </w:rPr>
        <w:t xml:space="preserve">]. </w:t>
      </w:r>
    </w:p>
    <w:p w14:paraId="47D5D7E2"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Структура — разделение экономики, экономического объекта или экономической категории на составные части по определенным признакам, установление взаимосвязей между этими составными частями; состав, строение экономического объекта [298]. Оксфордский</w:t>
      </w:r>
      <w:r w:rsidRPr="003B10E2">
        <w:rPr>
          <w:rFonts w:ascii="Times New Roman" w:hAnsi="Times New Roman"/>
          <w:color w:val="000000"/>
          <w:sz w:val="28"/>
          <w:szCs w:val="28"/>
          <w:lang w:val="en-US"/>
        </w:rPr>
        <w:t xml:space="preserve"> </w:t>
      </w:r>
      <w:r w:rsidRPr="003B10E2">
        <w:rPr>
          <w:rFonts w:ascii="Times New Roman" w:hAnsi="Times New Roman"/>
          <w:color w:val="000000"/>
          <w:sz w:val="28"/>
          <w:szCs w:val="28"/>
        </w:rPr>
        <w:t>словарь</w:t>
      </w:r>
      <w:r w:rsidRPr="003B10E2">
        <w:rPr>
          <w:rFonts w:ascii="Times New Roman" w:hAnsi="Times New Roman"/>
          <w:color w:val="000000"/>
          <w:sz w:val="28"/>
          <w:szCs w:val="28"/>
          <w:lang w:val="en-US"/>
        </w:rPr>
        <w:t xml:space="preserve"> </w:t>
      </w:r>
      <w:r w:rsidRPr="003B10E2">
        <w:rPr>
          <w:rFonts w:ascii="Times New Roman" w:hAnsi="Times New Roman"/>
          <w:color w:val="000000"/>
          <w:sz w:val="28"/>
          <w:szCs w:val="28"/>
        </w:rPr>
        <w:t>содержит</w:t>
      </w:r>
      <w:r w:rsidRPr="003B10E2">
        <w:rPr>
          <w:rFonts w:ascii="Times New Roman" w:hAnsi="Times New Roman"/>
          <w:color w:val="000000"/>
          <w:sz w:val="28"/>
          <w:szCs w:val="28"/>
          <w:lang w:val="en-US"/>
        </w:rPr>
        <w:t xml:space="preserve"> </w:t>
      </w:r>
      <w:r w:rsidRPr="003B10E2">
        <w:rPr>
          <w:rFonts w:ascii="Times New Roman" w:hAnsi="Times New Roman"/>
          <w:color w:val="000000"/>
          <w:sz w:val="28"/>
          <w:szCs w:val="28"/>
        </w:rPr>
        <w:t>следующее</w:t>
      </w:r>
      <w:r w:rsidRPr="003B10E2">
        <w:rPr>
          <w:rFonts w:ascii="Times New Roman" w:hAnsi="Times New Roman"/>
          <w:color w:val="000000"/>
          <w:sz w:val="28"/>
          <w:szCs w:val="28"/>
          <w:lang w:val="en-US"/>
        </w:rPr>
        <w:t xml:space="preserve"> </w:t>
      </w:r>
      <w:r w:rsidRPr="003B10E2">
        <w:rPr>
          <w:rFonts w:ascii="Times New Roman" w:hAnsi="Times New Roman"/>
          <w:color w:val="000000"/>
          <w:sz w:val="28"/>
          <w:szCs w:val="28"/>
        </w:rPr>
        <w:t>определение</w:t>
      </w:r>
      <w:r w:rsidRPr="003B10E2">
        <w:rPr>
          <w:rFonts w:ascii="Times New Roman" w:hAnsi="Times New Roman"/>
          <w:color w:val="000000"/>
          <w:sz w:val="28"/>
          <w:szCs w:val="28"/>
          <w:lang w:val="en-US"/>
        </w:rPr>
        <w:t>: structure —</w:t>
      </w:r>
      <w:r w:rsidRPr="003B10E2">
        <w:rPr>
          <w:rFonts w:ascii="Times New Roman" w:hAnsi="Times New Roman"/>
          <w:color w:val="000000"/>
          <w:sz w:val="28"/>
          <w:szCs w:val="28"/>
          <w:shd w:val="clear" w:color="auto" w:fill="FFFFFF"/>
          <w:lang w:val="en-US"/>
        </w:rPr>
        <w:t xml:space="preserve"> </w:t>
      </w:r>
      <w:r w:rsidRPr="003B10E2">
        <w:rPr>
          <w:rFonts w:ascii="Times New Roman" w:hAnsi="Times New Roman"/>
          <w:color w:val="000000"/>
          <w:sz w:val="28"/>
          <w:szCs w:val="28"/>
          <w:lang w:val="en-US"/>
        </w:rPr>
        <w:t xml:space="preserve">the arrangements and relations between the parts or elements of something complex [299]. </w:t>
      </w:r>
      <w:r w:rsidRPr="003B10E2">
        <w:rPr>
          <w:rFonts w:ascii="Times New Roman" w:hAnsi="Times New Roman"/>
          <w:color w:val="000000"/>
          <w:sz w:val="28"/>
          <w:szCs w:val="28"/>
        </w:rPr>
        <w:t xml:space="preserve">Это определение можно перевести кратким образом «структура — это элементы и отношения между ними». В рамках данного исследования используется понятие структуры как совокупности элементов и устойчивых связей между ними. Изменение структуры приводит к изменению параметров системы. Выявление таких связей между элементами является важной экономической задачей. </w:t>
      </w:r>
    </w:p>
    <w:p w14:paraId="71C7E3A6"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На финансовом рынке можно выделить взаимодействие через механизм биржи (сделки, денежные расчеты, расчеты ценными бумагами) и через информационные каналы (информация) между покупателями и продавцами.</w:t>
      </w:r>
    </w:p>
    <w:p w14:paraId="1C753C63"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Рынок капитала — это финансовый рынок, на котором покупаются и продаются долгосрочные долговые обязательства (более года) или финансовые инструменты, связанные с правами собственности (на долю) в организации [233]. В научной литературе дается следующее определение: «На рынке капиталов осуществляется движение средне- и долгосрочных (более 1 года) накоплений» [300]. В рамках данного исследования используется вышеприведенное определение и подлежат рассмотрению два основных традиционных сегмента </w:t>
      </w:r>
      <w:r w:rsidR="005D427A" w:rsidRPr="003B10E2">
        <w:rPr>
          <w:rFonts w:ascii="Times New Roman" w:hAnsi="Times New Roman"/>
          <w:color w:val="000000"/>
          <w:sz w:val="28"/>
          <w:szCs w:val="28"/>
        </w:rPr>
        <w:t>мирового рынка капитала</w:t>
      </w:r>
      <w:r w:rsidRPr="003B10E2">
        <w:rPr>
          <w:rFonts w:ascii="Times New Roman" w:hAnsi="Times New Roman"/>
          <w:color w:val="000000"/>
          <w:sz w:val="28"/>
          <w:szCs w:val="28"/>
        </w:rPr>
        <w:t xml:space="preserve">: рынок акций и рынок облигаций, а также новый сегмент — рынок криптоактивов (в части активов со сроком до погашения более 1 года). </w:t>
      </w:r>
    </w:p>
    <w:p w14:paraId="589A56CA"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Структура </w:t>
      </w:r>
      <w:r w:rsidR="005D427A" w:rsidRPr="003B10E2">
        <w:rPr>
          <w:rFonts w:ascii="Times New Roman" w:hAnsi="Times New Roman"/>
          <w:color w:val="000000"/>
          <w:sz w:val="28"/>
          <w:szCs w:val="28"/>
        </w:rPr>
        <w:t>мирового рынка капитала</w:t>
      </w:r>
      <w:r w:rsidRPr="003B10E2">
        <w:rPr>
          <w:rFonts w:ascii="Times New Roman" w:hAnsi="Times New Roman"/>
          <w:color w:val="000000"/>
          <w:sz w:val="28"/>
          <w:szCs w:val="28"/>
        </w:rPr>
        <w:t xml:space="preserve"> — это совокупность элементов </w:t>
      </w:r>
      <w:r w:rsidR="005D427A" w:rsidRPr="003B10E2">
        <w:rPr>
          <w:rFonts w:ascii="Times New Roman" w:hAnsi="Times New Roman"/>
          <w:color w:val="000000"/>
          <w:sz w:val="28"/>
          <w:szCs w:val="28"/>
        </w:rPr>
        <w:t>мирового рынка капитала</w:t>
      </w:r>
      <w:r w:rsidRPr="003B10E2">
        <w:rPr>
          <w:rFonts w:ascii="Times New Roman" w:hAnsi="Times New Roman"/>
          <w:color w:val="000000"/>
          <w:sz w:val="28"/>
          <w:szCs w:val="28"/>
        </w:rPr>
        <w:t xml:space="preserve"> и устойчивых связей между ними. В настоящее время собран огромный массив данных о структуре финансовых рынков в связи с наличием данных о сделках [156]. </w:t>
      </w:r>
    </w:p>
    <w:p w14:paraId="34005F65" w14:textId="77777777" w:rsidR="00794AC5" w:rsidRPr="003B10E2" w:rsidRDefault="00794AC5" w:rsidP="00794AC5">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В зарубежной экономической литературе структура </w:t>
      </w:r>
      <w:r w:rsidR="005D427A" w:rsidRPr="003B10E2">
        <w:rPr>
          <w:rFonts w:ascii="Times New Roman" w:hAnsi="Times New Roman"/>
          <w:color w:val="000000"/>
          <w:sz w:val="28"/>
          <w:szCs w:val="28"/>
        </w:rPr>
        <w:t>мирового рынка капитала</w:t>
      </w:r>
      <w:r w:rsidRPr="003B10E2">
        <w:rPr>
          <w:rFonts w:ascii="Times New Roman" w:hAnsi="Times New Roman"/>
          <w:color w:val="000000"/>
          <w:sz w:val="28"/>
          <w:szCs w:val="28"/>
        </w:rPr>
        <w:t xml:space="preserve"> определена</w:t>
      </w:r>
      <w:r w:rsidRPr="003B10E2">
        <w:rPr>
          <w:rStyle w:val="ac"/>
          <w:rFonts w:ascii="Times New Roman" w:hAnsi="Times New Roman"/>
          <w:color w:val="000000"/>
          <w:sz w:val="28"/>
          <w:szCs w:val="28"/>
        </w:rPr>
        <w:footnoteReference w:id="1"/>
      </w:r>
      <w:r w:rsidRPr="003B10E2">
        <w:rPr>
          <w:rFonts w:ascii="Times New Roman" w:hAnsi="Times New Roman"/>
          <w:color w:val="000000"/>
          <w:sz w:val="28"/>
          <w:szCs w:val="28"/>
        </w:rPr>
        <w:t>: «Взаимоотношения в процессе обмена активами в рамках четких правил торговли. В то время, как большая часть экономистов абстрагируется от механики рынков, исследователи структуры рынка анализируют, как конкретные механизмы влияют на процесс ценообразования» [177].</w:t>
      </w:r>
    </w:p>
    <w:p w14:paraId="0D5881A2"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Данное определение переносит объект исследования в область микроструктуры рынка, что не планируется делать в рамках данного исследования. Национальное бюро экономических исследований имеет исследовательскую группу по рыночной микроструктуре, которая занимается теоретическими, эмпирическими и экспериментальными исследованиями по экономике финансовых рынков, включая роль информации в процессе ценообразования, определения, измерения, контроля, а также последствия для эффективности, благосостояния и регулирования альтернативных торговых механизмов и рыночных структур [234]. </w:t>
      </w:r>
      <w:bookmarkStart w:id="70" w:name="_Hlk121693988"/>
      <w:r w:rsidRPr="003B10E2">
        <w:rPr>
          <w:rFonts w:ascii="Times New Roman" w:hAnsi="Times New Roman"/>
          <w:color w:val="000000"/>
          <w:sz w:val="28"/>
          <w:szCs w:val="28"/>
        </w:rPr>
        <w:t xml:space="preserve">Предметная область данной работы, наоборот, относится к области макроструктуры </w:t>
      </w:r>
      <w:r w:rsidR="005D427A" w:rsidRPr="003B10E2">
        <w:rPr>
          <w:rFonts w:ascii="Times New Roman" w:hAnsi="Times New Roman"/>
          <w:color w:val="000000"/>
          <w:sz w:val="28"/>
          <w:szCs w:val="28"/>
        </w:rPr>
        <w:t>мирового рынка капитала</w:t>
      </w:r>
      <w:r w:rsidRPr="003B10E2">
        <w:rPr>
          <w:rFonts w:ascii="Times New Roman" w:hAnsi="Times New Roman"/>
          <w:color w:val="000000"/>
          <w:sz w:val="28"/>
          <w:szCs w:val="28"/>
        </w:rPr>
        <w:t xml:space="preserve">. </w:t>
      </w:r>
      <w:bookmarkEnd w:id="70"/>
    </w:p>
    <w:p w14:paraId="1771D276" w14:textId="77777777" w:rsidR="00E53899" w:rsidRPr="003B10E2" w:rsidRDefault="00E53899" w:rsidP="00E53899">
      <w:pPr>
        <w:ind w:firstLine="851"/>
        <w:rPr>
          <w:rFonts w:ascii="Times New Roman" w:hAnsi="Times New Roman"/>
          <w:color w:val="000000"/>
          <w:sz w:val="28"/>
          <w:szCs w:val="28"/>
        </w:rPr>
      </w:pPr>
      <w:r w:rsidRPr="003B10E2">
        <w:rPr>
          <w:rFonts w:ascii="Times New Roman" w:hAnsi="Times New Roman"/>
          <w:color w:val="000000"/>
          <w:sz w:val="28"/>
          <w:szCs w:val="28"/>
        </w:rPr>
        <w:t>Структурные изменения.</w:t>
      </w:r>
    </w:p>
    <w:p w14:paraId="04A3AB99" w14:textId="77777777" w:rsidR="00A35F4A" w:rsidRPr="003B10E2" w:rsidRDefault="00A35F4A" w:rsidP="00A35F4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Структурные изменения</w:t>
      </w:r>
      <w:r w:rsidRPr="003B10E2">
        <w:rPr>
          <w:rStyle w:val="ac"/>
          <w:rFonts w:ascii="Times New Roman" w:hAnsi="Times New Roman"/>
          <w:color w:val="000000"/>
          <w:sz w:val="28"/>
          <w:szCs w:val="28"/>
        </w:rPr>
        <w:footnoteReference w:id="2"/>
      </w:r>
      <w:r w:rsidRPr="003B10E2">
        <w:rPr>
          <w:rFonts w:ascii="Times New Roman" w:hAnsi="Times New Roman"/>
          <w:color w:val="000000"/>
          <w:sz w:val="28"/>
          <w:szCs w:val="28"/>
        </w:rPr>
        <w:t xml:space="preserve"> — это изменения основных способов функционирования рынка [211]. Во многом структура влияет на инвестиционное поведение. В рамках данной работы структурные изменения идентифицируются на основе эмпирических значений показателей </w:t>
      </w:r>
      <w:r w:rsidR="005D427A" w:rsidRPr="003B10E2">
        <w:rPr>
          <w:rFonts w:ascii="Times New Roman" w:hAnsi="Times New Roman"/>
          <w:color w:val="000000"/>
          <w:sz w:val="28"/>
          <w:szCs w:val="28"/>
        </w:rPr>
        <w:t>мирового рынка капитала</w:t>
      </w:r>
      <w:r w:rsidRPr="003B10E2">
        <w:rPr>
          <w:rFonts w:ascii="Times New Roman" w:hAnsi="Times New Roman"/>
          <w:color w:val="000000"/>
          <w:sz w:val="28"/>
          <w:szCs w:val="28"/>
        </w:rPr>
        <w:t>.</w:t>
      </w:r>
    </w:p>
    <w:p w14:paraId="15FABEF0"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Структурные изменения могут быть вызваны такими факторами, как экономическое развитие, глобальные изменения в капитале и рабочей силе, изменения в доступности ресурсов в результате войн или стихийных бедствий, изменения в политических системах. До кризиса 2008–2009 гг. основной движущей силой структурных изменений в мировой экономике была глобализация [317]. Структурные изменения возможны в силу динамичного характера </w:t>
      </w:r>
      <w:r w:rsidR="005D427A" w:rsidRPr="003B10E2">
        <w:rPr>
          <w:rFonts w:ascii="Times New Roman" w:hAnsi="Times New Roman"/>
          <w:color w:val="000000"/>
          <w:sz w:val="28"/>
          <w:szCs w:val="28"/>
        </w:rPr>
        <w:t>мирового рынка капитала</w:t>
      </w:r>
      <w:r w:rsidRPr="003B10E2">
        <w:rPr>
          <w:rFonts w:ascii="Times New Roman" w:hAnsi="Times New Roman"/>
          <w:color w:val="000000"/>
          <w:sz w:val="28"/>
          <w:szCs w:val="28"/>
        </w:rPr>
        <w:t xml:space="preserve"> [314]. В работе доказывается тезис, что структурные изменения возникают в связи с резкими ценовыми шоками на рынке.</w:t>
      </w:r>
    </w:p>
    <w:p w14:paraId="4F7BB30F"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bookmarkStart w:id="71" w:name="_Hlk122460518"/>
      <w:r w:rsidRPr="003B10E2">
        <w:rPr>
          <w:rFonts w:ascii="Times New Roman" w:hAnsi="Times New Roman"/>
          <w:color w:val="000000"/>
          <w:sz w:val="28"/>
          <w:szCs w:val="28"/>
        </w:rPr>
        <w:t>Отдельно следует выделить понятие структурного сдвига как неожиданное резкое изменение структуры, которое может привести к огромным ошибкам прогнозирования и ненадежности модели в целом [261].</w:t>
      </w:r>
      <w:bookmarkEnd w:id="71"/>
    </w:p>
    <w:p w14:paraId="5791374A"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Среди отечественных исследований структурных сдвигов хотелось бы выделить исследования </w:t>
      </w:r>
      <w:r w:rsidR="00A35F4A" w:rsidRPr="003B10E2">
        <w:rPr>
          <w:rFonts w:ascii="Times New Roman" w:hAnsi="Times New Roman"/>
          <w:color w:val="000000"/>
          <w:sz w:val="28"/>
          <w:szCs w:val="28"/>
        </w:rPr>
        <w:t xml:space="preserve">М.И. </w:t>
      </w:r>
      <w:r w:rsidRPr="003B10E2">
        <w:rPr>
          <w:rFonts w:ascii="Times New Roman" w:hAnsi="Times New Roman"/>
          <w:color w:val="000000"/>
          <w:sz w:val="28"/>
          <w:szCs w:val="28"/>
        </w:rPr>
        <w:t xml:space="preserve">Столбова [84] и </w:t>
      </w:r>
      <w:r w:rsidR="00784C08" w:rsidRPr="003B10E2">
        <w:rPr>
          <w:rFonts w:ascii="Times New Roman" w:hAnsi="Times New Roman"/>
          <w:color w:val="000000"/>
          <w:sz w:val="28"/>
          <w:szCs w:val="28"/>
        </w:rPr>
        <w:t xml:space="preserve">А. </w:t>
      </w:r>
      <w:r w:rsidRPr="003B10E2">
        <w:rPr>
          <w:rFonts w:ascii="Times New Roman" w:hAnsi="Times New Roman"/>
          <w:sz w:val="28"/>
          <w:szCs w:val="28"/>
        </w:rPr>
        <w:t xml:space="preserve">Анкудинова </w:t>
      </w:r>
      <w:r w:rsidRPr="003B10E2">
        <w:rPr>
          <w:rFonts w:ascii="Times New Roman" w:hAnsi="Times New Roman"/>
          <w:color w:val="000000"/>
          <w:sz w:val="28"/>
          <w:szCs w:val="28"/>
        </w:rPr>
        <w:t>[112], которые используют различные математические методы для анализа структурных сдвигов на российском рынке капитала.</w:t>
      </w:r>
    </w:p>
    <w:p w14:paraId="790300D9"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В рамках этой работы рассматриваются движущие силы глубоких изменений в структуре </w:t>
      </w:r>
      <w:r w:rsidR="005D427A" w:rsidRPr="003B10E2">
        <w:rPr>
          <w:rFonts w:ascii="Times New Roman" w:hAnsi="Times New Roman"/>
          <w:color w:val="000000"/>
          <w:sz w:val="28"/>
          <w:szCs w:val="28"/>
        </w:rPr>
        <w:t>мирового рынка капитала</w:t>
      </w:r>
      <w:r w:rsidRPr="003B10E2">
        <w:rPr>
          <w:rFonts w:ascii="Times New Roman" w:hAnsi="Times New Roman"/>
          <w:color w:val="000000"/>
          <w:sz w:val="28"/>
          <w:szCs w:val="28"/>
        </w:rPr>
        <w:t xml:space="preserve"> и трансформация традиционных моделей поведения на рынках.</w:t>
      </w:r>
    </w:p>
    <w:p w14:paraId="0344856A"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Теоретические основы — это элементы структуры работы, которые могут содержать или поддерживать теорию исследования.</w:t>
      </w:r>
    </w:p>
    <w:p w14:paraId="76BEDB4B"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bookmarkStart w:id="72" w:name="_Hlk120136793"/>
      <w:r w:rsidRPr="003B10E2">
        <w:rPr>
          <w:rFonts w:ascii="Times New Roman" w:hAnsi="Times New Roman"/>
          <w:color w:val="000000"/>
          <w:sz w:val="28"/>
          <w:szCs w:val="28"/>
        </w:rPr>
        <w:t>Период исследования ограничен п</w:t>
      </w:r>
      <w:r w:rsidR="00A35F4A" w:rsidRPr="003B10E2">
        <w:rPr>
          <w:rFonts w:ascii="Times New Roman" w:hAnsi="Times New Roman"/>
          <w:color w:val="000000"/>
          <w:sz w:val="28"/>
          <w:szCs w:val="28"/>
        </w:rPr>
        <w:t>ромежутком</w:t>
      </w:r>
      <w:r w:rsidRPr="003B10E2">
        <w:rPr>
          <w:rFonts w:ascii="Times New Roman" w:hAnsi="Times New Roman"/>
          <w:color w:val="000000"/>
          <w:sz w:val="28"/>
          <w:szCs w:val="28"/>
        </w:rPr>
        <w:t xml:space="preserve"> с 2009 по 2021 год.  Временной горизонт прогнозирования в рамках данной работы ограничен 2025 годом.</w:t>
      </w:r>
      <w:bookmarkEnd w:id="72"/>
      <w:r w:rsidRPr="003B10E2">
        <w:rPr>
          <w:rFonts w:ascii="Times New Roman" w:hAnsi="Times New Roman"/>
          <w:color w:val="000000"/>
          <w:sz w:val="28"/>
          <w:szCs w:val="28"/>
        </w:rPr>
        <w:t xml:space="preserve"> Показатели </w:t>
      </w:r>
      <w:r w:rsidR="005D427A" w:rsidRPr="003B10E2">
        <w:rPr>
          <w:rFonts w:ascii="Times New Roman" w:hAnsi="Times New Roman"/>
          <w:color w:val="000000"/>
          <w:sz w:val="28"/>
          <w:szCs w:val="28"/>
        </w:rPr>
        <w:t>мирового рынка капитала</w:t>
      </w:r>
      <w:r w:rsidRPr="003B10E2">
        <w:rPr>
          <w:rFonts w:ascii="Times New Roman" w:hAnsi="Times New Roman"/>
          <w:color w:val="000000"/>
          <w:sz w:val="28"/>
          <w:szCs w:val="28"/>
        </w:rPr>
        <w:t xml:space="preserve"> России сравниваются с аналогичными показателями рынков стран БРИКС и США. Структурные изменения можно разделить на следующие группы эндогенные и экзогенные в зависимости от причины возникновения.</w:t>
      </w:r>
    </w:p>
    <w:p w14:paraId="12EFB766" w14:textId="77777777" w:rsidR="00BD245A" w:rsidRPr="003B10E2" w:rsidRDefault="00F60B17"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Эндогенные:</w:t>
      </w:r>
    </w:p>
    <w:p w14:paraId="115B84DF" w14:textId="77777777" w:rsidR="00BD245A" w:rsidRPr="003B10E2" w:rsidRDefault="00F60B17" w:rsidP="00F60B17">
      <w:pPr>
        <w:pStyle w:val="aff8"/>
        <w:spacing w:after="0" w:line="360" w:lineRule="auto"/>
        <w:ind w:left="0"/>
        <w:jc w:val="both"/>
        <w:rPr>
          <w:rFonts w:ascii="Times New Roman" w:hAnsi="Times New Roman"/>
          <w:color w:val="000000"/>
          <w:sz w:val="28"/>
          <w:szCs w:val="28"/>
        </w:rPr>
      </w:pPr>
      <w:r w:rsidRPr="003B10E2">
        <w:rPr>
          <w:rFonts w:ascii="Times New Roman" w:hAnsi="Times New Roman"/>
          <w:color w:val="000000"/>
          <w:sz w:val="28"/>
          <w:szCs w:val="28"/>
        </w:rPr>
        <w:t>- т</w:t>
      </w:r>
      <w:r w:rsidR="00BD245A" w:rsidRPr="003B10E2">
        <w:rPr>
          <w:rFonts w:ascii="Times New Roman" w:hAnsi="Times New Roman"/>
          <w:color w:val="000000"/>
          <w:sz w:val="28"/>
          <w:szCs w:val="28"/>
        </w:rPr>
        <w:t>ехнологические (изменение техноло</w:t>
      </w:r>
      <w:r w:rsidRPr="003B10E2">
        <w:rPr>
          <w:rFonts w:ascii="Times New Roman" w:hAnsi="Times New Roman"/>
          <w:color w:val="000000"/>
          <w:sz w:val="28"/>
          <w:szCs w:val="28"/>
        </w:rPr>
        <w:t>гии работы рынков и институтов);</w:t>
      </w:r>
    </w:p>
    <w:p w14:paraId="7F05170E" w14:textId="77777777" w:rsidR="00BD245A" w:rsidRPr="003B10E2" w:rsidRDefault="00F60B17" w:rsidP="00F60B17">
      <w:pPr>
        <w:pStyle w:val="aff8"/>
        <w:spacing w:after="0" w:line="360" w:lineRule="auto"/>
        <w:ind w:left="0"/>
        <w:jc w:val="both"/>
        <w:rPr>
          <w:rFonts w:ascii="Times New Roman" w:hAnsi="Times New Roman"/>
          <w:color w:val="000000"/>
          <w:sz w:val="28"/>
          <w:szCs w:val="28"/>
        </w:rPr>
      </w:pPr>
      <w:r w:rsidRPr="003B10E2">
        <w:rPr>
          <w:rFonts w:ascii="Times New Roman" w:hAnsi="Times New Roman"/>
          <w:color w:val="000000"/>
          <w:sz w:val="28"/>
          <w:szCs w:val="28"/>
        </w:rPr>
        <w:t>- п</w:t>
      </w:r>
      <w:r w:rsidR="00BD245A" w:rsidRPr="003B10E2">
        <w:rPr>
          <w:rFonts w:ascii="Times New Roman" w:hAnsi="Times New Roman"/>
          <w:color w:val="000000"/>
          <w:sz w:val="28"/>
          <w:szCs w:val="28"/>
        </w:rPr>
        <w:t>оведенческие (изменения поведения инвес</w:t>
      </w:r>
      <w:r w:rsidRPr="003B10E2">
        <w:rPr>
          <w:rFonts w:ascii="Times New Roman" w:hAnsi="Times New Roman"/>
          <w:color w:val="000000"/>
          <w:sz w:val="28"/>
          <w:szCs w:val="28"/>
        </w:rPr>
        <w:t>торов и инвестиционных решений);</w:t>
      </w:r>
    </w:p>
    <w:p w14:paraId="01526F33" w14:textId="77777777" w:rsidR="00BD245A" w:rsidRPr="003B10E2" w:rsidRDefault="00F60B17" w:rsidP="00F60B17">
      <w:pPr>
        <w:pStyle w:val="aff8"/>
        <w:spacing w:after="0" w:line="360" w:lineRule="auto"/>
        <w:ind w:left="0"/>
        <w:jc w:val="both"/>
        <w:rPr>
          <w:rFonts w:ascii="Times New Roman" w:hAnsi="Times New Roman"/>
          <w:color w:val="000000"/>
          <w:sz w:val="28"/>
          <w:szCs w:val="28"/>
        </w:rPr>
      </w:pPr>
      <w:r w:rsidRPr="003B10E2">
        <w:rPr>
          <w:rFonts w:ascii="Times New Roman" w:hAnsi="Times New Roman"/>
          <w:color w:val="000000"/>
          <w:sz w:val="28"/>
          <w:szCs w:val="28"/>
        </w:rPr>
        <w:t>- м</w:t>
      </w:r>
      <w:r w:rsidR="00BD245A" w:rsidRPr="003B10E2">
        <w:rPr>
          <w:rFonts w:ascii="Times New Roman" w:hAnsi="Times New Roman"/>
          <w:color w:val="000000"/>
          <w:sz w:val="28"/>
          <w:szCs w:val="28"/>
        </w:rPr>
        <w:t xml:space="preserve">ежрыночные (изменения цен на активы и объемов торгов на одних рынках приводят к изменению структуры капитала других рынков). </w:t>
      </w:r>
    </w:p>
    <w:p w14:paraId="5280956C" w14:textId="77777777" w:rsidR="00BD245A" w:rsidRPr="003B10E2" w:rsidRDefault="00BD245A" w:rsidP="00BD245A">
      <w:pPr>
        <w:pStyle w:val="aff8"/>
        <w:spacing w:after="0" w:line="360" w:lineRule="auto"/>
        <w:ind w:left="0" w:firstLine="851"/>
        <w:jc w:val="both"/>
        <w:rPr>
          <w:rFonts w:ascii="Times New Roman" w:hAnsi="Times New Roman"/>
          <w:color w:val="000000"/>
          <w:sz w:val="28"/>
          <w:szCs w:val="28"/>
        </w:rPr>
      </w:pPr>
      <w:r w:rsidRPr="003B10E2">
        <w:rPr>
          <w:rFonts w:ascii="Times New Roman" w:hAnsi="Times New Roman"/>
          <w:color w:val="000000"/>
          <w:sz w:val="28"/>
          <w:szCs w:val="28"/>
        </w:rPr>
        <w:t>Экзоге</w:t>
      </w:r>
      <w:r w:rsidR="00F60B17" w:rsidRPr="003B10E2">
        <w:rPr>
          <w:rFonts w:ascii="Times New Roman" w:hAnsi="Times New Roman"/>
          <w:color w:val="000000"/>
          <w:sz w:val="28"/>
          <w:szCs w:val="28"/>
        </w:rPr>
        <w:t>нные:</w:t>
      </w:r>
    </w:p>
    <w:p w14:paraId="29F13C49" w14:textId="77777777" w:rsidR="00BD245A" w:rsidRPr="003B10E2" w:rsidRDefault="00F60B17" w:rsidP="00F60B17">
      <w:pPr>
        <w:pStyle w:val="aff8"/>
        <w:spacing w:after="0" w:line="360" w:lineRule="auto"/>
        <w:ind w:left="0"/>
        <w:jc w:val="both"/>
        <w:rPr>
          <w:rFonts w:ascii="Times New Roman" w:hAnsi="Times New Roman"/>
          <w:color w:val="000000"/>
          <w:sz w:val="28"/>
          <w:szCs w:val="28"/>
        </w:rPr>
      </w:pPr>
      <w:r w:rsidRPr="003B10E2">
        <w:rPr>
          <w:rFonts w:ascii="Times New Roman" w:hAnsi="Times New Roman"/>
          <w:color w:val="000000"/>
          <w:sz w:val="28"/>
          <w:szCs w:val="28"/>
        </w:rPr>
        <w:t>- м</w:t>
      </w:r>
      <w:r w:rsidR="00BD245A" w:rsidRPr="003B10E2">
        <w:rPr>
          <w:rFonts w:ascii="Times New Roman" w:hAnsi="Times New Roman"/>
          <w:color w:val="000000"/>
          <w:sz w:val="28"/>
          <w:szCs w:val="28"/>
        </w:rPr>
        <w:t>акроэкономические (изменения глобальной и внутренней макроэкономической сит</w:t>
      </w:r>
      <w:r w:rsidR="00F25DF5" w:rsidRPr="003B10E2">
        <w:rPr>
          <w:rFonts w:ascii="Times New Roman" w:hAnsi="Times New Roman"/>
          <w:color w:val="000000"/>
          <w:sz w:val="28"/>
          <w:szCs w:val="28"/>
        </w:rPr>
        <w:t>уации влияю</w:t>
      </w:r>
      <w:r w:rsidRPr="003B10E2">
        <w:rPr>
          <w:rFonts w:ascii="Times New Roman" w:hAnsi="Times New Roman"/>
          <w:color w:val="000000"/>
          <w:sz w:val="28"/>
          <w:szCs w:val="28"/>
        </w:rPr>
        <w:t>т на рынок капитала);</w:t>
      </w:r>
    </w:p>
    <w:p w14:paraId="26A2789D" w14:textId="77777777" w:rsidR="00F60B17" w:rsidRPr="003B10E2" w:rsidRDefault="00F60B17" w:rsidP="00F60B17">
      <w:pPr>
        <w:pStyle w:val="aff8"/>
        <w:spacing w:after="0" w:line="360" w:lineRule="auto"/>
        <w:ind w:left="0"/>
        <w:jc w:val="both"/>
        <w:rPr>
          <w:rFonts w:ascii="Times New Roman" w:hAnsi="Times New Roman"/>
          <w:color w:val="000000"/>
          <w:sz w:val="28"/>
          <w:szCs w:val="28"/>
        </w:rPr>
      </w:pPr>
      <w:r w:rsidRPr="003B10E2">
        <w:rPr>
          <w:rFonts w:ascii="Times New Roman" w:hAnsi="Times New Roman"/>
          <w:color w:val="000000"/>
          <w:sz w:val="28"/>
          <w:szCs w:val="28"/>
        </w:rPr>
        <w:t>- р</w:t>
      </w:r>
      <w:r w:rsidR="00BD245A" w:rsidRPr="003B10E2">
        <w:rPr>
          <w:rFonts w:ascii="Times New Roman" w:hAnsi="Times New Roman"/>
          <w:color w:val="000000"/>
          <w:sz w:val="28"/>
          <w:szCs w:val="28"/>
        </w:rPr>
        <w:t>егуляторные (изменения экономической политики, законодательного регулирова</w:t>
      </w:r>
      <w:r w:rsidRPr="003B10E2">
        <w:rPr>
          <w:rFonts w:ascii="Times New Roman" w:hAnsi="Times New Roman"/>
          <w:color w:val="000000"/>
          <w:sz w:val="28"/>
          <w:szCs w:val="28"/>
        </w:rPr>
        <w:t>ния и государственной политики).</w:t>
      </w:r>
    </w:p>
    <w:p w14:paraId="41F9EC70" w14:textId="77777777" w:rsidR="00BD245A" w:rsidRPr="003B10E2" w:rsidRDefault="00F60B17" w:rsidP="00F60B17">
      <w:pPr>
        <w:pStyle w:val="aff8"/>
        <w:spacing w:after="0" w:line="360" w:lineRule="auto"/>
        <w:ind w:left="0" w:firstLine="708"/>
        <w:jc w:val="both"/>
        <w:rPr>
          <w:rFonts w:ascii="Times New Roman" w:hAnsi="Times New Roman"/>
          <w:color w:val="000000"/>
          <w:sz w:val="28"/>
          <w:szCs w:val="28"/>
        </w:rPr>
      </w:pPr>
      <w:r w:rsidRPr="003B10E2">
        <w:rPr>
          <w:rFonts w:ascii="Times New Roman" w:hAnsi="Times New Roman"/>
          <w:color w:val="000000"/>
          <w:sz w:val="28"/>
          <w:szCs w:val="28"/>
        </w:rPr>
        <w:t>В рамках данного исследования затрагиваются все вышеприведенные группы. В таблице 1 представлены основные исследования структурных изменений и выделенные тренды за посткризисный период.</w:t>
      </w:r>
      <w:r w:rsidR="00BD245A" w:rsidRPr="003B10E2">
        <w:rPr>
          <w:rFonts w:ascii="Times New Roman" w:hAnsi="Times New Roman"/>
          <w:sz w:val="28"/>
          <w:szCs w:val="28"/>
        </w:rPr>
        <w:br w:type="page"/>
      </w:r>
    </w:p>
    <w:p w14:paraId="2BF05084" w14:textId="77777777" w:rsidR="005C0795" w:rsidRPr="003B10E2" w:rsidRDefault="00F60B17" w:rsidP="003A0BD7">
      <w:pPr>
        <w:spacing w:after="0" w:line="240" w:lineRule="auto"/>
        <w:contextualSpacing/>
        <w:jc w:val="both"/>
        <w:rPr>
          <w:rFonts w:ascii="Times New Roman" w:hAnsi="Times New Roman"/>
          <w:color w:val="000000"/>
          <w:sz w:val="24"/>
          <w:szCs w:val="24"/>
        </w:rPr>
      </w:pPr>
      <w:r w:rsidRPr="003B10E2">
        <w:rPr>
          <w:rFonts w:ascii="Times New Roman" w:hAnsi="Times New Roman"/>
          <w:color w:val="000000"/>
          <w:sz w:val="24"/>
          <w:szCs w:val="24"/>
        </w:rPr>
        <w:t xml:space="preserve">Таблица 1 – </w:t>
      </w:r>
      <w:r w:rsidR="00C83D6A" w:rsidRPr="003B10E2">
        <w:rPr>
          <w:rFonts w:ascii="Times New Roman" w:hAnsi="Times New Roman"/>
          <w:color w:val="000000"/>
          <w:sz w:val="24"/>
          <w:szCs w:val="24"/>
        </w:rPr>
        <w:t>Основные исследования структурных изменений на российском рынке капитала в посткризисный период</w:t>
      </w:r>
    </w:p>
    <w:p w14:paraId="3D4DAAE6" w14:textId="77777777" w:rsidR="003A0BD7" w:rsidRPr="003B10E2" w:rsidRDefault="003A0BD7" w:rsidP="00C83D6A">
      <w:pPr>
        <w:spacing w:after="0" w:line="240" w:lineRule="auto"/>
        <w:contextualSpacing/>
        <w:jc w:val="both"/>
        <w:rPr>
          <w:rFonts w:ascii="Times New Roman" w:hAnsi="Times New Roman"/>
          <w:color w:val="000000"/>
          <w:sz w:val="24"/>
          <w:szCs w:val="24"/>
        </w:rPr>
      </w:pPr>
    </w:p>
    <w:tbl>
      <w:tblPr>
        <w:tblW w:w="9351" w:type="dxa"/>
        <w:tblLayout w:type="fixed"/>
        <w:tblLook w:val="04A0" w:firstRow="1" w:lastRow="0" w:firstColumn="1" w:lastColumn="0" w:noHBand="0" w:noVBand="1"/>
      </w:tblPr>
      <w:tblGrid>
        <w:gridCol w:w="1838"/>
        <w:gridCol w:w="3827"/>
        <w:gridCol w:w="3686"/>
      </w:tblGrid>
      <w:tr w:rsidR="00BD245A" w:rsidRPr="003B10E2" w14:paraId="345DBC7B" w14:textId="77777777" w:rsidTr="003A0BD7">
        <w:trPr>
          <w:trHeight w:val="453"/>
        </w:trPr>
        <w:tc>
          <w:tcPr>
            <w:tcW w:w="1838" w:type="dxa"/>
            <w:tcBorders>
              <w:top w:val="single" w:sz="4" w:space="0" w:color="000000"/>
              <w:left w:val="single" w:sz="4" w:space="0" w:color="000000"/>
              <w:bottom w:val="double" w:sz="4" w:space="0" w:color="000000"/>
              <w:right w:val="single" w:sz="4" w:space="0" w:color="000000"/>
            </w:tcBorders>
            <w:shd w:val="clear" w:color="auto" w:fill="auto"/>
          </w:tcPr>
          <w:p w14:paraId="67A21650" w14:textId="77777777" w:rsidR="00BD245A" w:rsidRPr="003B10E2" w:rsidRDefault="00BD245A" w:rsidP="00E83BB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Исследование</w:t>
            </w:r>
            <w:r w:rsidRPr="003B10E2">
              <w:rPr>
                <w:rStyle w:val="ac"/>
                <w:rFonts w:ascii="Times New Roman" w:hAnsi="Times New Roman"/>
                <w:color w:val="000000"/>
                <w:sz w:val="24"/>
                <w:szCs w:val="24"/>
              </w:rPr>
              <w:footnoteReference w:id="3"/>
            </w:r>
          </w:p>
        </w:tc>
        <w:tc>
          <w:tcPr>
            <w:tcW w:w="3827" w:type="dxa"/>
            <w:tcBorders>
              <w:top w:val="single" w:sz="4" w:space="0" w:color="000000"/>
              <w:left w:val="single" w:sz="4" w:space="0" w:color="000000"/>
              <w:bottom w:val="double" w:sz="4" w:space="0" w:color="000000"/>
              <w:right w:val="single" w:sz="4" w:space="0" w:color="000000"/>
            </w:tcBorders>
            <w:shd w:val="clear" w:color="auto" w:fill="auto"/>
          </w:tcPr>
          <w:p w14:paraId="503EF652" w14:textId="77777777" w:rsidR="00BD245A" w:rsidRPr="003B10E2" w:rsidRDefault="00BD245A" w:rsidP="00E83BB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Тренды</w:t>
            </w:r>
          </w:p>
        </w:tc>
        <w:tc>
          <w:tcPr>
            <w:tcW w:w="3686" w:type="dxa"/>
            <w:tcBorders>
              <w:top w:val="single" w:sz="4" w:space="0" w:color="000000"/>
              <w:left w:val="single" w:sz="4" w:space="0" w:color="000000"/>
              <w:bottom w:val="double" w:sz="4" w:space="0" w:color="000000"/>
              <w:right w:val="single" w:sz="4" w:space="0" w:color="000000"/>
            </w:tcBorders>
            <w:shd w:val="clear" w:color="auto" w:fill="auto"/>
          </w:tcPr>
          <w:p w14:paraId="1A7C79EA" w14:textId="77777777" w:rsidR="00BD245A" w:rsidRPr="003B10E2" w:rsidRDefault="00BD245A" w:rsidP="00E83BB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Структурные изменения</w:t>
            </w:r>
          </w:p>
        </w:tc>
      </w:tr>
      <w:tr w:rsidR="00BD245A" w:rsidRPr="003B10E2" w14:paraId="5858EB88" w14:textId="77777777" w:rsidTr="003A0BD7">
        <w:trPr>
          <w:trHeight w:val="2053"/>
        </w:trPr>
        <w:tc>
          <w:tcPr>
            <w:tcW w:w="1838" w:type="dxa"/>
            <w:tcBorders>
              <w:top w:val="double" w:sz="4" w:space="0" w:color="000000"/>
              <w:left w:val="single" w:sz="4" w:space="0" w:color="000000"/>
              <w:bottom w:val="single" w:sz="4" w:space="0" w:color="000000"/>
              <w:right w:val="single" w:sz="4" w:space="0" w:color="000000"/>
            </w:tcBorders>
            <w:shd w:val="clear" w:color="auto" w:fill="auto"/>
          </w:tcPr>
          <w:p w14:paraId="0B14968D" w14:textId="77777777" w:rsidR="00BD245A" w:rsidRPr="003B10E2" w:rsidRDefault="00C83D6A"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 xml:space="preserve">Б.Б. </w:t>
            </w:r>
            <w:r w:rsidR="00BD245A" w:rsidRPr="003B10E2">
              <w:rPr>
                <w:rFonts w:ascii="Times New Roman" w:hAnsi="Times New Roman"/>
                <w:color w:val="000000"/>
                <w:sz w:val="24"/>
                <w:szCs w:val="24"/>
              </w:rPr>
              <w:t>Рубцов (2011)</w:t>
            </w:r>
          </w:p>
        </w:tc>
        <w:tc>
          <w:tcPr>
            <w:tcW w:w="3827" w:type="dxa"/>
            <w:tcBorders>
              <w:top w:val="double" w:sz="4" w:space="0" w:color="000000"/>
              <w:left w:val="single" w:sz="4" w:space="0" w:color="000000"/>
              <w:bottom w:val="single" w:sz="4" w:space="0" w:color="000000"/>
              <w:right w:val="single" w:sz="4" w:space="0" w:color="000000"/>
            </w:tcBorders>
            <w:shd w:val="clear" w:color="auto" w:fill="auto"/>
          </w:tcPr>
          <w:p w14:paraId="2FE046DC" w14:textId="77777777" w:rsidR="00BD245A" w:rsidRPr="003B10E2" w:rsidRDefault="00BD245A"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1. Распространение стандартов контроля и надзора на все системно важные финансовые институты.</w:t>
            </w:r>
          </w:p>
          <w:p w14:paraId="4A0B4322" w14:textId="77777777" w:rsidR="00BD245A" w:rsidRPr="003B10E2" w:rsidRDefault="00BD245A"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2. Усиление макропруденциального регулирования.</w:t>
            </w:r>
          </w:p>
        </w:tc>
        <w:tc>
          <w:tcPr>
            <w:tcW w:w="3686" w:type="dxa"/>
            <w:tcBorders>
              <w:top w:val="double" w:sz="4" w:space="0" w:color="000000"/>
              <w:left w:val="single" w:sz="4" w:space="0" w:color="000000"/>
              <w:bottom w:val="single" w:sz="4" w:space="0" w:color="000000"/>
              <w:right w:val="single" w:sz="4" w:space="0" w:color="000000"/>
            </w:tcBorders>
            <w:shd w:val="clear" w:color="auto" w:fill="auto"/>
          </w:tcPr>
          <w:p w14:paraId="2D1B47B2" w14:textId="77777777" w:rsidR="00BD245A" w:rsidRPr="003B10E2" w:rsidRDefault="00BD245A"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1. Рост доли долговых инструментов на международных рынках.</w:t>
            </w:r>
          </w:p>
          <w:p w14:paraId="0A9A3110" w14:textId="77777777" w:rsidR="00BD245A" w:rsidRPr="003B10E2" w:rsidRDefault="00BD245A" w:rsidP="00E83BB8">
            <w:pPr>
              <w:widowControl w:val="0"/>
              <w:spacing w:after="0" w:line="240" w:lineRule="auto"/>
              <w:contextualSpacing/>
              <w:rPr>
                <w:rFonts w:ascii="Times New Roman" w:hAnsi="Times New Roman"/>
                <w:color w:val="000000"/>
                <w:sz w:val="24"/>
                <w:szCs w:val="24"/>
              </w:rPr>
            </w:pPr>
          </w:p>
        </w:tc>
      </w:tr>
      <w:tr w:rsidR="00BD245A" w:rsidRPr="003B10E2" w14:paraId="2F62DED0" w14:textId="77777777" w:rsidTr="003A0BD7">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6650AD80" w14:textId="77777777" w:rsidR="00BD245A" w:rsidRPr="003B10E2" w:rsidRDefault="00C83D6A"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 xml:space="preserve">М.В. </w:t>
            </w:r>
            <w:r w:rsidR="00BD245A" w:rsidRPr="003B10E2">
              <w:rPr>
                <w:rFonts w:ascii="Times New Roman" w:hAnsi="Times New Roman"/>
                <w:color w:val="000000"/>
                <w:sz w:val="24"/>
                <w:szCs w:val="24"/>
              </w:rPr>
              <w:t>Ершов (2013)</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401CF352" w14:textId="77777777" w:rsidR="00BD245A" w:rsidRPr="003B10E2" w:rsidRDefault="00BD245A"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1. Возросшая роль «длинных» денег.</w:t>
            </w:r>
          </w:p>
          <w:p w14:paraId="31AF793E" w14:textId="77777777" w:rsidR="00BD245A" w:rsidRPr="003B10E2" w:rsidRDefault="00BD245A"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2. Противодействие кредитному сжатию.</w:t>
            </w:r>
          </w:p>
          <w:p w14:paraId="33CAFAF1" w14:textId="77777777" w:rsidR="00BD245A" w:rsidRPr="003B10E2" w:rsidRDefault="00BD245A"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3. Фрагментация</w:t>
            </w:r>
            <w:r w:rsidR="00C83D6A" w:rsidRPr="003B10E2">
              <w:rPr>
                <w:rStyle w:val="ac"/>
                <w:rFonts w:ascii="Times New Roman" w:hAnsi="Times New Roman"/>
                <w:color w:val="000000"/>
                <w:sz w:val="24"/>
                <w:szCs w:val="24"/>
              </w:rPr>
              <w:footnoteReference w:customMarkFollows="1" w:id="4"/>
              <w:sym w:font="Symbol" w:char="F02A"/>
            </w:r>
            <w:r w:rsidRPr="003B10E2">
              <w:rPr>
                <w:rFonts w:ascii="Times New Roman" w:hAnsi="Times New Roman"/>
                <w:color w:val="000000"/>
                <w:sz w:val="24"/>
                <w:szCs w:val="24"/>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0D09CAF7" w14:textId="77777777" w:rsidR="00BD245A" w:rsidRPr="003B10E2" w:rsidRDefault="00BD245A"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1. Удлинение сроков долговых инструментов.</w:t>
            </w:r>
          </w:p>
          <w:p w14:paraId="4BBC3049" w14:textId="77777777" w:rsidR="00BD245A" w:rsidRPr="003B10E2" w:rsidRDefault="00BD245A"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2. В условиях низкой доходности возобновился рост операций с облигациями низкого качества.</w:t>
            </w:r>
          </w:p>
          <w:p w14:paraId="0D953019" w14:textId="77777777" w:rsidR="00BD245A" w:rsidRPr="003B10E2" w:rsidRDefault="00BD245A"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3. Сокращение времени реакции инвесторов на шоки и кризисы.</w:t>
            </w:r>
          </w:p>
        </w:tc>
      </w:tr>
      <w:tr w:rsidR="00BD245A" w:rsidRPr="003B10E2" w14:paraId="0A303F1C" w14:textId="77777777" w:rsidTr="003A0BD7">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7F0AA015" w14:textId="77777777" w:rsidR="00E83BB8" w:rsidRPr="003B10E2" w:rsidRDefault="00C83D6A"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М.И. Столбов,</w:t>
            </w:r>
          </w:p>
          <w:p w14:paraId="55AC539E" w14:textId="77777777" w:rsidR="00BD245A" w:rsidRPr="003B10E2" w:rsidRDefault="00C83D6A"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 xml:space="preserve">Д.А. </w:t>
            </w:r>
            <w:r w:rsidR="00BD245A" w:rsidRPr="003B10E2">
              <w:rPr>
                <w:rFonts w:ascii="Times New Roman" w:hAnsi="Times New Roman"/>
                <w:color w:val="000000"/>
                <w:sz w:val="24"/>
                <w:szCs w:val="24"/>
              </w:rPr>
              <w:t>Дегтярев (2011)</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4F10B654" w14:textId="77777777" w:rsidR="00BD245A" w:rsidRPr="003B10E2" w:rsidRDefault="00BD245A"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1. Усиление процессов стадного поведения.</w:t>
            </w:r>
          </w:p>
          <w:p w14:paraId="4F2F9DDD" w14:textId="77777777" w:rsidR="00BD245A" w:rsidRPr="003B10E2" w:rsidRDefault="00BD245A"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2. Перемещение экономической мощи из Европы и США в Азию.</w:t>
            </w:r>
          </w:p>
          <w:p w14:paraId="70C80FF5" w14:textId="77777777" w:rsidR="00BD245A" w:rsidRPr="003B10E2" w:rsidRDefault="00BD245A"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3. Сглаживание дисбалансов на финансовых рынках.</w:t>
            </w:r>
          </w:p>
          <w:p w14:paraId="461920B1" w14:textId="77777777" w:rsidR="00BD245A" w:rsidRPr="003B10E2" w:rsidRDefault="00BD245A" w:rsidP="00E83BB8">
            <w:pPr>
              <w:widowControl w:val="0"/>
              <w:spacing w:after="0" w:line="240" w:lineRule="auto"/>
              <w:ind w:firstLine="851"/>
              <w:contextualSpacing/>
              <w:rPr>
                <w:rFonts w:ascii="Times New Roman" w:hAnsi="Times New Roman"/>
                <w:color w:val="000000"/>
                <w:sz w:val="24"/>
                <w:szCs w:val="24"/>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D07F55A" w14:textId="77777777" w:rsidR="00BD245A" w:rsidRPr="003B10E2" w:rsidRDefault="00BD245A"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1. Роль поведения инвесторов на российском рынке растет.</w:t>
            </w:r>
          </w:p>
          <w:p w14:paraId="455C495F" w14:textId="77777777" w:rsidR="00BD245A" w:rsidRPr="003B10E2" w:rsidRDefault="00BD245A"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2. Формирование финансового центра в России маловероятно.</w:t>
            </w:r>
          </w:p>
          <w:p w14:paraId="0077ACE3" w14:textId="77777777" w:rsidR="00BD245A" w:rsidRPr="003B10E2" w:rsidRDefault="00BD245A"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3. Сохранение низких ставок на долговых рынках и низких доходностей на рынке акций.</w:t>
            </w:r>
          </w:p>
        </w:tc>
      </w:tr>
      <w:tr w:rsidR="00BD245A" w:rsidRPr="003B10E2" w14:paraId="3BECCA07" w14:textId="77777777" w:rsidTr="003A0BD7">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77F1C2F3" w14:textId="77777777" w:rsidR="00BD245A" w:rsidRPr="003B10E2" w:rsidRDefault="00E83BB8"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 xml:space="preserve">М.Ю. </w:t>
            </w:r>
            <w:r w:rsidR="00BD245A" w:rsidRPr="003B10E2">
              <w:rPr>
                <w:rFonts w:ascii="Times New Roman" w:hAnsi="Times New Roman"/>
                <w:color w:val="000000"/>
                <w:sz w:val="24"/>
                <w:szCs w:val="24"/>
              </w:rPr>
              <w:t>Маковецкий (2014)</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10D0EF4F" w14:textId="77777777" w:rsidR="00BD245A" w:rsidRPr="003B10E2" w:rsidRDefault="00BD245A"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1. Усиление роли рынков в инвестиционных процессах.</w:t>
            </w:r>
          </w:p>
          <w:p w14:paraId="3A7971B5" w14:textId="77777777" w:rsidR="00BD245A" w:rsidRPr="003B10E2" w:rsidRDefault="00BD245A"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2. Рост доли корпоративных эмитентов по сравнению с государственными.</w:t>
            </w:r>
          </w:p>
          <w:p w14:paraId="600BF595" w14:textId="77777777" w:rsidR="00BD245A" w:rsidRPr="003B10E2" w:rsidRDefault="00BD245A"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3. Концентрация капитала.</w:t>
            </w:r>
          </w:p>
          <w:p w14:paraId="45D9443F" w14:textId="77777777" w:rsidR="00BD245A" w:rsidRPr="003B10E2" w:rsidRDefault="00BD245A"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4. Компьютеризация.</w:t>
            </w:r>
          </w:p>
          <w:p w14:paraId="3B1C0D0A" w14:textId="77777777" w:rsidR="00BD245A" w:rsidRPr="003B10E2" w:rsidRDefault="00BD245A"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5. Рост надежности финансовых рынков.</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E2CFE8B" w14:textId="77777777" w:rsidR="00BD245A" w:rsidRPr="003B10E2" w:rsidRDefault="00BD245A"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1. Рост капитализации рынка.</w:t>
            </w:r>
          </w:p>
          <w:p w14:paraId="5F2DE007" w14:textId="77777777" w:rsidR="00BD245A" w:rsidRPr="003B10E2" w:rsidRDefault="00BD245A"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2. Рост концентрации финансовых инструментов крупнейших эмитентов.</w:t>
            </w:r>
          </w:p>
          <w:p w14:paraId="7DF85BF5" w14:textId="77777777" w:rsidR="00BD245A" w:rsidRPr="003B10E2" w:rsidRDefault="00BD245A" w:rsidP="00E83BB8">
            <w:pPr>
              <w:widowControl w:val="0"/>
              <w:spacing w:after="0" w:line="240" w:lineRule="auto"/>
              <w:contextualSpacing/>
              <w:rPr>
                <w:rFonts w:ascii="Times New Roman" w:hAnsi="Times New Roman"/>
                <w:color w:val="000000"/>
                <w:sz w:val="24"/>
                <w:szCs w:val="24"/>
                <w:lang w:val="en-US"/>
              </w:rPr>
            </w:pPr>
            <w:r w:rsidRPr="003B10E2">
              <w:rPr>
                <w:rFonts w:ascii="Times New Roman" w:hAnsi="Times New Roman"/>
                <w:color w:val="000000"/>
                <w:sz w:val="24"/>
                <w:szCs w:val="24"/>
              </w:rPr>
              <w:t>3. Рост доли алгоритмической торговли</w:t>
            </w:r>
            <w:r w:rsidRPr="003B10E2">
              <w:rPr>
                <w:rFonts w:ascii="Times New Roman" w:hAnsi="Times New Roman"/>
                <w:color w:val="000000"/>
                <w:sz w:val="24"/>
                <w:szCs w:val="24"/>
                <w:lang w:val="en-US"/>
              </w:rPr>
              <w:t>.</w:t>
            </w:r>
          </w:p>
        </w:tc>
      </w:tr>
    </w:tbl>
    <w:p w14:paraId="060F4A7C" w14:textId="77777777" w:rsidR="005B66CE" w:rsidRPr="003B10E2" w:rsidRDefault="005B66CE" w:rsidP="005B66CE">
      <w:pPr>
        <w:spacing w:after="0" w:line="360" w:lineRule="auto"/>
        <w:contextualSpacing/>
        <w:jc w:val="both"/>
        <w:rPr>
          <w:rFonts w:ascii="Times New Roman" w:hAnsi="Times New Roman"/>
          <w:color w:val="000000"/>
          <w:sz w:val="24"/>
          <w:szCs w:val="24"/>
        </w:rPr>
      </w:pPr>
      <w:r w:rsidRPr="003B10E2">
        <w:rPr>
          <w:rFonts w:ascii="Times New Roman" w:hAnsi="Times New Roman"/>
          <w:color w:val="000000"/>
          <w:sz w:val="24"/>
          <w:szCs w:val="24"/>
        </w:rPr>
        <w:t>Продолжение таблицы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543"/>
        <w:gridCol w:w="3680"/>
      </w:tblGrid>
      <w:tr w:rsidR="00AD26CF" w:rsidRPr="003B10E2" w14:paraId="5FC56309" w14:textId="77777777" w:rsidTr="002D341E">
        <w:tc>
          <w:tcPr>
            <w:tcW w:w="2122" w:type="dxa"/>
            <w:shd w:val="clear" w:color="auto" w:fill="auto"/>
          </w:tcPr>
          <w:p w14:paraId="13A925A8" w14:textId="77777777" w:rsidR="00AD26CF" w:rsidRPr="003B10E2" w:rsidRDefault="00AD26CF" w:rsidP="002D341E">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1</w:t>
            </w:r>
          </w:p>
        </w:tc>
        <w:tc>
          <w:tcPr>
            <w:tcW w:w="3543" w:type="dxa"/>
            <w:shd w:val="clear" w:color="auto" w:fill="auto"/>
          </w:tcPr>
          <w:p w14:paraId="5B1650C2" w14:textId="77777777" w:rsidR="00AD26CF" w:rsidRPr="003B10E2" w:rsidRDefault="00AD26CF" w:rsidP="002D341E">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2</w:t>
            </w:r>
          </w:p>
        </w:tc>
        <w:tc>
          <w:tcPr>
            <w:tcW w:w="3680" w:type="dxa"/>
            <w:shd w:val="clear" w:color="auto" w:fill="auto"/>
          </w:tcPr>
          <w:p w14:paraId="0224FB32" w14:textId="77777777" w:rsidR="00AD26CF" w:rsidRPr="003B10E2" w:rsidRDefault="00AD26CF" w:rsidP="002D341E">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3</w:t>
            </w:r>
          </w:p>
        </w:tc>
      </w:tr>
      <w:tr w:rsidR="005B66CE" w:rsidRPr="003B10E2" w14:paraId="4ED36816" w14:textId="77777777" w:rsidTr="002D341E">
        <w:tc>
          <w:tcPr>
            <w:tcW w:w="2122" w:type="dxa"/>
            <w:shd w:val="clear" w:color="auto" w:fill="auto"/>
          </w:tcPr>
          <w:p w14:paraId="3275411D" w14:textId="77777777" w:rsidR="005B66CE" w:rsidRPr="003B10E2" w:rsidRDefault="005B66CE" w:rsidP="002D341E">
            <w:pPr>
              <w:widowControl w:val="0"/>
              <w:spacing w:after="0" w:line="240" w:lineRule="auto"/>
              <w:contextualSpacing/>
              <w:rPr>
                <w:rFonts w:ascii="Times New Roman" w:hAnsi="Times New Roman"/>
                <w:color w:val="000000"/>
                <w:sz w:val="24"/>
                <w:szCs w:val="24"/>
                <w:lang w:val="en-US"/>
              </w:rPr>
            </w:pPr>
            <w:r w:rsidRPr="003B10E2">
              <w:rPr>
                <w:rFonts w:ascii="Times New Roman" w:hAnsi="Times New Roman"/>
                <w:color w:val="000000"/>
                <w:sz w:val="24"/>
                <w:szCs w:val="24"/>
                <w:lang w:val="en-US"/>
              </w:rPr>
              <w:t>С.О. Кушу (2012)</w:t>
            </w:r>
          </w:p>
        </w:tc>
        <w:tc>
          <w:tcPr>
            <w:tcW w:w="3543" w:type="dxa"/>
            <w:shd w:val="clear" w:color="auto" w:fill="auto"/>
          </w:tcPr>
          <w:p w14:paraId="574FD524" w14:textId="77777777"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1. Функционирование финансовых рынков направлено на достижение устойчивости.</w:t>
            </w:r>
          </w:p>
          <w:p w14:paraId="2CB0BD97" w14:textId="77777777" w:rsidR="005B66CE" w:rsidRPr="003B10E2" w:rsidRDefault="005B66CE" w:rsidP="002D341E">
            <w:pPr>
              <w:widowControl w:val="0"/>
              <w:spacing w:after="0" w:line="240" w:lineRule="auto"/>
              <w:contextualSpacing/>
              <w:rPr>
                <w:rFonts w:ascii="Times New Roman" w:hAnsi="Times New Roman"/>
                <w:color w:val="000000"/>
                <w:sz w:val="24"/>
                <w:szCs w:val="24"/>
                <w:lang w:val="en-US"/>
              </w:rPr>
            </w:pPr>
            <w:r w:rsidRPr="003B10E2">
              <w:rPr>
                <w:rFonts w:ascii="Times New Roman" w:hAnsi="Times New Roman"/>
                <w:color w:val="000000"/>
                <w:sz w:val="24"/>
                <w:szCs w:val="24"/>
                <w:lang w:val="en-US"/>
              </w:rPr>
              <w:t>2. Финансовый терроризм.</w:t>
            </w:r>
          </w:p>
        </w:tc>
        <w:tc>
          <w:tcPr>
            <w:tcW w:w="3680" w:type="dxa"/>
            <w:shd w:val="clear" w:color="auto" w:fill="auto"/>
          </w:tcPr>
          <w:p w14:paraId="136618D5" w14:textId="77777777" w:rsidR="005B66CE" w:rsidRPr="003B10E2" w:rsidRDefault="005B66CE" w:rsidP="002D341E">
            <w:pPr>
              <w:widowControl w:val="0"/>
              <w:spacing w:after="0" w:line="240" w:lineRule="auto"/>
              <w:contextualSpacing/>
              <w:rPr>
                <w:rFonts w:ascii="Times New Roman" w:hAnsi="Times New Roman"/>
                <w:color w:val="000000"/>
                <w:sz w:val="24"/>
                <w:szCs w:val="24"/>
                <w:lang w:val="en-US"/>
              </w:rPr>
            </w:pPr>
            <w:r w:rsidRPr="003B10E2">
              <w:rPr>
                <w:rFonts w:ascii="Times New Roman" w:hAnsi="Times New Roman"/>
                <w:color w:val="000000"/>
                <w:sz w:val="24"/>
                <w:szCs w:val="24"/>
                <w:lang w:val="en-US"/>
              </w:rPr>
              <w:t>1. Слабый рост капитализации.</w:t>
            </w:r>
          </w:p>
        </w:tc>
      </w:tr>
      <w:tr w:rsidR="005B66CE" w:rsidRPr="003B10E2" w14:paraId="3A864E3C" w14:textId="77777777" w:rsidTr="002D341E">
        <w:tc>
          <w:tcPr>
            <w:tcW w:w="2122" w:type="dxa"/>
            <w:shd w:val="clear" w:color="auto" w:fill="auto"/>
          </w:tcPr>
          <w:p w14:paraId="1F4D037D" w14:textId="77777777" w:rsidR="005B66CE" w:rsidRPr="003B10E2" w:rsidRDefault="005B66CE" w:rsidP="002D341E">
            <w:pPr>
              <w:widowControl w:val="0"/>
              <w:spacing w:after="0" w:line="240" w:lineRule="auto"/>
              <w:contextualSpacing/>
              <w:rPr>
                <w:rFonts w:ascii="Times New Roman" w:hAnsi="Times New Roman"/>
                <w:color w:val="000000"/>
                <w:sz w:val="24"/>
                <w:szCs w:val="24"/>
                <w:lang w:val="en-US"/>
              </w:rPr>
            </w:pPr>
            <w:r w:rsidRPr="003B10E2">
              <w:rPr>
                <w:rFonts w:ascii="Times New Roman" w:hAnsi="Times New Roman"/>
                <w:color w:val="000000"/>
                <w:sz w:val="24"/>
                <w:szCs w:val="24"/>
                <w:lang w:val="en-US"/>
              </w:rPr>
              <w:t>А.А. Котова (2012)</w:t>
            </w:r>
          </w:p>
        </w:tc>
        <w:tc>
          <w:tcPr>
            <w:tcW w:w="3543" w:type="dxa"/>
            <w:shd w:val="clear" w:color="auto" w:fill="auto"/>
          </w:tcPr>
          <w:p w14:paraId="688B90AC" w14:textId="77777777"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1. Усиление роли финансового регулирования в России.</w:t>
            </w:r>
          </w:p>
        </w:tc>
        <w:tc>
          <w:tcPr>
            <w:tcW w:w="3680" w:type="dxa"/>
            <w:shd w:val="clear" w:color="auto" w:fill="auto"/>
          </w:tcPr>
          <w:p w14:paraId="4D3A1483" w14:textId="77777777"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1. Рост капитализации глобальных резервных фондов.</w:t>
            </w:r>
          </w:p>
          <w:p w14:paraId="4831D35C" w14:textId="77777777" w:rsidR="005B66CE" w:rsidRPr="003B10E2" w:rsidRDefault="005B66CE" w:rsidP="002D341E">
            <w:pPr>
              <w:widowControl w:val="0"/>
              <w:spacing w:after="0" w:line="240" w:lineRule="auto"/>
              <w:contextualSpacing/>
              <w:rPr>
                <w:rFonts w:ascii="Times New Roman" w:hAnsi="Times New Roman"/>
                <w:color w:val="000000"/>
                <w:sz w:val="24"/>
                <w:szCs w:val="24"/>
                <w:lang w:val="en-US"/>
              </w:rPr>
            </w:pPr>
            <w:r w:rsidRPr="003B10E2">
              <w:rPr>
                <w:rFonts w:ascii="Times New Roman" w:hAnsi="Times New Roman"/>
                <w:color w:val="000000"/>
                <w:sz w:val="24"/>
                <w:szCs w:val="24"/>
                <w:lang w:val="en-US"/>
              </w:rPr>
              <w:t>2. «Искусственные» дефолты.</w:t>
            </w:r>
          </w:p>
        </w:tc>
      </w:tr>
      <w:tr w:rsidR="005B66CE" w:rsidRPr="003B10E2" w14:paraId="26ABBD2B" w14:textId="77777777" w:rsidTr="002D341E">
        <w:tc>
          <w:tcPr>
            <w:tcW w:w="2122" w:type="dxa"/>
            <w:shd w:val="clear" w:color="auto" w:fill="auto"/>
          </w:tcPr>
          <w:p w14:paraId="4D741728" w14:textId="77777777" w:rsidR="005B66CE" w:rsidRPr="003B10E2" w:rsidRDefault="005B66CE" w:rsidP="002D341E">
            <w:pPr>
              <w:widowControl w:val="0"/>
              <w:spacing w:after="0" w:line="240" w:lineRule="auto"/>
              <w:contextualSpacing/>
              <w:rPr>
                <w:rFonts w:ascii="Times New Roman" w:hAnsi="Times New Roman"/>
                <w:color w:val="000000"/>
                <w:sz w:val="24"/>
                <w:szCs w:val="24"/>
                <w:lang w:val="en-US"/>
              </w:rPr>
            </w:pPr>
            <w:r w:rsidRPr="003B10E2">
              <w:rPr>
                <w:rFonts w:ascii="Times New Roman" w:hAnsi="Times New Roman"/>
                <w:color w:val="000000"/>
                <w:sz w:val="24"/>
                <w:szCs w:val="24"/>
                <w:lang w:val="en-US"/>
              </w:rPr>
              <w:t>Л.Л. Игонина (2011)</w:t>
            </w:r>
          </w:p>
        </w:tc>
        <w:tc>
          <w:tcPr>
            <w:tcW w:w="3543" w:type="dxa"/>
            <w:shd w:val="clear" w:color="auto" w:fill="auto"/>
          </w:tcPr>
          <w:p w14:paraId="79A93EAE" w14:textId="77777777"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1. Переориентация российских банков на ресурсы внутреннего финансового рынка.</w:t>
            </w:r>
          </w:p>
          <w:p w14:paraId="6CD6A1A7" w14:textId="77777777"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2. Неоднозначная</w:t>
            </w:r>
          </w:p>
          <w:p w14:paraId="01047B08" w14:textId="77777777"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динамика пенсионных резервов.</w:t>
            </w:r>
          </w:p>
          <w:p w14:paraId="23F0A305" w14:textId="77777777"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3. Переход российских банков к более консервативной финансовой политике.</w:t>
            </w:r>
          </w:p>
        </w:tc>
        <w:tc>
          <w:tcPr>
            <w:tcW w:w="3680" w:type="dxa"/>
            <w:shd w:val="clear" w:color="auto" w:fill="auto"/>
          </w:tcPr>
          <w:p w14:paraId="61AACABC" w14:textId="77777777"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1. Снижение роли ПИФов как институциональных инвесторов.</w:t>
            </w:r>
          </w:p>
          <w:p w14:paraId="7030846B" w14:textId="77777777"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2. Рост доли иностранного капитала в совокупном уставном капитале российских финансовых институтов.</w:t>
            </w:r>
          </w:p>
          <w:p w14:paraId="1054F79B" w14:textId="77777777"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3. Снижение системных рисков и как следствие доходностей по облигациям.</w:t>
            </w:r>
          </w:p>
        </w:tc>
      </w:tr>
      <w:tr w:rsidR="005B66CE" w:rsidRPr="003B10E2" w14:paraId="0E32FDE4" w14:textId="77777777" w:rsidTr="002D341E">
        <w:tc>
          <w:tcPr>
            <w:tcW w:w="2122" w:type="dxa"/>
            <w:shd w:val="clear" w:color="auto" w:fill="auto"/>
          </w:tcPr>
          <w:p w14:paraId="2584D584" w14:textId="77777777" w:rsidR="005B66CE" w:rsidRPr="003B10E2" w:rsidRDefault="005B66CE" w:rsidP="002D341E">
            <w:pPr>
              <w:widowControl w:val="0"/>
              <w:spacing w:after="0" w:line="240" w:lineRule="auto"/>
              <w:contextualSpacing/>
              <w:rPr>
                <w:rFonts w:ascii="Times New Roman" w:hAnsi="Times New Roman"/>
                <w:color w:val="000000"/>
                <w:sz w:val="24"/>
                <w:szCs w:val="24"/>
                <w:lang w:val="en-US"/>
              </w:rPr>
            </w:pPr>
            <w:r w:rsidRPr="003B10E2">
              <w:rPr>
                <w:rFonts w:ascii="Times New Roman" w:hAnsi="Times New Roman"/>
                <w:color w:val="000000"/>
                <w:sz w:val="24"/>
                <w:szCs w:val="24"/>
                <w:lang w:val="en-US"/>
              </w:rPr>
              <w:t>С. Матис (2017)</w:t>
            </w:r>
          </w:p>
        </w:tc>
        <w:tc>
          <w:tcPr>
            <w:tcW w:w="3543" w:type="dxa"/>
            <w:shd w:val="clear" w:color="auto" w:fill="auto"/>
          </w:tcPr>
          <w:p w14:paraId="73FFF9F3" w14:textId="77777777"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1. Создание отраслевых специализаций.</w:t>
            </w:r>
          </w:p>
          <w:p w14:paraId="3E24C6AE" w14:textId="77777777"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2. Привлечение операционных партнеров и консультантов.</w:t>
            </w:r>
          </w:p>
        </w:tc>
        <w:tc>
          <w:tcPr>
            <w:tcW w:w="3680" w:type="dxa"/>
            <w:shd w:val="clear" w:color="auto" w:fill="auto"/>
          </w:tcPr>
          <w:p w14:paraId="23E6CE2A" w14:textId="77777777"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1. Рост доли отраслевых инвесторов.</w:t>
            </w:r>
          </w:p>
          <w:p w14:paraId="687FE9A3" w14:textId="77777777"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2. Усиление роли операционных партнеров и консультантов.</w:t>
            </w:r>
          </w:p>
        </w:tc>
      </w:tr>
      <w:tr w:rsidR="005B66CE" w:rsidRPr="003B10E2" w14:paraId="49BA5BDA" w14:textId="77777777" w:rsidTr="002D341E">
        <w:tc>
          <w:tcPr>
            <w:tcW w:w="2122" w:type="dxa"/>
            <w:shd w:val="clear" w:color="auto" w:fill="auto"/>
          </w:tcPr>
          <w:p w14:paraId="5542C7FA" w14:textId="77777777" w:rsidR="005B66CE" w:rsidRPr="003B10E2" w:rsidRDefault="005B66CE" w:rsidP="002D341E">
            <w:pPr>
              <w:widowControl w:val="0"/>
              <w:spacing w:after="0" w:line="240" w:lineRule="auto"/>
              <w:contextualSpacing/>
              <w:rPr>
                <w:rFonts w:ascii="Times New Roman" w:hAnsi="Times New Roman"/>
                <w:color w:val="000000"/>
                <w:sz w:val="24"/>
                <w:szCs w:val="24"/>
                <w:lang w:val="en-US"/>
              </w:rPr>
            </w:pPr>
            <w:r w:rsidRPr="003B10E2">
              <w:rPr>
                <w:rFonts w:ascii="Times New Roman" w:hAnsi="Times New Roman"/>
                <w:color w:val="000000"/>
                <w:sz w:val="24"/>
                <w:szCs w:val="24"/>
                <w:lang w:val="en-US"/>
              </w:rPr>
              <w:t>А. Шинкевич (2017)</w:t>
            </w:r>
          </w:p>
        </w:tc>
        <w:tc>
          <w:tcPr>
            <w:tcW w:w="3543" w:type="dxa"/>
            <w:shd w:val="clear" w:color="auto" w:fill="auto"/>
          </w:tcPr>
          <w:p w14:paraId="7DFEABD7" w14:textId="77777777"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 xml:space="preserve">1. Торговые стратегии, основанные на технических индикаторах, значительно превосходят бенчмарк </w:t>
            </w:r>
            <w:r w:rsidRPr="003B10E2">
              <w:rPr>
                <w:rFonts w:ascii="Times New Roman" w:hAnsi="Times New Roman"/>
                <w:color w:val="000000"/>
                <w:sz w:val="24"/>
                <w:szCs w:val="24"/>
                <w:lang w:val="en-US"/>
              </w:rPr>
              <w:t>buy</w:t>
            </w:r>
            <w:r w:rsidRPr="003B10E2">
              <w:rPr>
                <w:rFonts w:ascii="Times New Roman" w:hAnsi="Times New Roman"/>
                <w:color w:val="000000"/>
                <w:sz w:val="24"/>
                <w:szCs w:val="24"/>
              </w:rPr>
              <w:t>-</w:t>
            </w:r>
            <w:r w:rsidRPr="003B10E2">
              <w:rPr>
                <w:rFonts w:ascii="Times New Roman" w:hAnsi="Times New Roman"/>
                <w:color w:val="000000"/>
                <w:sz w:val="24"/>
                <w:szCs w:val="24"/>
                <w:lang w:val="en-US"/>
              </w:rPr>
              <w:t>and</w:t>
            </w:r>
            <w:r w:rsidRPr="003B10E2">
              <w:rPr>
                <w:rFonts w:ascii="Times New Roman" w:hAnsi="Times New Roman"/>
                <w:color w:val="000000"/>
                <w:sz w:val="24"/>
                <w:szCs w:val="24"/>
              </w:rPr>
              <w:t>-</w:t>
            </w:r>
            <w:r w:rsidRPr="003B10E2">
              <w:rPr>
                <w:rFonts w:ascii="Times New Roman" w:hAnsi="Times New Roman"/>
                <w:color w:val="000000"/>
                <w:sz w:val="24"/>
                <w:szCs w:val="24"/>
                <w:lang w:val="en-US"/>
              </w:rPr>
              <w:t>hold</w:t>
            </w:r>
            <w:r w:rsidRPr="003B10E2">
              <w:rPr>
                <w:rFonts w:ascii="Times New Roman" w:hAnsi="Times New Roman"/>
                <w:color w:val="000000"/>
                <w:sz w:val="24"/>
                <w:szCs w:val="24"/>
              </w:rPr>
              <w:t>.</w:t>
            </w:r>
          </w:p>
          <w:p w14:paraId="2E135822" w14:textId="77777777"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2. Технический анализ по-прежнему обладает значительной прогностической силой для ряда секторов.</w:t>
            </w:r>
          </w:p>
          <w:p w14:paraId="3728E219" w14:textId="77777777"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3. Результаты технического анализа в секторах формирующегося рынка акций не соответствуют историческим тенденциям, наблюдаемым на развитых рынках акций.</w:t>
            </w:r>
          </w:p>
        </w:tc>
        <w:tc>
          <w:tcPr>
            <w:tcW w:w="3680" w:type="dxa"/>
            <w:shd w:val="clear" w:color="auto" w:fill="auto"/>
          </w:tcPr>
          <w:p w14:paraId="3676B971" w14:textId="77777777"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1. Укорачивание инвестиционного горизонта инвесторов.</w:t>
            </w:r>
          </w:p>
          <w:p w14:paraId="03B4EE29" w14:textId="77777777"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2. Использование краткосрочных деривативов для хеджирования рисков.</w:t>
            </w:r>
          </w:p>
          <w:p w14:paraId="4F2140A8" w14:textId="77777777"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3. Дифференциация инвесторов в зависимости от выбора развитых или развивающихся рынков для инвестирования.</w:t>
            </w:r>
          </w:p>
        </w:tc>
      </w:tr>
      <w:tr w:rsidR="005B66CE" w:rsidRPr="003B10E2" w14:paraId="5D264F45" w14:textId="77777777" w:rsidTr="002D341E">
        <w:tc>
          <w:tcPr>
            <w:tcW w:w="2122" w:type="dxa"/>
            <w:shd w:val="clear" w:color="auto" w:fill="auto"/>
          </w:tcPr>
          <w:p w14:paraId="0D62867A" w14:textId="77777777"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 xml:space="preserve">М.Ю. Евсин, </w:t>
            </w:r>
          </w:p>
          <w:p w14:paraId="17CDA65A" w14:textId="77777777"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И.Н. Макаров (2018)</w:t>
            </w:r>
          </w:p>
        </w:tc>
        <w:tc>
          <w:tcPr>
            <w:tcW w:w="3543" w:type="dxa"/>
            <w:shd w:val="clear" w:color="auto" w:fill="auto"/>
          </w:tcPr>
          <w:p w14:paraId="47738EBB" w14:textId="77777777" w:rsidR="005B66CE" w:rsidRPr="003B10E2" w:rsidRDefault="005B66CE" w:rsidP="002D341E">
            <w:pPr>
              <w:widowControl w:val="0"/>
              <w:spacing w:after="0" w:line="240" w:lineRule="auto"/>
              <w:contextualSpacing/>
              <w:rPr>
                <w:rFonts w:ascii="Times New Roman" w:hAnsi="Times New Roman"/>
                <w:color w:val="000000"/>
                <w:sz w:val="24"/>
                <w:szCs w:val="24"/>
                <w:lang w:val="en-US"/>
              </w:rPr>
            </w:pPr>
            <w:r w:rsidRPr="003B10E2">
              <w:rPr>
                <w:rFonts w:ascii="Times New Roman" w:hAnsi="Times New Roman"/>
                <w:color w:val="000000"/>
                <w:sz w:val="24"/>
                <w:szCs w:val="24"/>
                <w:lang w:val="en-US"/>
              </w:rPr>
              <w:t>1. Компьютеризация.</w:t>
            </w:r>
          </w:p>
          <w:p w14:paraId="37377313" w14:textId="77777777" w:rsidR="005B66CE" w:rsidRPr="003B10E2" w:rsidRDefault="005B66CE" w:rsidP="002D341E">
            <w:pPr>
              <w:widowControl w:val="0"/>
              <w:spacing w:after="0" w:line="240" w:lineRule="auto"/>
              <w:contextualSpacing/>
              <w:rPr>
                <w:rFonts w:ascii="Times New Roman" w:hAnsi="Times New Roman"/>
                <w:color w:val="000000"/>
                <w:sz w:val="24"/>
                <w:szCs w:val="24"/>
                <w:lang w:val="en-US"/>
              </w:rPr>
            </w:pPr>
            <w:r w:rsidRPr="003B10E2">
              <w:rPr>
                <w:rFonts w:ascii="Times New Roman" w:hAnsi="Times New Roman"/>
                <w:color w:val="000000"/>
                <w:sz w:val="24"/>
                <w:szCs w:val="24"/>
                <w:lang w:val="en-US"/>
              </w:rPr>
              <w:t>2. Цифровизация экономики.</w:t>
            </w:r>
          </w:p>
        </w:tc>
        <w:tc>
          <w:tcPr>
            <w:tcW w:w="3680" w:type="dxa"/>
            <w:shd w:val="clear" w:color="auto" w:fill="auto"/>
          </w:tcPr>
          <w:p w14:paraId="65468341" w14:textId="77777777"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1. Переток инвесторов на биржи США, где выпущены цифровые финансовые инструменты, привязанные к движению курса биткойна.</w:t>
            </w:r>
          </w:p>
        </w:tc>
      </w:tr>
      <w:tr w:rsidR="005B66CE" w:rsidRPr="003B10E2" w14:paraId="0139A53F" w14:textId="77777777" w:rsidTr="002D341E">
        <w:tc>
          <w:tcPr>
            <w:tcW w:w="2122" w:type="dxa"/>
            <w:shd w:val="clear" w:color="auto" w:fill="auto"/>
          </w:tcPr>
          <w:p w14:paraId="21BBF12B" w14:textId="77777777"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 xml:space="preserve">А.В. Зверев, </w:t>
            </w:r>
          </w:p>
          <w:p w14:paraId="421FD610" w14:textId="77777777"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В.В. Мандрон, М.Ю. Мишина (2018)</w:t>
            </w:r>
          </w:p>
        </w:tc>
        <w:tc>
          <w:tcPr>
            <w:tcW w:w="3543" w:type="dxa"/>
            <w:shd w:val="clear" w:color="auto" w:fill="auto"/>
          </w:tcPr>
          <w:p w14:paraId="5A63FCAD" w14:textId="77777777"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1. Секторальная модель надзора со стороны мегарегулятора.</w:t>
            </w:r>
          </w:p>
          <w:p w14:paraId="48E16305" w14:textId="77777777"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2. Усиление роли финансового регулирования в России.</w:t>
            </w:r>
          </w:p>
        </w:tc>
        <w:tc>
          <w:tcPr>
            <w:tcW w:w="3680" w:type="dxa"/>
            <w:shd w:val="clear" w:color="auto" w:fill="auto"/>
          </w:tcPr>
          <w:p w14:paraId="09A09F6C" w14:textId="77777777" w:rsidR="005B66CE" w:rsidRPr="003B10E2" w:rsidRDefault="005B66CE" w:rsidP="002D341E">
            <w:pPr>
              <w:pStyle w:val="Default"/>
              <w:widowControl w:val="0"/>
              <w:spacing w:after="0" w:line="240" w:lineRule="auto"/>
              <w:contextualSpacing/>
              <w:rPr>
                <w:lang w:eastAsia="ru-RU"/>
              </w:rPr>
            </w:pPr>
            <w:r w:rsidRPr="003B10E2">
              <w:rPr>
                <w:lang w:eastAsia="ru-RU"/>
              </w:rPr>
              <w:t>1. Преодоление недостатка денежных ресурсов в финансовых структурах.</w:t>
            </w:r>
          </w:p>
          <w:p w14:paraId="72109539" w14:textId="77777777"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2. Рост капитализации глобальных резервных фондов.</w:t>
            </w:r>
          </w:p>
        </w:tc>
      </w:tr>
    </w:tbl>
    <w:p w14:paraId="1B8506FB" w14:textId="77777777" w:rsidR="005B66CE" w:rsidRPr="003B10E2" w:rsidRDefault="005B66CE" w:rsidP="005B66CE">
      <w:pPr>
        <w:spacing w:after="0" w:line="360" w:lineRule="auto"/>
        <w:contextualSpacing/>
        <w:rPr>
          <w:rFonts w:ascii="Times New Roman" w:hAnsi="Times New Roman"/>
          <w:sz w:val="24"/>
          <w:szCs w:val="24"/>
        </w:rPr>
      </w:pPr>
      <w:r w:rsidRPr="003B10E2">
        <w:rPr>
          <w:rFonts w:ascii="Times New Roman" w:hAnsi="Times New Roman"/>
          <w:color w:val="000000"/>
          <w:sz w:val="24"/>
          <w:szCs w:val="24"/>
        </w:rPr>
        <w:t>Источник: составлено автором.</w:t>
      </w:r>
    </w:p>
    <w:p w14:paraId="59697B4A" w14:textId="77777777" w:rsidR="005B66CE" w:rsidRPr="003B10E2" w:rsidRDefault="005B66CE" w:rsidP="005B66CE">
      <w:pPr>
        <w:spacing w:after="0" w:line="360" w:lineRule="auto"/>
        <w:contextualSpacing/>
        <w:jc w:val="both"/>
        <w:rPr>
          <w:rFonts w:ascii="Times New Roman" w:hAnsi="Times New Roman"/>
          <w:color w:val="000000"/>
          <w:sz w:val="28"/>
          <w:szCs w:val="28"/>
        </w:rPr>
      </w:pPr>
    </w:p>
    <w:p w14:paraId="3EAB9C63"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Я.М. Миркин [50] выделяет 9 основных среднесрочных областей поиска трендов в глобальных финансах, влияющих на российский рынок капитала.</w:t>
      </w:r>
    </w:p>
    <w:p w14:paraId="589B63AC" w14:textId="77777777" w:rsidR="00BD245A" w:rsidRPr="003B10E2" w:rsidRDefault="005B66CE" w:rsidP="00BD068B">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1) </w:t>
      </w:r>
      <w:r w:rsidR="00BD245A" w:rsidRPr="003B10E2">
        <w:rPr>
          <w:rFonts w:ascii="Times New Roman" w:hAnsi="Times New Roman"/>
          <w:color w:val="000000"/>
          <w:sz w:val="28"/>
          <w:szCs w:val="28"/>
        </w:rPr>
        <w:t>Будущая цикличность.</w:t>
      </w:r>
    </w:p>
    <w:p w14:paraId="5C4B91ED" w14:textId="77777777" w:rsidR="00BD245A" w:rsidRPr="003B10E2" w:rsidRDefault="005B66CE" w:rsidP="00BD068B">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2) </w:t>
      </w:r>
      <w:r w:rsidR="00BD245A" w:rsidRPr="003B10E2">
        <w:rPr>
          <w:rFonts w:ascii="Times New Roman" w:hAnsi="Times New Roman"/>
          <w:color w:val="000000"/>
          <w:sz w:val="28"/>
          <w:szCs w:val="28"/>
        </w:rPr>
        <w:t>Финансовая глубина.</w:t>
      </w:r>
    </w:p>
    <w:p w14:paraId="5A2A2622" w14:textId="77777777" w:rsidR="00BD245A" w:rsidRPr="003B10E2" w:rsidRDefault="005B66CE" w:rsidP="00BD068B">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3) </w:t>
      </w:r>
      <w:r w:rsidR="00BD245A" w:rsidRPr="003B10E2">
        <w:rPr>
          <w:rFonts w:ascii="Times New Roman" w:hAnsi="Times New Roman"/>
          <w:color w:val="000000"/>
          <w:sz w:val="28"/>
          <w:szCs w:val="28"/>
        </w:rPr>
        <w:t>Институционализация финансовых рынков.</w:t>
      </w:r>
    </w:p>
    <w:p w14:paraId="1E05DBEB" w14:textId="77777777" w:rsidR="00BD245A" w:rsidRPr="003B10E2" w:rsidRDefault="005B66CE" w:rsidP="00BD068B">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4) </w:t>
      </w:r>
      <w:r w:rsidR="00BD245A" w:rsidRPr="003B10E2">
        <w:rPr>
          <w:rFonts w:ascii="Times New Roman" w:hAnsi="Times New Roman"/>
          <w:color w:val="000000"/>
          <w:sz w:val="28"/>
          <w:szCs w:val="28"/>
        </w:rPr>
        <w:t xml:space="preserve">Мировая резервная система. </w:t>
      </w:r>
    </w:p>
    <w:p w14:paraId="61D2799F" w14:textId="77777777" w:rsidR="00BD245A" w:rsidRPr="003B10E2" w:rsidRDefault="005B66CE" w:rsidP="00BD068B">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5) </w:t>
      </w:r>
      <w:r w:rsidR="00BD245A" w:rsidRPr="003B10E2">
        <w:rPr>
          <w:rFonts w:ascii="Times New Roman" w:hAnsi="Times New Roman"/>
          <w:color w:val="000000"/>
          <w:sz w:val="28"/>
          <w:szCs w:val="28"/>
        </w:rPr>
        <w:t xml:space="preserve">Глобальная финансовая архитектура. </w:t>
      </w:r>
    </w:p>
    <w:p w14:paraId="6290ABE4" w14:textId="77777777" w:rsidR="00BD245A" w:rsidRPr="003B10E2" w:rsidRDefault="005B66CE" w:rsidP="00BD068B">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6) </w:t>
      </w:r>
      <w:r w:rsidR="00BD245A" w:rsidRPr="003B10E2">
        <w:rPr>
          <w:rFonts w:ascii="Times New Roman" w:hAnsi="Times New Roman"/>
          <w:color w:val="000000"/>
          <w:sz w:val="28"/>
          <w:szCs w:val="28"/>
        </w:rPr>
        <w:t>Многостороннее регулирование глобальных финансов.</w:t>
      </w:r>
    </w:p>
    <w:p w14:paraId="631F2F94" w14:textId="77777777" w:rsidR="00BD245A" w:rsidRPr="003B10E2" w:rsidRDefault="005B66CE" w:rsidP="00BD068B">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7) </w:t>
      </w:r>
      <w:r w:rsidR="00BD245A" w:rsidRPr="003B10E2">
        <w:rPr>
          <w:rFonts w:ascii="Times New Roman" w:hAnsi="Times New Roman"/>
          <w:color w:val="000000"/>
          <w:sz w:val="28"/>
          <w:szCs w:val="28"/>
        </w:rPr>
        <w:t>Воздействие изменений в технологиях и ресурсной базе.</w:t>
      </w:r>
    </w:p>
    <w:p w14:paraId="3E71343B" w14:textId="77777777" w:rsidR="00BD245A" w:rsidRPr="003B10E2" w:rsidRDefault="005B66CE" w:rsidP="00BD068B">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8) </w:t>
      </w:r>
      <w:r w:rsidR="00BD245A" w:rsidRPr="003B10E2">
        <w:rPr>
          <w:rFonts w:ascii="Times New Roman" w:hAnsi="Times New Roman"/>
          <w:color w:val="000000"/>
          <w:sz w:val="28"/>
          <w:szCs w:val="28"/>
        </w:rPr>
        <w:t>Секторная динамика глобальных финансов.</w:t>
      </w:r>
    </w:p>
    <w:p w14:paraId="17ED91C1" w14:textId="77777777" w:rsidR="00BD245A" w:rsidRPr="003B10E2" w:rsidRDefault="005B66CE" w:rsidP="00BD068B">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9) </w:t>
      </w:r>
      <w:r w:rsidR="00BD245A" w:rsidRPr="003B10E2">
        <w:rPr>
          <w:rFonts w:ascii="Times New Roman" w:hAnsi="Times New Roman"/>
          <w:color w:val="000000"/>
          <w:sz w:val="28"/>
          <w:szCs w:val="28"/>
        </w:rPr>
        <w:t>Динамика рисков.</w:t>
      </w:r>
    </w:p>
    <w:p w14:paraId="0FFD562F" w14:textId="77777777" w:rsidR="00BD245A" w:rsidRPr="003B10E2" w:rsidRDefault="00BD245A" w:rsidP="005B66CE">
      <w:pPr>
        <w:spacing w:after="0" w:line="360" w:lineRule="auto"/>
        <w:ind w:firstLine="851"/>
        <w:contextualSpacing/>
        <w:rPr>
          <w:rFonts w:ascii="Times New Roman" w:hAnsi="Times New Roman"/>
          <w:color w:val="000000"/>
          <w:sz w:val="28"/>
          <w:szCs w:val="28"/>
        </w:rPr>
      </w:pPr>
      <w:r w:rsidRPr="003B10E2">
        <w:rPr>
          <w:rFonts w:ascii="Times New Roman" w:hAnsi="Times New Roman"/>
          <w:color w:val="000000"/>
          <w:sz w:val="28"/>
          <w:szCs w:val="28"/>
        </w:rPr>
        <w:t>Инвестиционное поведение как фактор структурных изменений</w:t>
      </w:r>
      <w:r w:rsidR="005B66CE" w:rsidRPr="003B10E2">
        <w:rPr>
          <w:rFonts w:ascii="Times New Roman" w:hAnsi="Times New Roman"/>
          <w:color w:val="000000"/>
          <w:sz w:val="28"/>
          <w:szCs w:val="28"/>
        </w:rPr>
        <w:t>.</w:t>
      </w:r>
    </w:p>
    <w:p w14:paraId="04DFFDFA"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Инвестиционное поведение — это совокупность действий инвесторов, связанных с процессом инвестирования. Модель инвестиционного поведения (</w:t>
      </w:r>
      <w:r w:rsidRPr="003B10E2">
        <w:rPr>
          <w:rFonts w:ascii="Times New Roman" w:hAnsi="Times New Roman"/>
          <w:color w:val="000000"/>
          <w:sz w:val="28"/>
          <w:szCs w:val="28"/>
          <w:lang w:val="en-US"/>
        </w:rPr>
        <w:t>i</w:t>
      </w:r>
      <w:r w:rsidRPr="003B10E2">
        <w:rPr>
          <w:rFonts w:ascii="Times New Roman" w:hAnsi="Times New Roman"/>
          <w:color w:val="000000"/>
          <w:sz w:val="28"/>
          <w:szCs w:val="28"/>
        </w:rPr>
        <w:t>nvestment behavior model) — теоретическая концепция системы мотивации субъектов хозяйствования, побуждающей их к осуществлению инвестиционной деятельности во всех ее формах и на всех ее этапах [94].</w:t>
      </w:r>
    </w:p>
    <w:p w14:paraId="201F1C71"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В работе используются элементы поведенческой теории, поскольку она заполняет пробел в инструментарии для прогнозирования волатильности цен на активы на фоне быстрого развития финансовых технологий: анализ больших данных (в том числе поисковых запросов), статистики денежных потоков инвесторов, методы машинного обучения и модели долгой памяти [360 – 365]. </w:t>
      </w:r>
    </w:p>
    <w:p w14:paraId="6492CC80"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Взаимосвязь структурных изменений и инвестиционного по</w:t>
      </w:r>
      <w:r w:rsidR="00C10F8D" w:rsidRPr="003B10E2">
        <w:rPr>
          <w:rFonts w:ascii="Times New Roman" w:hAnsi="Times New Roman"/>
          <w:color w:val="000000"/>
          <w:sz w:val="28"/>
          <w:szCs w:val="28"/>
        </w:rPr>
        <w:t>ведения показана на рисунке 1.</w:t>
      </w:r>
    </w:p>
    <w:p w14:paraId="6EBC4634" w14:textId="77777777" w:rsidR="00C10F8D" w:rsidRPr="003B10E2" w:rsidRDefault="00C10F8D" w:rsidP="00BD245A">
      <w:pPr>
        <w:spacing w:after="0" w:line="360" w:lineRule="auto"/>
        <w:ind w:firstLine="851"/>
        <w:contextualSpacing/>
        <w:jc w:val="both"/>
        <w:rPr>
          <w:rFonts w:ascii="Times New Roman" w:hAnsi="Times New Roman"/>
          <w:color w:val="000000"/>
          <w:sz w:val="28"/>
          <w:szCs w:val="28"/>
        </w:rPr>
      </w:pPr>
    </w:p>
    <w:p w14:paraId="47DE34D2" w14:textId="77777777" w:rsidR="00C10F8D" w:rsidRPr="003B10E2" w:rsidRDefault="00C10F8D" w:rsidP="00BD245A">
      <w:pPr>
        <w:spacing w:after="0" w:line="360" w:lineRule="auto"/>
        <w:ind w:firstLine="851"/>
        <w:contextualSpacing/>
        <w:jc w:val="both"/>
        <w:rPr>
          <w:rFonts w:ascii="Times New Roman" w:hAnsi="Times New Roman"/>
          <w:color w:val="000000"/>
          <w:sz w:val="28"/>
          <w:szCs w:val="28"/>
        </w:rPr>
      </w:pPr>
    </w:p>
    <w:p w14:paraId="329D46EA" w14:textId="77777777" w:rsidR="000B5BF9" w:rsidRPr="003B10E2" w:rsidRDefault="000B5BF9" w:rsidP="000B5BF9">
      <w:pPr>
        <w:spacing w:after="0" w:line="360" w:lineRule="auto"/>
        <w:contextualSpacing/>
        <w:jc w:val="center"/>
        <w:rPr>
          <w:rFonts w:ascii="Times New Roman" w:hAnsi="Times New Roman"/>
          <w:color w:val="000000"/>
          <w:sz w:val="28"/>
          <w:szCs w:val="28"/>
        </w:rPr>
      </w:pPr>
    </w:p>
    <w:p w14:paraId="56B644B1" w14:textId="77777777" w:rsidR="000B5BF9" w:rsidRPr="003B10E2" w:rsidRDefault="000B5BF9" w:rsidP="000B5BF9">
      <w:pPr>
        <w:spacing w:after="0" w:line="360" w:lineRule="auto"/>
        <w:contextualSpacing/>
        <w:jc w:val="center"/>
        <w:rPr>
          <w:rFonts w:ascii="Times New Roman" w:hAnsi="Times New Roman"/>
          <w:color w:val="000000"/>
          <w:sz w:val="28"/>
          <w:szCs w:val="28"/>
        </w:rPr>
      </w:pPr>
    </w:p>
    <w:p w14:paraId="2976114B" w14:textId="77777777" w:rsidR="000B5BF9" w:rsidRPr="003B10E2" w:rsidRDefault="000B5BF9" w:rsidP="000B5BF9">
      <w:pPr>
        <w:spacing w:after="0" w:line="360" w:lineRule="auto"/>
        <w:contextualSpacing/>
        <w:jc w:val="center"/>
        <w:rPr>
          <w:rFonts w:ascii="Times New Roman" w:hAnsi="Times New Roman"/>
          <w:color w:val="000000"/>
          <w:sz w:val="28"/>
          <w:szCs w:val="28"/>
        </w:rPr>
      </w:pPr>
    </w:p>
    <w:p w14:paraId="31823FAA" w14:textId="77777777" w:rsidR="000B5BF9" w:rsidRPr="003B10E2" w:rsidRDefault="00C72198" w:rsidP="000B5BF9">
      <w:pPr>
        <w:spacing w:after="0" w:line="360" w:lineRule="auto"/>
        <w:contextualSpacing/>
        <w:jc w:val="center"/>
        <w:rPr>
          <w:rFonts w:ascii="Times New Roman" w:hAnsi="Times New Roman"/>
          <w:color w:val="000000"/>
          <w:sz w:val="28"/>
          <w:szCs w:val="28"/>
        </w:rPr>
      </w:pPr>
      <w:r w:rsidRPr="003B10E2">
        <w:rPr>
          <w:noProof/>
        </w:rPr>
        <w:drawing>
          <wp:anchor distT="0" distB="0" distL="114300" distR="114300" simplePos="0" relativeHeight="251639296" behindDoc="0" locked="0" layoutInCell="1" allowOverlap="1" wp14:anchorId="4C9C3CA6" wp14:editId="20CF7D87">
            <wp:simplePos x="0" y="0"/>
            <wp:positionH relativeFrom="column">
              <wp:posOffset>-146685</wp:posOffset>
            </wp:positionH>
            <wp:positionV relativeFrom="paragraph">
              <wp:posOffset>4445</wp:posOffset>
            </wp:positionV>
            <wp:extent cx="6057900" cy="2884805"/>
            <wp:effectExtent l="0" t="0" r="0" b="0"/>
            <wp:wrapTopAndBottom/>
            <wp:docPr id="1410445489" name="Рисунок 2" descr="C:\Users\liska\Desktop\рис.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C:\Users\liska\Desktop\рис.JPG"/>
                    <pic:cNvPicPr>
                      <a:picLocks/>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5149215" cy="2451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D1394B" w14:textId="77777777" w:rsidR="000B5BF9" w:rsidRPr="003B10E2" w:rsidRDefault="000B5BF9" w:rsidP="000B5BF9">
      <w:pPr>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Источник: составлено автором.</w:t>
      </w:r>
    </w:p>
    <w:p w14:paraId="318FD899" w14:textId="77777777" w:rsidR="000B5BF9" w:rsidRPr="003B10E2" w:rsidRDefault="000B5BF9" w:rsidP="000B5BF9">
      <w:pPr>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Рисунок 1 – Причинно-следственная связь инвестиционного поведения и структурных изменений</w:t>
      </w:r>
    </w:p>
    <w:p w14:paraId="76754437" w14:textId="77777777" w:rsidR="000B5BF9" w:rsidRPr="003B10E2" w:rsidRDefault="000B5BF9" w:rsidP="000B5BF9">
      <w:pPr>
        <w:spacing w:after="0" w:line="360" w:lineRule="auto"/>
        <w:contextualSpacing/>
        <w:jc w:val="both"/>
        <w:rPr>
          <w:rFonts w:ascii="Times New Roman" w:hAnsi="Times New Roman"/>
          <w:color w:val="000000"/>
          <w:sz w:val="28"/>
          <w:szCs w:val="28"/>
        </w:rPr>
      </w:pPr>
    </w:p>
    <w:p w14:paraId="0BC6DBA2"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Структура </w:t>
      </w:r>
      <w:r w:rsidR="005D427A" w:rsidRPr="003B10E2">
        <w:rPr>
          <w:rFonts w:ascii="Times New Roman" w:hAnsi="Times New Roman"/>
          <w:color w:val="000000"/>
          <w:sz w:val="28"/>
          <w:szCs w:val="28"/>
        </w:rPr>
        <w:t>мирового рынка капитала</w:t>
      </w:r>
      <w:r w:rsidRPr="003B10E2">
        <w:rPr>
          <w:rFonts w:ascii="Times New Roman" w:hAnsi="Times New Roman"/>
          <w:color w:val="000000"/>
          <w:sz w:val="28"/>
          <w:szCs w:val="28"/>
        </w:rPr>
        <w:t xml:space="preserve"> и потенциальные структурные изменения напрямую зависят от изменений инвестиционного поведения крупных участников рынка. Инвестиционное поведение оказывает влияние на характеристики изменения цен финансовых активов, в том числе это проявляется в периоды кризисов, когда существенно меняется инвестиционное поведение инвесторов, происходят резкие скачки волатильности цен на активы и изменения ликвидности. Такие резкие изменения волатильности приводят к ценовым шокам, которые часто случаются в одно и то же время на различных сегментах финансового рынка или с временным лагом в результате эффекта перетока волатильности. После чего ценовые шоки трансформируют структуру </w:t>
      </w:r>
      <w:r w:rsidR="005D427A" w:rsidRPr="003B10E2">
        <w:rPr>
          <w:rFonts w:ascii="Times New Roman" w:hAnsi="Times New Roman"/>
          <w:color w:val="000000"/>
          <w:sz w:val="28"/>
          <w:szCs w:val="28"/>
        </w:rPr>
        <w:t>мирового рынка капитала</w:t>
      </w:r>
      <w:r w:rsidRPr="003B10E2">
        <w:rPr>
          <w:rFonts w:ascii="Times New Roman" w:hAnsi="Times New Roman"/>
          <w:color w:val="000000"/>
          <w:sz w:val="28"/>
          <w:szCs w:val="28"/>
        </w:rPr>
        <w:t xml:space="preserve">. Именно поэтому после мирового финансового кризиса структура как глобального </w:t>
      </w:r>
      <w:r w:rsidR="005D427A" w:rsidRPr="003B10E2">
        <w:rPr>
          <w:rFonts w:ascii="Times New Roman" w:hAnsi="Times New Roman"/>
          <w:color w:val="000000"/>
          <w:sz w:val="28"/>
          <w:szCs w:val="28"/>
        </w:rPr>
        <w:t>мирового рынка капитала</w:t>
      </w:r>
      <w:r w:rsidRPr="003B10E2">
        <w:rPr>
          <w:rFonts w:ascii="Times New Roman" w:hAnsi="Times New Roman"/>
          <w:color w:val="000000"/>
          <w:sz w:val="28"/>
          <w:szCs w:val="28"/>
        </w:rPr>
        <w:t xml:space="preserve">, так и российского рынка испытала глубокие изменения </w:t>
      </w:r>
      <w:r w:rsidRPr="003B10E2">
        <w:rPr>
          <w:rFonts w:ascii="Times New Roman" w:hAnsi="Times New Roman"/>
          <w:sz w:val="28"/>
          <w:szCs w:val="28"/>
        </w:rPr>
        <w:t xml:space="preserve">[365 </w:t>
      </w:r>
      <w:r w:rsidRPr="003B10E2">
        <w:rPr>
          <w:rFonts w:ascii="Times New Roman" w:hAnsi="Times New Roman"/>
          <w:color w:val="000000"/>
          <w:sz w:val="28"/>
          <w:szCs w:val="28"/>
        </w:rPr>
        <w:t>– 370].</w:t>
      </w:r>
    </w:p>
    <w:p w14:paraId="66E48DD2" w14:textId="77777777" w:rsidR="000B5BF9" w:rsidRPr="003B10E2" w:rsidRDefault="000B5BF9" w:rsidP="00BD245A">
      <w:pPr>
        <w:spacing w:after="0" w:line="360" w:lineRule="auto"/>
        <w:ind w:firstLine="851"/>
        <w:contextualSpacing/>
        <w:jc w:val="both"/>
        <w:rPr>
          <w:rFonts w:ascii="Times New Roman" w:hAnsi="Times New Roman"/>
          <w:color w:val="000000"/>
          <w:sz w:val="28"/>
          <w:szCs w:val="28"/>
        </w:rPr>
      </w:pPr>
    </w:p>
    <w:p w14:paraId="6921A56D" w14:textId="77777777" w:rsidR="000B5BF9" w:rsidRPr="003B10E2" w:rsidRDefault="000B5BF9" w:rsidP="000B5BF9">
      <w:pPr>
        <w:pStyle w:val="2"/>
        <w:spacing w:before="0" w:line="360" w:lineRule="auto"/>
        <w:ind w:firstLine="708"/>
        <w:contextualSpacing/>
        <w:jc w:val="both"/>
        <w:rPr>
          <w:rFonts w:ascii="Times New Roman" w:hAnsi="Times New Roman"/>
          <w:b/>
          <w:color w:val="000000"/>
          <w:sz w:val="28"/>
          <w:szCs w:val="28"/>
          <w:shd w:val="clear" w:color="auto" w:fill="FFFFFF"/>
        </w:rPr>
      </w:pPr>
      <w:bookmarkStart w:id="73" w:name="_Toc145164372"/>
      <w:r w:rsidRPr="003B10E2">
        <w:rPr>
          <w:rFonts w:ascii="Times New Roman" w:hAnsi="Times New Roman"/>
          <w:b/>
          <w:color w:val="000000"/>
          <w:sz w:val="28"/>
          <w:szCs w:val="28"/>
          <w:shd w:val="clear" w:color="auto" w:fill="FFFFFF"/>
        </w:rPr>
        <w:t>1.2 Теоретические основы исследования инвестиционного поведения</w:t>
      </w:r>
      <w:bookmarkEnd w:id="73"/>
    </w:p>
    <w:p w14:paraId="4AD43544" w14:textId="77777777" w:rsidR="000B5BF9" w:rsidRPr="003B10E2" w:rsidRDefault="000B5BF9" w:rsidP="000B5BF9"/>
    <w:p w14:paraId="4A0C5668" w14:textId="77777777" w:rsidR="000B5BF9" w:rsidRPr="003B10E2" w:rsidRDefault="000B5BF9" w:rsidP="0069135D">
      <w:pPr>
        <w:spacing w:after="0" w:line="360" w:lineRule="auto"/>
        <w:ind w:firstLine="851"/>
        <w:contextualSpacing/>
        <w:rPr>
          <w:rFonts w:ascii="Times New Roman" w:hAnsi="Times New Roman"/>
          <w:color w:val="000000"/>
          <w:sz w:val="28"/>
          <w:szCs w:val="28"/>
        </w:rPr>
      </w:pPr>
      <w:r w:rsidRPr="003B10E2">
        <w:rPr>
          <w:rFonts w:ascii="Times New Roman" w:hAnsi="Times New Roman"/>
          <w:color w:val="000000"/>
          <w:sz w:val="28"/>
          <w:szCs w:val="28"/>
        </w:rPr>
        <w:t>Эволюция инвестиционных теорий</w:t>
      </w:r>
      <w:r w:rsidR="0069135D" w:rsidRPr="003B10E2">
        <w:rPr>
          <w:rFonts w:ascii="Times New Roman" w:hAnsi="Times New Roman"/>
          <w:color w:val="000000"/>
          <w:sz w:val="28"/>
          <w:szCs w:val="28"/>
        </w:rPr>
        <w:t>.</w:t>
      </w:r>
    </w:p>
    <w:p w14:paraId="565BB26A" w14:textId="77777777" w:rsidR="000B5BF9" w:rsidRPr="003B10E2" w:rsidRDefault="000B5BF9" w:rsidP="000B5BF9">
      <w:pPr>
        <w:pStyle w:val="aff8"/>
        <w:spacing w:after="0" w:line="360" w:lineRule="auto"/>
        <w:ind w:left="0"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Инвестиционное поведение объяснялось следующими инвестиционными теориями (рисунок 2). </w:t>
      </w:r>
    </w:p>
    <w:p w14:paraId="16D87629" w14:textId="77777777" w:rsidR="00A4250A" w:rsidRPr="003B10E2" w:rsidRDefault="00C72198" w:rsidP="000B5BF9">
      <w:pPr>
        <w:pStyle w:val="aff8"/>
        <w:spacing w:after="0" w:line="360" w:lineRule="auto"/>
        <w:ind w:left="0" w:firstLine="851"/>
        <w:jc w:val="both"/>
        <w:rPr>
          <w:rFonts w:ascii="Times New Roman" w:hAnsi="Times New Roman"/>
          <w:color w:val="000000"/>
          <w:sz w:val="28"/>
          <w:szCs w:val="28"/>
        </w:rPr>
      </w:pPr>
      <w:r w:rsidRPr="003B10E2">
        <w:rPr>
          <w:rFonts w:ascii="Times New Roman" w:hAnsi="Times New Roman"/>
          <w:noProof/>
          <w:color w:val="000000"/>
          <w:sz w:val="28"/>
          <w:szCs w:val="28"/>
        </w:rPr>
        <w:drawing>
          <wp:inline distT="0" distB="0" distL="0" distR="0" wp14:anchorId="530F79FC" wp14:editId="13C79F80">
            <wp:extent cx="5952490" cy="2999740"/>
            <wp:effectExtent l="0" t="0" r="0" b="0"/>
            <wp:docPr id="1937008131" name="Рисунок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8"/>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2490" cy="2999740"/>
                    </a:xfrm>
                    <a:prstGeom prst="rect">
                      <a:avLst/>
                    </a:prstGeom>
                    <a:noFill/>
                  </pic:spPr>
                </pic:pic>
              </a:graphicData>
            </a:graphic>
          </wp:inline>
        </w:drawing>
      </w:r>
    </w:p>
    <w:p w14:paraId="0939BAB8" w14:textId="77777777" w:rsidR="000B5BF9" w:rsidRPr="003B10E2" w:rsidRDefault="000B5BF9" w:rsidP="00A4250A">
      <w:pPr>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Источник: составлено автором.</w:t>
      </w:r>
    </w:p>
    <w:p w14:paraId="06BCE4B0" w14:textId="77777777" w:rsidR="000B5BF9" w:rsidRPr="003B10E2" w:rsidRDefault="000B5BF9" w:rsidP="00A4250A">
      <w:pPr>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Рисунок 2 – Эволюция инвестиционных теорий: теория рациональных ожиданий (1961) и гипотеза адаптивного рынка (2004), теория ожидаемой полезности (1972), поведенческая теория (1979)</w:t>
      </w:r>
    </w:p>
    <w:p w14:paraId="179DDE20" w14:textId="77777777" w:rsidR="000B5BF9" w:rsidRPr="003B10E2" w:rsidRDefault="000B5BF9" w:rsidP="000B5BF9">
      <w:pPr>
        <w:pStyle w:val="aff8"/>
        <w:spacing w:after="0" w:line="360" w:lineRule="auto"/>
        <w:ind w:left="0" w:firstLine="851"/>
        <w:jc w:val="both"/>
        <w:rPr>
          <w:rFonts w:ascii="Times New Roman" w:hAnsi="Times New Roman"/>
          <w:color w:val="000000"/>
          <w:sz w:val="28"/>
          <w:szCs w:val="28"/>
        </w:rPr>
      </w:pPr>
    </w:p>
    <w:p w14:paraId="1E5F2F38" w14:textId="77777777" w:rsidR="00BD245A" w:rsidRPr="003B10E2" w:rsidRDefault="00BD245A" w:rsidP="00E53899">
      <w:pPr>
        <w:spacing w:after="0" w:line="360" w:lineRule="auto"/>
        <w:ind w:left="143" w:firstLine="708"/>
        <w:contextualSpacing/>
        <w:rPr>
          <w:rFonts w:ascii="Times New Roman" w:hAnsi="Times New Roman"/>
          <w:color w:val="000000"/>
          <w:sz w:val="28"/>
          <w:szCs w:val="28"/>
        </w:rPr>
      </w:pPr>
      <w:r w:rsidRPr="003B10E2">
        <w:rPr>
          <w:rFonts w:ascii="Times New Roman" w:hAnsi="Times New Roman"/>
          <w:color w:val="000000"/>
          <w:sz w:val="28"/>
          <w:szCs w:val="28"/>
        </w:rPr>
        <w:t>Теория рациональных ожиданий</w:t>
      </w:r>
      <w:r w:rsidRPr="003B10E2">
        <w:rPr>
          <w:rStyle w:val="ac"/>
          <w:rFonts w:ascii="Times New Roman" w:hAnsi="Times New Roman"/>
          <w:color w:val="000000"/>
          <w:sz w:val="28"/>
          <w:szCs w:val="28"/>
        </w:rPr>
        <w:footnoteReference w:id="5"/>
      </w:r>
      <w:r w:rsidRPr="003B10E2">
        <w:rPr>
          <w:rFonts w:ascii="Times New Roman" w:hAnsi="Times New Roman"/>
          <w:color w:val="000000"/>
          <w:sz w:val="28"/>
          <w:szCs w:val="28"/>
        </w:rPr>
        <w:t xml:space="preserve"> и гипотеза адаптивного рынка</w:t>
      </w:r>
      <w:r w:rsidR="000B5BF9" w:rsidRPr="003B10E2">
        <w:rPr>
          <w:rStyle w:val="ac"/>
          <w:rFonts w:ascii="Times New Roman" w:hAnsi="Times New Roman"/>
          <w:color w:val="000000"/>
          <w:sz w:val="28"/>
          <w:szCs w:val="28"/>
        </w:rPr>
        <w:footnoteReference w:customMarkFollows="1" w:id="6"/>
        <w:sym w:font="Symbol" w:char="F02A"/>
      </w:r>
      <w:r w:rsidRPr="003B10E2">
        <w:rPr>
          <w:rFonts w:ascii="Times New Roman" w:hAnsi="Times New Roman"/>
          <w:color w:val="000000"/>
          <w:sz w:val="28"/>
          <w:szCs w:val="28"/>
        </w:rPr>
        <w:t>.</w:t>
      </w:r>
    </w:p>
    <w:p w14:paraId="44A336A8" w14:textId="77777777" w:rsidR="00BD245A" w:rsidRPr="003B10E2" w:rsidRDefault="00BD245A" w:rsidP="00BD245A">
      <w:pPr>
        <w:pStyle w:val="aff8"/>
        <w:spacing w:after="0" w:line="360" w:lineRule="auto"/>
        <w:ind w:left="0"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Гипотеза </w:t>
      </w:r>
      <w:r w:rsidRPr="003B10E2">
        <w:rPr>
          <w:rFonts w:ascii="Times New Roman" w:hAnsi="Times New Roman"/>
          <w:sz w:val="28"/>
          <w:szCs w:val="28"/>
        </w:rPr>
        <w:t xml:space="preserve">эффективного рынка </w:t>
      </w:r>
      <w:r w:rsidRPr="003B10E2">
        <w:rPr>
          <w:rFonts w:ascii="Times New Roman" w:hAnsi="Times New Roman"/>
          <w:color w:val="000000"/>
          <w:sz w:val="28"/>
          <w:szCs w:val="28"/>
        </w:rPr>
        <w:t>фактически выступает приложением теории рациональных ожиданий к проблеме формирования цен на финансовых рынках.</w:t>
      </w:r>
    </w:p>
    <w:p w14:paraId="4474B787" w14:textId="77777777" w:rsidR="00BD245A" w:rsidRPr="003B10E2" w:rsidRDefault="00BD245A" w:rsidP="00BD245A">
      <w:pPr>
        <w:pStyle w:val="aff8"/>
        <w:spacing w:after="0" w:line="360" w:lineRule="auto"/>
        <w:ind w:left="0" w:firstLine="851"/>
        <w:jc w:val="both"/>
        <w:rPr>
          <w:rFonts w:ascii="Times New Roman" w:hAnsi="Times New Roman"/>
          <w:color w:val="000000"/>
          <w:sz w:val="28"/>
          <w:szCs w:val="28"/>
        </w:rPr>
      </w:pPr>
      <w:r w:rsidRPr="003B10E2">
        <w:rPr>
          <w:rFonts w:ascii="Times New Roman" w:hAnsi="Times New Roman"/>
          <w:color w:val="000000"/>
          <w:sz w:val="28"/>
          <w:szCs w:val="28"/>
        </w:rPr>
        <w:t>Основные постулаты применяемых моделей в рамках данной теории:</w:t>
      </w:r>
    </w:p>
    <w:p w14:paraId="4CB1907B" w14:textId="77777777" w:rsidR="00BD245A" w:rsidRPr="003B10E2" w:rsidRDefault="000B5BF9" w:rsidP="00567A63">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1) </w:t>
      </w:r>
      <w:r w:rsidR="00BD245A" w:rsidRPr="003B10E2">
        <w:rPr>
          <w:rFonts w:ascii="Times New Roman" w:hAnsi="Times New Roman"/>
          <w:color w:val="000000"/>
          <w:sz w:val="28"/>
          <w:szCs w:val="28"/>
        </w:rPr>
        <w:t>Когда спрос и предложение на рынке находятся в равновесии, новая информация влияет на цену.</w:t>
      </w:r>
    </w:p>
    <w:p w14:paraId="5300A1BD" w14:textId="77777777" w:rsidR="00BD245A" w:rsidRPr="003B10E2" w:rsidRDefault="000B5BF9" w:rsidP="00567A63">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2) </w:t>
      </w:r>
      <w:r w:rsidR="00BD245A" w:rsidRPr="003B10E2">
        <w:rPr>
          <w:rFonts w:ascii="Times New Roman" w:hAnsi="Times New Roman"/>
          <w:color w:val="000000"/>
          <w:sz w:val="28"/>
          <w:szCs w:val="28"/>
        </w:rPr>
        <w:t>Рациональные агенты обычно обладают полной информацией и могут зарабатывать на арбитраже.</w:t>
      </w:r>
    </w:p>
    <w:p w14:paraId="5A49AE71" w14:textId="77777777" w:rsidR="00BD245A" w:rsidRPr="003B10E2" w:rsidRDefault="00E53899" w:rsidP="00567A63">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3) </w:t>
      </w:r>
      <w:r w:rsidR="00BD245A" w:rsidRPr="003B10E2">
        <w:rPr>
          <w:rFonts w:ascii="Times New Roman" w:hAnsi="Times New Roman"/>
          <w:color w:val="000000"/>
          <w:sz w:val="28"/>
          <w:szCs w:val="28"/>
        </w:rPr>
        <w:t>Существует асимметричность информации, поэтому неинформированные агенты вытесняются с рынка.</w:t>
      </w:r>
    </w:p>
    <w:p w14:paraId="57B61CA3" w14:textId="77777777" w:rsidR="00BD245A" w:rsidRPr="003B10E2" w:rsidRDefault="00BD245A" w:rsidP="00E53899">
      <w:pPr>
        <w:spacing w:after="0" w:line="360" w:lineRule="auto"/>
        <w:ind w:firstLine="708"/>
        <w:rPr>
          <w:rFonts w:ascii="Times New Roman" w:hAnsi="Times New Roman"/>
          <w:color w:val="000000"/>
          <w:sz w:val="28"/>
          <w:szCs w:val="28"/>
        </w:rPr>
      </w:pPr>
      <w:r w:rsidRPr="003B10E2">
        <w:rPr>
          <w:rFonts w:ascii="Times New Roman" w:hAnsi="Times New Roman"/>
          <w:color w:val="000000"/>
          <w:sz w:val="28"/>
          <w:szCs w:val="28"/>
        </w:rPr>
        <w:t xml:space="preserve">Недостатки: </w:t>
      </w:r>
    </w:p>
    <w:p w14:paraId="00756F29" w14:textId="77777777" w:rsidR="00BD245A" w:rsidRPr="003B10E2" w:rsidRDefault="00567A63" w:rsidP="00567A63">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1) </w:t>
      </w:r>
      <w:r w:rsidR="00BD245A" w:rsidRPr="003B10E2">
        <w:rPr>
          <w:rFonts w:ascii="Times New Roman" w:hAnsi="Times New Roman"/>
          <w:color w:val="000000"/>
          <w:sz w:val="28"/>
          <w:szCs w:val="28"/>
        </w:rPr>
        <w:t>Теория не учитывает индивидуальное отношение инвесторов к риску [231].</w:t>
      </w:r>
    </w:p>
    <w:p w14:paraId="3436387C" w14:textId="77777777" w:rsidR="00BD245A" w:rsidRPr="003B10E2" w:rsidRDefault="00567A63" w:rsidP="00567A63">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2) </w:t>
      </w:r>
      <w:r w:rsidR="00BD245A" w:rsidRPr="003B10E2">
        <w:rPr>
          <w:rFonts w:ascii="Times New Roman" w:hAnsi="Times New Roman"/>
          <w:color w:val="000000"/>
          <w:sz w:val="28"/>
          <w:szCs w:val="28"/>
        </w:rPr>
        <w:t>Не уделяется внимание иррациональности в поведении инвесторов [157].</w:t>
      </w:r>
    </w:p>
    <w:p w14:paraId="1F21B68E" w14:textId="77777777" w:rsidR="00BD245A" w:rsidRPr="003B10E2" w:rsidRDefault="00567A63" w:rsidP="00567A63">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3) </w:t>
      </w:r>
      <w:r w:rsidR="00BD245A" w:rsidRPr="003B10E2">
        <w:rPr>
          <w:rFonts w:ascii="Times New Roman" w:hAnsi="Times New Roman"/>
          <w:color w:val="000000"/>
          <w:sz w:val="28"/>
          <w:szCs w:val="28"/>
        </w:rPr>
        <w:t>Не изучаются причины структурных изменений на рынке акций.</w:t>
      </w:r>
    </w:p>
    <w:p w14:paraId="6B652BD4" w14:textId="77777777" w:rsidR="00BD245A" w:rsidRPr="003B10E2" w:rsidRDefault="00BD245A" w:rsidP="00BD245A">
      <w:pPr>
        <w:pStyle w:val="aff8"/>
        <w:spacing w:after="0" w:line="360" w:lineRule="auto"/>
        <w:ind w:left="0"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начале шестидесятых годов прошлого века идея рациональных ожиданий </w:t>
      </w:r>
      <w:r w:rsidR="00E53899" w:rsidRPr="003B10E2">
        <w:rPr>
          <w:rFonts w:ascii="Times New Roman" w:hAnsi="Times New Roman"/>
          <w:sz w:val="28"/>
          <w:szCs w:val="28"/>
        </w:rPr>
        <w:t xml:space="preserve">Дж. </w:t>
      </w:r>
      <w:r w:rsidRPr="003B10E2">
        <w:rPr>
          <w:rFonts w:ascii="Times New Roman" w:hAnsi="Times New Roman"/>
          <w:sz w:val="28"/>
          <w:szCs w:val="28"/>
        </w:rPr>
        <w:t xml:space="preserve">Мута </w:t>
      </w:r>
      <w:r w:rsidRPr="003B10E2">
        <w:rPr>
          <w:rFonts w:ascii="Times New Roman" w:hAnsi="Times New Roman"/>
          <w:color w:val="000000"/>
          <w:sz w:val="28"/>
          <w:szCs w:val="28"/>
        </w:rPr>
        <w:t>стала доминирующей для формирования ожиданий в экономике и финансовых рынках. В соответствии с гипотезой эффективного рынка (ГЭР), если вся имеющаяся информация может быть сведена к прогнозируемым ежегодным денежным потокам, то цена облигации представляет собой дисконтированную приведенную стоимость этих денежных потоков, где ставка дисконта отражает величину риска, заложенного в прогнозы [371 – 375].</w:t>
      </w:r>
    </w:p>
    <w:p w14:paraId="234F5C17"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Если рынки являются по-настоящему эффективными, то операции с ценными бумагами в попытке превзойти среднерыночный уровень доходности основаны на везении, а не на мастерстве.</w:t>
      </w:r>
    </w:p>
    <w:p w14:paraId="368CA829"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Теория рыночной эффективности вдохновила тысячи исследований с целью определить, какие рынки на самом деле являются «эффективными». </w:t>
      </w:r>
    </w:p>
    <w:p w14:paraId="4D1C0383"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Рыночная аномалия на финансовом рынке — это предсказуемость, которая не согласуется с теориями цен активов (основанными на риске). Обычно они имеют постоянный характер на отдельных сегментах </w:t>
      </w:r>
      <w:r w:rsidR="005D427A" w:rsidRPr="003B10E2">
        <w:rPr>
          <w:rFonts w:ascii="Times New Roman" w:hAnsi="Times New Roman"/>
          <w:color w:val="000000"/>
          <w:sz w:val="28"/>
          <w:szCs w:val="28"/>
        </w:rPr>
        <w:t>мирового рынка капитала</w:t>
      </w:r>
      <w:r w:rsidRPr="003B10E2">
        <w:rPr>
          <w:rFonts w:ascii="Times New Roman" w:hAnsi="Times New Roman"/>
          <w:color w:val="000000"/>
          <w:sz w:val="28"/>
          <w:szCs w:val="28"/>
        </w:rPr>
        <w:t xml:space="preserve"> [157]. </w:t>
      </w:r>
    </w:p>
    <w:p w14:paraId="46BF9188"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Исследователи нашли более 150 аномалий цен на рынках. При этом прогнозируемость доходности может существенно снижаться после публикации информации об аномалии, так как информационная эффективность растет [254]. </w:t>
      </w:r>
    </w:p>
    <w:p w14:paraId="3E3ED92F" w14:textId="77777777" w:rsidR="00BD245A" w:rsidRPr="003B10E2" w:rsidRDefault="00BD245A" w:rsidP="00E53899">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Изучено три типа рыночных аномалий, которые противоречат гипотез</w:t>
      </w:r>
      <w:r w:rsidR="00567A63" w:rsidRPr="003B10E2">
        <w:rPr>
          <w:rFonts w:ascii="Times New Roman" w:hAnsi="Times New Roman"/>
          <w:color w:val="000000"/>
          <w:sz w:val="28"/>
          <w:szCs w:val="28"/>
        </w:rPr>
        <w:t xml:space="preserve">е эффективного рынка (таблица </w:t>
      </w:r>
      <w:r w:rsidRPr="003B10E2">
        <w:rPr>
          <w:rFonts w:ascii="Times New Roman" w:hAnsi="Times New Roman"/>
          <w:color w:val="000000"/>
          <w:sz w:val="28"/>
          <w:szCs w:val="28"/>
        </w:rPr>
        <w:t xml:space="preserve">2): фундаментальные, технические и временные. Фундаментальные аномалии </w:t>
      </w:r>
      <w:r w:rsidR="007B2AC8" w:rsidRPr="003B10E2">
        <w:rPr>
          <w:rFonts w:ascii="Times New Roman" w:hAnsi="Times New Roman"/>
          <w:color w:val="000000"/>
          <w:sz w:val="28"/>
          <w:szCs w:val="28"/>
        </w:rPr>
        <w:t>включают</w:t>
      </w:r>
      <w:r w:rsidRPr="003B10E2">
        <w:rPr>
          <w:rFonts w:ascii="Times New Roman" w:hAnsi="Times New Roman"/>
          <w:color w:val="000000"/>
          <w:sz w:val="28"/>
          <w:szCs w:val="28"/>
        </w:rPr>
        <w:t xml:space="preserve"> такие фундаментальные факторы (показатели отчетности, характеристики компании или иная эндогенная информация), которые позволяют получать доходность на рынке акций выше среднерыночной лишь некоторым участникам рынка. Эти факторы не известны всем участникам рынка [376 – 379].</w:t>
      </w:r>
    </w:p>
    <w:p w14:paraId="0C1EC48E" w14:textId="77777777" w:rsidR="00AD26CF" w:rsidRPr="003B10E2" w:rsidRDefault="00BD245A" w:rsidP="00E53899">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Например, существует большое количество случаев, что инвесторы постоянно переоценивают перспективы роста успешных компаний и недооценивают цены акций компаний «неудачников».</w:t>
      </w:r>
    </w:p>
    <w:p w14:paraId="13674552" w14:textId="77777777" w:rsidR="00E53899" w:rsidRPr="003B10E2" w:rsidRDefault="00E53899" w:rsidP="00E53899">
      <w:pPr>
        <w:spacing w:after="0" w:line="240" w:lineRule="auto"/>
        <w:ind w:firstLine="851"/>
        <w:contextualSpacing/>
        <w:jc w:val="both"/>
        <w:rPr>
          <w:rFonts w:ascii="Times New Roman" w:hAnsi="Times New Roman"/>
          <w:color w:val="000000"/>
          <w:sz w:val="28"/>
          <w:szCs w:val="28"/>
        </w:rPr>
      </w:pPr>
    </w:p>
    <w:p w14:paraId="7BDB0412" w14:textId="77777777" w:rsidR="00AD26CF" w:rsidRPr="003B10E2" w:rsidRDefault="00567A63" w:rsidP="00E53899">
      <w:pPr>
        <w:spacing w:after="0" w:line="240" w:lineRule="auto"/>
        <w:contextualSpacing/>
        <w:jc w:val="both"/>
        <w:rPr>
          <w:rFonts w:ascii="Times New Roman" w:hAnsi="Times New Roman"/>
          <w:color w:val="000000"/>
          <w:sz w:val="24"/>
          <w:szCs w:val="24"/>
        </w:rPr>
      </w:pPr>
      <w:r w:rsidRPr="003B10E2">
        <w:rPr>
          <w:rFonts w:ascii="Times New Roman" w:hAnsi="Times New Roman"/>
          <w:color w:val="000000"/>
          <w:sz w:val="24"/>
          <w:szCs w:val="24"/>
        </w:rPr>
        <w:t xml:space="preserve">Таблица 2 – Фундаментальные аномалии относительно гипотезы эффективного рынка </w:t>
      </w:r>
    </w:p>
    <w:p w14:paraId="1C3829F7" w14:textId="77777777" w:rsidR="00E53899" w:rsidRPr="003B10E2" w:rsidRDefault="00E53899" w:rsidP="00E53899">
      <w:pPr>
        <w:spacing w:after="0" w:line="240" w:lineRule="auto"/>
        <w:contextualSpacing/>
        <w:jc w:val="both"/>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4"/>
        <w:gridCol w:w="7081"/>
      </w:tblGrid>
      <w:tr w:rsidR="00E53899" w:rsidRPr="003B10E2" w14:paraId="6C1F2F16" w14:textId="77777777" w:rsidTr="00CE6182">
        <w:tc>
          <w:tcPr>
            <w:tcW w:w="1509" w:type="dxa"/>
            <w:tcBorders>
              <w:bottom w:val="double" w:sz="4" w:space="0" w:color="auto"/>
            </w:tcBorders>
            <w:shd w:val="clear" w:color="auto" w:fill="auto"/>
          </w:tcPr>
          <w:p w14:paraId="31AEB349" w14:textId="77777777" w:rsidR="00E53899" w:rsidRPr="003B10E2" w:rsidRDefault="00E53899" w:rsidP="00CE6182">
            <w:pPr>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Авторы</w:t>
            </w:r>
          </w:p>
        </w:tc>
        <w:tc>
          <w:tcPr>
            <w:tcW w:w="754" w:type="dxa"/>
            <w:tcBorders>
              <w:bottom w:val="double" w:sz="4" w:space="0" w:color="auto"/>
            </w:tcBorders>
            <w:shd w:val="clear" w:color="auto" w:fill="auto"/>
          </w:tcPr>
          <w:p w14:paraId="1620C719" w14:textId="77777777" w:rsidR="00E53899" w:rsidRPr="003B10E2" w:rsidRDefault="00E53899" w:rsidP="00CE6182">
            <w:pPr>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Год</w:t>
            </w:r>
          </w:p>
        </w:tc>
        <w:tc>
          <w:tcPr>
            <w:tcW w:w="7081" w:type="dxa"/>
            <w:tcBorders>
              <w:bottom w:val="double" w:sz="4" w:space="0" w:color="auto"/>
            </w:tcBorders>
            <w:shd w:val="clear" w:color="auto" w:fill="auto"/>
          </w:tcPr>
          <w:p w14:paraId="0282B9D1" w14:textId="77777777" w:rsidR="00E53899" w:rsidRPr="003B10E2" w:rsidRDefault="00E53899" w:rsidP="00CE6182">
            <w:pPr>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Описание</w:t>
            </w:r>
          </w:p>
        </w:tc>
      </w:tr>
      <w:tr w:rsidR="00E53899" w:rsidRPr="003B10E2" w14:paraId="74446180" w14:textId="77777777" w:rsidTr="00CE6182">
        <w:tc>
          <w:tcPr>
            <w:tcW w:w="1509" w:type="dxa"/>
            <w:tcBorders>
              <w:top w:val="double" w:sz="4" w:space="0" w:color="auto"/>
            </w:tcBorders>
            <w:shd w:val="clear" w:color="auto" w:fill="auto"/>
          </w:tcPr>
          <w:p w14:paraId="035E46A0" w14:textId="77777777" w:rsidR="00E53899" w:rsidRPr="003B10E2" w:rsidRDefault="00E53899" w:rsidP="00E53899">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1</w:t>
            </w:r>
          </w:p>
        </w:tc>
        <w:tc>
          <w:tcPr>
            <w:tcW w:w="754" w:type="dxa"/>
            <w:tcBorders>
              <w:top w:val="double" w:sz="4" w:space="0" w:color="auto"/>
            </w:tcBorders>
            <w:shd w:val="clear" w:color="auto" w:fill="auto"/>
          </w:tcPr>
          <w:p w14:paraId="52C81442" w14:textId="77777777" w:rsidR="00E53899" w:rsidRPr="003B10E2" w:rsidRDefault="00E53899" w:rsidP="00E53899">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2</w:t>
            </w:r>
          </w:p>
        </w:tc>
        <w:tc>
          <w:tcPr>
            <w:tcW w:w="7081" w:type="dxa"/>
            <w:tcBorders>
              <w:top w:val="double" w:sz="4" w:space="0" w:color="auto"/>
            </w:tcBorders>
            <w:shd w:val="clear" w:color="auto" w:fill="auto"/>
          </w:tcPr>
          <w:p w14:paraId="60BE014A" w14:textId="77777777" w:rsidR="00E53899" w:rsidRPr="003B10E2" w:rsidRDefault="00E53899" w:rsidP="00E53899">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3</w:t>
            </w:r>
          </w:p>
        </w:tc>
      </w:tr>
      <w:tr w:rsidR="00E53899" w:rsidRPr="003B10E2" w14:paraId="256AFECD" w14:textId="77777777" w:rsidTr="00CE6182">
        <w:tc>
          <w:tcPr>
            <w:tcW w:w="1509" w:type="dxa"/>
            <w:shd w:val="clear" w:color="auto" w:fill="auto"/>
          </w:tcPr>
          <w:p w14:paraId="7E5D61BC" w14:textId="77777777" w:rsidR="00E53899" w:rsidRPr="003B10E2" w:rsidRDefault="00E53899" w:rsidP="00680B7E">
            <w:pPr>
              <w:spacing w:after="0" w:line="240" w:lineRule="auto"/>
              <w:rPr>
                <w:rFonts w:ascii="Times New Roman" w:hAnsi="Times New Roman"/>
                <w:color w:val="000000"/>
                <w:sz w:val="24"/>
                <w:szCs w:val="24"/>
              </w:rPr>
            </w:pPr>
            <w:r w:rsidRPr="003B10E2">
              <w:rPr>
                <w:rFonts w:ascii="Times New Roman" w:hAnsi="Times New Roman"/>
                <w:color w:val="000000"/>
                <w:sz w:val="24"/>
                <w:szCs w:val="24"/>
              </w:rPr>
              <w:t>Blume and Husic</w:t>
            </w:r>
          </w:p>
        </w:tc>
        <w:tc>
          <w:tcPr>
            <w:tcW w:w="754" w:type="dxa"/>
            <w:shd w:val="clear" w:color="auto" w:fill="auto"/>
          </w:tcPr>
          <w:p w14:paraId="5F7B5B69" w14:textId="77777777" w:rsidR="00E53899" w:rsidRPr="003B10E2" w:rsidRDefault="00E53899" w:rsidP="00E53899">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1972</w:t>
            </w:r>
          </w:p>
        </w:tc>
        <w:tc>
          <w:tcPr>
            <w:tcW w:w="7081" w:type="dxa"/>
            <w:shd w:val="clear" w:color="auto" w:fill="auto"/>
          </w:tcPr>
          <w:p w14:paraId="1A6EBD90" w14:textId="77777777" w:rsidR="00E53899" w:rsidRPr="003B10E2" w:rsidRDefault="00E53899" w:rsidP="00E53899">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Доходность одних и тех же акций на разных биржах могут существенно отличаться при неизменных показателях риска</w:t>
            </w:r>
          </w:p>
        </w:tc>
      </w:tr>
      <w:tr w:rsidR="00E53899" w:rsidRPr="003B10E2" w14:paraId="79417B9C" w14:textId="77777777" w:rsidTr="00CE6182">
        <w:tc>
          <w:tcPr>
            <w:tcW w:w="1509" w:type="dxa"/>
            <w:shd w:val="clear" w:color="auto" w:fill="auto"/>
          </w:tcPr>
          <w:p w14:paraId="14BDCEE0" w14:textId="77777777" w:rsidR="00E53899" w:rsidRPr="003B10E2" w:rsidRDefault="00E53899" w:rsidP="00680B7E">
            <w:pPr>
              <w:spacing w:after="0" w:line="240" w:lineRule="auto"/>
              <w:rPr>
                <w:rFonts w:ascii="Times New Roman" w:hAnsi="Times New Roman"/>
                <w:color w:val="000000"/>
                <w:sz w:val="24"/>
                <w:szCs w:val="24"/>
              </w:rPr>
            </w:pPr>
            <w:r w:rsidRPr="003B10E2">
              <w:rPr>
                <w:rFonts w:ascii="Times New Roman" w:hAnsi="Times New Roman"/>
                <w:color w:val="000000"/>
                <w:sz w:val="24"/>
                <w:szCs w:val="24"/>
              </w:rPr>
              <w:t>Fama and MacBeth</w:t>
            </w:r>
          </w:p>
        </w:tc>
        <w:tc>
          <w:tcPr>
            <w:tcW w:w="754" w:type="dxa"/>
            <w:shd w:val="clear" w:color="auto" w:fill="auto"/>
          </w:tcPr>
          <w:p w14:paraId="50B61707" w14:textId="77777777"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1973</w:t>
            </w:r>
          </w:p>
        </w:tc>
        <w:tc>
          <w:tcPr>
            <w:tcW w:w="7081" w:type="dxa"/>
            <w:shd w:val="clear" w:color="auto" w:fill="auto"/>
          </w:tcPr>
          <w:p w14:paraId="749E5576" w14:textId="77777777" w:rsidR="00E53899" w:rsidRPr="003B10E2" w:rsidRDefault="00E53899" w:rsidP="00E53899">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 xml:space="preserve">Отношение изменения риска акции к изменению доходности является линейным  </w:t>
            </w:r>
          </w:p>
        </w:tc>
      </w:tr>
      <w:tr w:rsidR="00E53899" w:rsidRPr="003B10E2" w14:paraId="1E6B89F5" w14:textId="77777777" w:rsidTr="00CE6182">
        <w:tc>
          <w:tcPr>
            <w:tcW w:w="1509" w:type="dxa"/>
            <w:shd w:val="clear" w:color="auto" w:fill="auto"/>
          </w:tcPr>
          <w:p w14:paraId="603017AA" w14:textId="77777777"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Banz</w:t>
            </w:r>
          </w:p>
        </w:tc>
        <w:tc>
          <w:tcPr>
            <w:tcW w:w="754" w:type="dxa"/>
            <w:shd w:val="clear" w:color="auto" w:fill="auto"/>
          </w:tcPr>
          <w:p w14:paraId="3008C8AC" w14:textId="77777777"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1981</w:t>
            </w:r>
          </w:p>
        </w:tc>
        <w:tc>
          <w:tcPr>
            <w:tcW w:w="7081" w:type="dxa"/>
            <w:shd w:val="clear" w:color="auto" w:fill="auto"/>
          </w:tcPr>
          <w:p w14:paraId="5C07483F" w14:textId="77777777" w:rsidR="00E53899" w:rsidRPr="003B10E2" w:rsidRDefault="00E53899" w:rsidP="00E53899">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Мелкие фирмы имеют более высокую доходность акций на временном интервале нескольких десятилетий</w:t>
            </w:r>
          </w:p>
        </w:tc>
      </w:tr>
      <w:tr w:rsidR="00E53899" w:rsidRPr="003B10E2" w14:paraId="5C3A9AF0" w14:textId="77777777" w:rsidTr="00CE6182">
        <w:tc>
          <w:tcPr>
            <w:tcW w:w="1509" w:type="dxa"/>
            <w:shd w:val="clear" w:color="auto" w:fill="auto"/>
          </w:tcPr>
          <w:p w14:paraId="1E983327" w14:textId="77777777" w:rsidR="00E53899" w:rsidRPr="003B10E2" w:rsidRDefault="00E53899" w:rsidP="00680B7E">
            <w:pPr>
              <w:spacing w:after="0" w:line="360" w:lineRule="auto"/>
              <w:rPr>
                <w:rFonts w:ascii="Times New Roman" w:hAnsi="Times New Roman"/>
                <w:color w:val="000000"/>
                <w:sz w:val="24"/>
                <w:szCs w:val="24"/>
              </w:rPr>
            </w:pPr>
            <w:r w:rsidRPr="003B10E2">
              <w:rPr>
                <w:rFonts w:ascii="Times New Roman" w:hAnsi="Times New Roman"/>
                <w:color w:val="000000"/>
                <w:sz w:val="24"/>
                <w:szCs w:val="24"/>
              </w:rPr>
              <w:t>Bhandari</w:t>
            </w:r>
          </w:p>
        </w:tc>
        <w:tc>
          <w:tcPr>
            <w:tcW w:w="754" w:type="dxa"/>
            <w:shd w:val="clear" w:color="auto" w:fill="auto"/>
          </w:tcPr>
          <w:p w14:paraId="4FEF2D05" w14:textId="77777777"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1988</w:t>
            </w:r>
          </w:p>
        </w:tc>
        <w:tc>
          <w:tcPr>
            <w:tcW w:w="7081" w:type="dxa"/>
            <w:shd w:val="clear" w:color="auto" w:fill="auto"/>
          </w:tcPr>
          <w:p w14:paraId="259EE818" w14:textId="77777777" w:rsidR="00E53899" w:rsidRPr="003B10E2" w:rsidRDefault="00E53899" w:rsidP="00E53899">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Ожидаемые доходы от обыкновенных акций положительно связаны с соотношением заёмного капитала фирмы к собственному капиталу</w:t>
            </w:r>
          </w:p>
        </w:tc>
      </w:tr>
      <w:tr w:rsidR="00E53899" w:rsidRPr="003B10E2" w14:paraId="219320BB" w14:textId="77777777" w:rsidTr="00CE6182">
        <w:tc>
          <w:tcPr>
            <w:tcW w:w="1509" w:type="dxa"/>
            <w:shd w:val="clear" w:color="auto" w:fill="auto"/>
          </w:tcPr>
          <w:p w14:paraId="4F56C832" w14:textId="77777777" w:rsidR="00E53899" w:rsidRPr="003B10E2" w:rsidRDefault="00E53899" w:rsidP="00680B7E">
            <w:pPr>
              <w:spacing w:after="0" w:line="360" w:lineRule="auto"/>
              <w:rPr>
                <w:rFonts w:ascii="Times New Roman" w:hAnsi="Times New Roman"/>
                <w:color w:val="000000"/>
                <w:sz w:val="24"/>
                <w:szCs w:val="24"/>
              </w:rPr>
            </w:pPr>
            <w:r w:rsidRPr="003B10E2">
              <w:rPr>
                <w:rFonts w:ascii="Times New Roman" w:hAnsi="Times New Roman"/>
                <w:color w:val="000000"/>
                <w:sz w:val="24"/>
                <w:szCs w:val="24"/>
              </w:rPr>
              <w:t>Ritter</w:t>
            </w:r>
          </w:p>
        </w:tc>
        <w:tc>
          <w:tcPr>
            <w:tcW w:w="754" w:type="dxa"/>
            <w:shd w:val="clear" w:color="auto" w:fill="auto"/>
          </w:tcPr>
          <w:p w14:paraId="4F4B0C4A" w14:textId="77777777"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1991</w:t>
            </w:r>
          </w:p>
        </w:tc>
        <w:tc>
          <w:tcPr>
            <w:tcW w:w="7081" w:type="dxa"/>
            <w:shd w:val="clear" w:color="auto" w:fill="auto"/>
          </w:tcPr>
          <w:p w14:paraId="0D2362D4" w14:textId="77777777" w:rsidR="00E53899" w:rsidRPr="003B10E2" w:rsidRDefault="00E53899" w:rsidP="00E53899">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 xml:space="preserve"> В долгосрочном периоде первичные публичные предложения переоценены. </w:t>
            </w:r>
          </w:p>
        </w:tc>
      </w:tr>
      <w:tr w:rsidR="00E53899" w:rsidRPr="003B10E2" w14:paraId="7FF6F1AC" w14:textId="77777777" w:rsidTr="00CE6182">
        <w:tc>
          <w:tcPr>
            <w:tcW w:w="1509" w:type="dxa"/>
            <w:shd w:val="clear" w:color="auto" w:fill="auto"/>
          </w:tcPr>
          <w:p w14:paraId="245B64E0" w14:textId="77777777" w:rsidR="00E53899" w:rsidRPr="003B10E2" w:rsidRDefault="00E53899" w:rsidP="00680B7E">
            <w:pPr>
              <w:spacing w:after="0" w:line="240" w:lineRule="auto"/>
              <w:rPr>
                <w:rFonts w:ascii="Times New Roman" w:hAnsi="Times New Roman"/>
                <w:color w:val="000000"/>
                <w:sz w:val="24"/>
                <w:szCs w:val="24"/>
              </w:rPr>
            </w:pPr>
            <w:r w:rsidRPr="003B10E2">
              <w:rPr>
                <w:rFonts w:ascii="Times New Roman" w:hAnsi="Times New Roman"/>
                <w:color w:val="000000"/>
                <w:sz w:val="24"/>
                <w:szCs w:val="24"/>
              </w:rPr>
              <w:t>Ikenberry et al.</w:t>
            </w:r>
          </w:p>
        </w:tc>
        <w:tc>
          <w:tcPr>
            <w:tcW w:w="754" w:type="dxa"/>
            <w:shd w:val="clear" w:color="auto" w:fill="auto"/>
          </w:tcPr>
          <w:p w14:paraId="6139AF07" w14:textId="77777777"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1995</w:t>
            </w:r>
          </w:p>
        </w:tc>
        <w:tc>
          <w:tcPr>
            <w:tcW w:w="7081" w:type="dxa"/>
            <w:shd w:val="clear" w:color="auto" w:fill="auto"/>
          </w:tcPr>
          <w:p w14:paraId="7CFC8E95" w14:textId="77777777" w:rsidR="00E53899" w:rsidRPr="003B10E2" w:rsidRDefault="00E53899" w:rsidP="00E53899">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Рынок недооценивает и слабо реагирует на объявления о выкупе своих акций фирмой. Эффект от такого рода заявления достигает своего пика спустя несколько лет</w:t>
            </w:r>
          </w:p>
        </w:tc>
      </w:tr>
      <w:tr w:rsidR="00E53899" w:rsidRPr="003B10E2" w14:paraId="5976FD59" w14:textId="77777777" w:rsidTr="00CE6182">
        <w:tc>
          <w:tcPr>
            <w:tcW w:w="1509" w:type="dxa"/>
            <w:shd w:val="clear" w:color="auto" w:fill="auto"/>
          </w:tcPr>
          <w:p w14:paraId="3FA243F4" w14:textId="77777777" w:rsidR="00E53899" w:rsidRPr="003B10E2" w:rsidRDefault="00E53899" w:rsidP="00680B7E">
            <w:pPr>
              <w:spacing w:after="0" w:line="360" w:lineRule="auto"/>
              <w:rPr>
                <w:rFonts w:ascii="Times New Roman" w:hAnsi="Times New Roman"/>
                <w:color w:val="000000"/>
                <w:sz w:val="24"/>
                <w:szCs w:val="24"/>
              </w:rPr>
            </w:pPr>
            <w:r w:rsidRPr="003B10E2">
              <w:rPr>
                <w:rFonts w:ascii="Times New Roman" w:hAnsi="Times New Roman"/>
                <w:color w:val="000000"/>
                <w:sz w:val="24"/>
                <w:szCs w:val="24"/>
              </w:rPr>
              <w:t>Dichev</w:t>
            </w:r>
          </w:p>
        </w:tc>
        <w:tc>
          <w:tcPr>
            <w:tcW w:w="754" w:type="dxa"/>
            <w:shd w:val="clear" w:color="auto" w:fill="auto"/>
          </w:tcPr>
          <w:p w14:paraId="4F15B3D8" w14:textId="77777777"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1998</w:t>
            </w:r>
          </w:p>
        </w:tc>
        <w:tc>
          <w:tcPr>
            <w:tcW w:w="7081" w:type="dxa"/>
            <w:shd w:val="clear" w:color="auto" w:fill="auto"/>
          </w:tcPr>
          <w:p w14:paraId="0EA134E5" w14:textId="77777777" w:rsidR="00E53899" w:rsidRPr="003B10E2" w:rsidRDefault="00E53899" w:rsidP="00E53899">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Доходность от акций отрицательно относится с размером фирмы</w:t>
            </w:r>
          </w:p>
        </w:tc>
      </w:tr>
      <w:tr w:rsidR="00E53899" w:rsidRPr="003B10E2" w14:paraId="1A4D4126" w14:textId="77777777" w:rsidTr="00CE6182">
        <w:tc>
          <w:tcPr>
            <w:tcW w:w="1509" w:type="dxa"/>
            <w:shd w:val="clear" w:color="auto" w:fill="auto"/>
          </w:tcPr>
          <w:p w14:paraId="44E21619" w14:textId="77777777" w:rsidR="00E53899" w:rsidRPr="003B10E2" w:rsidRDefault="00E53899" w:rsidP="00680B7E">
            <w:pPr>
              <w:spacing w:after="0" w:line="240" w:lineRule="auto"/>
              <w:rPr>
                <w:rFonts w:ascii="Times New Roman" w:hAnsi="Times New Roman"/>
                <w:color w:val="000000"/>
                <w:sz w:val="24"/>
                <w:szCs w:val="24"/>
                <w:lang w:val="en-US"/>
              </w:rPr>
            </w:pPr>
            <w:r w:rsidRPr="003B10E2">
              <w:rPr>
                <w:rFonts w:ascii="Times New Roman" w:hAnsi="Times New Roman"/>
                <w:color w:val="000000"/>
                <w:sz w:val="24"/>
                <w:szCs w:val="24"/>
                <w:lang w:val="en-US"/>
              </w:rPr>
              <w:t>Barber, Lehavy, McNichols, and Trueman</w:t>
            </w:r>
          </w:p>
        </w:tc>
        <w:tc>
          <w:tcPr>
            <w:tcW w:w="754" w:type="dxa"/>
            <w:shd w:val="clear" w:color="auto" w:fill="auto"/>
          </w:tcPr>
          <w:p w14:paraId="3076A3F6" w14:textId="77777777"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2001</w:t>
            </w:r>
          </w:p>
        </w:tc>
        <w:tc>
          <w:tcPr>
            <w:tcW w:w="7081" w:type="dxa"/>
            <w:shd w:val="clear" w:color="auto" w:fill="auto"/>
          </w:tcPr>
          <w:p w14:paraId="527CD6E7" w14:textId="77777777" w:rsidR="00E53899" w:rsidRPr="003B10E2" w:rsidRDefault="00E53899" w:rsidP="00E53899">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Сделки с акциями в соответствии с самыми выгодными консенсус рекомендациями несут аномальную высокую доходность</w:t>
            </w:r>
          </w:p>
        </w:tc>
      </w:tr>
      <w:tr w:rsidR="00E53899" w:rsidRPr="003B10E2" w14:paraId="62BE202B" w14:textId="77777777" w:rsidTr="00CE6182">
        <w:tc>
          <w:tcPr>
            <w:tcW w:w="1509" w:type="dxa"/>
            <w:shd w:val="clear" w:color="auto" w:fill="auto"/>
          </w:tcPr>
          <w:p w14:paraId="20C9117E" w14:textId="77777777" w:rsidR="00E53899" w:rsidRPr="003B10E2" w:rsidRDefault="00E53899" w:rsidP="00680B7E">
            <w:pPr>
              <w:spacing w:after="0" w:line="240" w:lineRule="auto"/>
              <w:rPr>
                <w:rFonts w:ascii="Times New Roman" w:hAnsi="Times New Roman"/>
                <w:color w:val="000000"/>
                <w:sz w:val="24"/>
                <w:szCs w:val="24"/>
              </w:rPr>
            </w:pPr>
            <w:r w:rsidRPr="003B10E2">
              <w:rPr>
                <w:rFonts w:ascii="Times New Roman" w:hAnsi="Times New Roman"/>
                <w:color w:val="000000"/>
                <w:sz w:val="24"/>
                <w:szCs w:val="24"/>
              </w:rPr>
              <w:t>Chan, Lakonishok, and Sougiannis</w:t>
            </w:r>
          </w:p>
        </w:tc>
        <w:tc>
          <w:tcPr>
            <w:tcW w:w="754" w:type="dxa"/>
            <w:shd w:val="clear" w:color="auto" w:fill="auto"/>
          </w:tcPr>
          <w:p w14:paraId="5CB0DB93" w14:textId="77777777"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2001</w:t>
            </w:r>
          </w:p>
        </w:tc>
        <w:tc>
          <w:tcPr>
            <w:tcW w:w="7081" w:type="dxa"/>
            <w:shd w:val="clear" w:color="auto" w:fill="auto"/>
          </w:tcPr>
          <w:p w14:paraId="07E47737" w14:textId="77777777" w:rsidR="00E53899" w:rsidRPr="003B10E2" w:rsidRDefault="00E53899" w:rsidP="00E53899">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Фирмы, у которых высокое отношение R&amp;D к продажам, имеют наибольшую доходность</w:t>
            </w:r>
          </w:p>
        </w:tc>
      </w:tr>
    </w:tbl>
    <w:p w14:paraId="32E4EB63" w14:textId="77777777" w:rsidR="00E53899" w:rsidRPr="003B10E2" w:rsidRDefault="00E53899"/>
    <w:p w14:paraId="1326FFAC" w14:textId="77777777" w:rsidR="00044FE8" w:rsidRPr="003B10E2" w:rsidRDefault="00044FE8">
      <w:pPr>
        <w:rPr>
          <w:rFonts w:ascii="Times New Roman" w:hAnsi="Times New Roman"/>
          <w:sz w:val="24"/>
          <w:szCs w:val="24"/>
        </w:rPr>
      </w:pPr>
      <w:r w:rsidRPr="003B10E2">
        <w:rPr>
          <w:rFonts w:ascii="Times New Roman" w:hAnsi="Times New Roman"/>
          <w:sz w:val="24"/>
          <w:szCs w:val="24"/>
        </w:rPr>
        <w:t>Продолжение таблицы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4"/>
        <w:gridCol w:w="7081"/>
      </w:tblGrid>
      <w:tr w:rsidR="00044FE8" w:rsidRPr="003B10E2" w14:paraId="50025657" w14:textId="77777777" w:rsidTr="00CE6182">
        <w:tc>
          <w:tcPr>
            <w:tcW w:w="1509" w:type="dxa"/>
            <w:shd w:val="clear" w:color="auto" w:fill="auto"/>
          </w:tcPr>
          <w:p w14:paraId="5A2B20A1" w14:textId="77777777" w:rsidR="00044FE8" w:rsidRPr="003B10E2" w:rsidRDefault="00044FE8" w:rsidP="00044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1</w:t>
            </w:r>
          </w:p>
        </w:tc>
        <w:tc>
          <w:tcPr>
            <w:tcW w:w="754" w:type="dxa"/>
            <w:shd w:val="clear" w:color="auto" w:fill="auto"/>
          </w:tcPr>
          <w:p w14:paraId="438FB4B4" w14:textId="77777777" w:rsidR="00044FE8" w:rsidRPr="003B10E2" w:rsidRDefault="00044FE8" w:rsidP="00044FE8">
            <w:pPr>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2</w:t>
            </w:r>
          </w:p>
        </w:tc>
        <w:tc>
          <w:tcPr>
            <w:tcW w:w="7081" w:type="dxa"/>
            <w:shd w:val="clear" w:color="auto" w:fill="auto"/>
          </w:tcPr>
          <w:p w14:paraId="7B142CA9" w14:textId="77777777" w:rsidR="00044FE8" w:rsidRPr="003B10E2" w:rsidRDefault="00044FE8" w:rsidP="00044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3</w:t>
            </w:r>
          </w:p>
        </w:tc>
      </w:tr>
      <w:tr w:rsidR="00E53899" w:rsidRPr="003B10E2" w14:paraId="4FB5E105" w14:textId="77777777" w:rsidTr="00CE6182">
        <w:tc>
          <w:tcPr>
            <w:tcW w:w="1509" w:type="dxa"/>
            <w:shd w:val="clear" w:color="auto" w:fill="auto"/>
          </w:tcPr>
          <w:p w14:paraId="04B726B2" w14:textId="77777777" w:rsidR="00E53899" w:rsidRPr="003B10E2" w:rsidRDefault="00E53899" w:rsidP="00680B7E">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Dichev, Piotroski</w:t>
            </w:r>
          </w:p>
        </w:tc>
        <w:tc>
          <w:tcPr>
            <w:tcW w:w="754" w:type="dxa"/>
            <w:shd w:val="clear" w:color="auto" w:fill="auto"/>
          </w:tcPr>
          <w:p w14:paraId="01541B0A" w14:textId="77777777"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2001</w:t>
            </w:r>
          </w:p>
        </w:tc>
        <w:tc>
          <w:tcPr>
            <w:tcW w:w="7081" w:type="dxa"/>
            <w:shd w:val="clear" w:color="auto" w:fill="auto"/>
          </w:tcPr>
          <w:p w14:paraId="129DEDBB" w14:textId="77777777" w:rsidR="00E53899" w:rsidRPr="003B10E2" w:rsidRDefault="00E53899" w:rsidP="00680B7E">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Аномальные повышения доходности акций при повышении кредитного рейтинга не наблюдаются. Однако наблюдаются ненормальные отрицательные доходы впоследствии снижения кредитного рейтинга</w:t>
            </w:r>
          </w:p>
        </w:tc>
      </w:tr>
      <w:tr w:rsidR="00E53899" w:rsidRPr="003B10E2" w14:paraId="32F6AE72" w14:textId="77777777" w:rsidTr="00CE6182">
        <w:tc>
          <w:tcPr>
            <w:tcW w:w="1509" w:type="dxa"/>
            <w:shd w:val="clear" w:color="auto" w:fill="auto"/>
          </w:tcPr>
          <w:p w14:paraId="0F866A1A" w14:textId="77777777" w:rsidR="00E53899" w:rsidRPr="003B10E2" w:rsidRDefault="00E53899" w:rsidP="00680B7E">
            <w:pPr>
              <w:spacing w:after="0" w:line="240" w:lineRule="auto"/>
              <w:rPr>
                <w:rFonts w:ascii="Times New Roman" w:hAnsi="Times New Roman"/>
                <w:color w:val="000000"/>
                <w:sz w:val="24"/>
                <w:szCs w:val="24"/>
                <w:lang w:val="en-US"/>
              </w:rPr>
            </w:pPr>
            <w:r w:rsidRPr="003B10E2">
              <w:rPr>
                <w:rFonts w:ascii="Times New Roman" w:hAnsi="Times New Roman"/>
                <w:color w:val="000000"/>
                <w:sz w:val="24"/>
                <w:szCs w:val="24"/>
                <w:lang w:val="en-US"/>
              </w:rPr>
              <w:t>Lamont, Polk, and Saa-Requejo</w:t>
            </w:r>
          </w:p>
        </w:tc>
        <w:tc>
          <w:tcPr>
            <w:tcW w:w="754" w:type="dxa"/>
            <w:shd w:val="clear" w:color="auto" w:fill="auto"/>
          </w:tcPr>
          <w:p w14:paraId="32A12B2E" w14:textId="77777777"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2001</w:t>
            </w:r>
          </w:p>
        </w:tc>
        <w:tc>
          <w:tcPr>
            <w:tcW w:w="7081" w:type="dxa"/>
            <w:shd w:val="clear" w:color="auto" w:fill="auto"/>
          </w:tcPr>
          <w:p w14:paraId="6C026557" w14:textId="77777777" w:rsidR="00E53899" w:rsidRPr="003B10E2" w:rsidRDefault="00E53899" w:rsidP="00680B7E">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Фирмы с низким уровнем капитальной базы проявляют высокую степень чувствительности изменений в доходности акций, хотя этот эффект не определяется размером фирмы</w:t>
            </w:r>
          </w:p>
        </w:tc>
      </w:tr>
      <w:tr w:rsidR="00E53899" w:rsidRPr="003B10E2" w14:paraId="6B39EB36" w14:textId="77777777" w:rsidTr="00CE6182">
        <w:tc>
          <w:tcPr>
            <w:tcW w:w="1509" w:type="dxa"/>
            <w:shd w:val="clear" w:color="auto" w:fill="auto"/>
          </w:tcPr>
          <w:p w14:paraId="3C8F1E5C" w14:textId="77777777"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Diether et al.</w:t>
            </w:r>
          </w:p>
        </w:tc>
        <w:tc>
          <w:tcPr>
            <w:tcW w:w="754" w:type="dxa"/>
            <w:shd w:val="clear" w:color="auto" w:fill="auto"/>
          </w:tcPr>
          <w:p w14:paraId="598C8C2F" w14:textId="77777777"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2002</w:t>
            </w:r>
          </w:p>
        </w:tc>
        <w:tc>
          <w:tcPr>
            <w:tcW w:w="7081" w:type="dxa"/>
            <w:shd w:val="clear" w:color="auto" w:fill="auto"/>
          </w:tcPr>
          <w:p w14:paraId="7FEABBF7" w14:textId="77777777" w:rsidR="00E53899" w:rsidRPr="003B10E2" w:rsidRDefault="00E53899" w:rsidP="00680B7E">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Доходность акций, по отношению к которым наблюдается высокая дисперсия оценок аналитиков, значительно меньше, чем у других акций</w:t>
            </w:r>
          </w:p>
        </w:tc>
      </w:tr>
      <w:tr w:rsidR="00E53899" w:rsidRPr="003B10E2" w14:paraId="7C518FB3" w14:textId="77777777" w:rsidTr="00CE6182">
        <w:tc>
          <w:tcPr>
            <w:tcW w:w="1509" w:type="dxa"/>
            <w:shd w:val="clear" w:color="auto" w:fill="auto"/>
          </w:tcPr>
          <w:p w14:paraId="280179D2" w14:textId="77777777" w:rsidR="00E53899" w:rsidRPr="003B10E2" w:rsidRDefault="00E53899" w:rsidP="00680B7E">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Gompers, Ishii and Metrick</w:t>
            </w:r>
          </w:p>
        </w:tc>
        <w:tc>
          <w:tcPr>
            <w:tcW w:w="754" w:type="dxa"/>
            <w:shd w:val="clear" w:color="auto" w:fill="auto"/>
          </w:tcPr>
          <w:p w14:paraId="5BAB22DD" w14:textId="77777777"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2003</w:t>
            </w:r>
          </w:p>
        </w:tc>
        <w:tc>
          <w:tcPr>
            <w:tcW w:w="7081" w:type="dxa"/>
            <w:shd w:val="clear" w:color="auto" w:fill="auto"/>
          </w:tcPr>
          <w:p w14:paraId="4F654D41" w14:textId="77777777" w:rsidR="00E53899" w:rsidRPr="003B10E2" w:rsidRDefault="00E53899" w:rsidP="00680B7E">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Инвестиционная стратегия,</w:t>
            </w:r>
            <w:r w:rsidR="00044FE8" w:rsidRPr="003B10E2">
              <w:rPr>
                <w:rFonts w:ascii="Times New Roman" w:hAnsi="Times New Roman"/>
                <w:color w:val="000000"/>
                <w:sz w:val="24"/>
                <w:szCs w:val="24"/>
              </w:rPr>
              <w:t xml:space="preserve"> нацеленная на покупку акций в «демократических»</w:t>
            </w:r>
            <w:r w:rsidRPr="003B10E2">
              <w:rPr>
                <w:rFonts w:ascii="Times New Roman" w:hAnsi="Times New Roman"/>
                <w:color w:val="000000"/>
                <w:sz w:val="24"/>
                <w:szCs w:val="24"/>
              </w:rPr>
              <w:t xml:space="preserve"> фирмах, где акционеры обладали широким кругом прав в управлении, и продажу акций “диктаторских” фирм, где главные акционеры обладали сильными правами, приносила аномально-высокие доходы</w:t>
            </w:r>
          </w:p>
        </w:tc>
      </w:tr>
      <w:tr w:rsidR="00E53899" w:rsidRPr="003B10E2" w14:paraId="56417FB6" w14:textId="77777777" w:rsidTr="00CE6182">
        <w:tc>
          <w:tcPr>
            <w:tcW w:w="1509" w:type="dxa"/>
            <w:shd w:val="clear" w:color="auto" w:fill="auto"/>
          </w:tcPr>
          <w:p w14:paraId="6002C51B" w14:textId="77777777" w:rsidR="00E53899" w:rsidRPr="003B10E2" w:rsidRDefault="00E53899" w:rsidP="00680B7E">
            <w:pPr>
              <w:spacing w:after="0" w:line="240" w:lineRule="auto"/>
              <w:jc w:val="both"/>
              <w:rPr>
                <w:rFonts w:ascii="Times New Roman" w:hAnsi="Times New Roman"/>
                <w:color w:val="000000"/>
                <w:sz w:val="24"/>
                <w:szCs w:val="24"/>
                <w:lang w:val="en-US"/>
              </w:rPr>
            </w:pPr>
            <w:r w:rsidRPr="003B10E2">
              <w:rPr>
                <w:rFonts w:ascii="Times New Roman" w:hAnsi="Times New Roman"/>
                <w:color w:val="000000"/>
                <w:sz w:val="24"/>
                <w:szCs w:val="24"/>
                <w:lang w:val="en-US"/>
              </w:rPr>
              <w:t>Hirschleifer, Hou Teoh, and Zhang</w:t>
            </w:r>
          </w:p>
        </w:tc>
        <w:tc>
          <w:tcPr>
            <w:tcW w:w="754" w:type="dxa"/>
            <w:shd w:val="clear" w:color="auto" w:fill="auto"/>
          </w:tcPr>
          <w:p w14:paraId="6550790B" w14:textId="77777777"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2004</w:t>
            </w:r>
          </w:p>
        </w:tc>
        <w:tc>
          <w:tcPr>
            <w:tcW w:w="7081" w:type="dxa"/>
            <w:shd w:val="clear" w:color="auto" w:fill="auto"/>
          </w:tcPr>
          <w:p w14:paraId="5B408BD6" w14:textId="77777777" w:rsidR="00E53899" w:rsidRPr="003B10E2" w:rsidRDefault="00E53899" w:rsidP="00680B7E">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Понижение уровня чистых операционных активов является хорошим предиктором роста доходности акций</w:t>
            </w:r>
          </w:p>
        </w:tc>
      </w:tr>
      <w:tr w:rsidR="00E53899" w:rsidRPr="003B10E2" w14:paraId="3FEB8366" w14:textId="77777777" w:rsidTr="00CE6182">
        <w:tc>
          <w:tcPr>
            <w:tcW w:w="1509" w:type="dxa"/>
            <w:shd w:val="clear" w:color="auto" w:fill="auto"/>
          </w:tcPr>
          <w:p w14:paraId="29CD4355" w14:textId="77777777" w:rsidR="00E53899" w:rsidRPr="003B10E2" w:rsidRDefault="00E53899" w:rsidP="00680B7E">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Eberhart et al.</w:t>
            </w:r>
          </w:p>
        </w:tc>
        <w:tc>
          <w:tcPr>
            <w:tcW w:w="754" w:type="dxa"/>
            <w:shd w:val="clear" w:color="auto" w:fill="auto"/>
          </w:tcPr>
          <w:p w14:paraId="429CE207" w14:textId="77777777"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2004</w:t>
            </w:r>
          </w:p>
        </w:tc>
        <w:tc>
          <w:tcPr>
            <w:tcW w:w="7081" w:type="dxa"/>
            <w:shd w:val="clear" w:color="auto" w:fill="auto"/>
          </w:tcPr>
          <w:p w14:paraId="179811B1" w14:textId="77777777" w:rsidR="00E53899" w:rsidRPr="003B10E2" w:rsidRDefault="00E53899" w:rsidP="00680B7E">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Неожиданное и существенное увеличение расходов R&amp;D фирмой вызывает преимущественно положительные аномальные доходы акционеров</w:t>
            </w:r>
          </w:p>
        </w:tc>
      </w:tr>
      <w:tr w:rsidR="00E53899" w:rsidRPr="003B10E2" w14:paraId="4E3EA745" w14:textId="77777777" w:rsidTr="00CE6182">
        <w:tc>
          <w:tcPr>
            <w:tcW w:w="1509" w:type="dxa"/>
            <w:shd w:val="clear" w:color="auto" w:fill="auto"/>
          </w:tcPr>
          <w:p w14:paraId="491CC090" w14:textId="77777777" w:rsidR="00E53899" w:rsidRPr="003B10E2" w:rsidRDefault="00E53899" w:rsidP="00680B7E">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Titman, Wei, and Xie</w:t>
            </w:r>
          </w:p>
        </w:tc>
        <w:tc>
          <w:tcPr>
            <w:tcW w:w="754" w:type="dxa"/>
            <w:shd w:val="clear" w:color="auto" w:fill="auto"/>
          </w:tcPr>
          <w:p w14:paraId="6F142C5A" w14:textId="77777777"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2004</w:t>
            </w:r>
          </w:p>
        </w:tc>
        <w:tc>
          <w:tcPr>
            <w:tcW w:w="7081" w:type="dxa"/>
            <w:shd w:val="clear" w:color="auto" w:fill="auto"/>
          </w:tcPr>
          <w:p w14:paraId="73F662F1" w14:textId="77777777" w:rsidR="00E53899" w:rsidRPr="003B10E2" w:rsidRDefault="00E53899" w:rsidP="00680B7E">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Увеличение фирмой инвестиций приводит к спаду доходности</w:t>
            </w:r>
          </w:p>
        </w:tc>
      </w:tr>
      <w:tr w:rsidR="00E53899" w:rsidRPr="003B10E2" w14:paraId="7F2A3549" w14:textId="77777777" w:rsidTr="00CE6182">
        <w:tc>
          <w:tcPr>
            <w:tcW w:w="1509" w:type="dxa"/>
            <w:shd w:val="clear" w:color="auto" w:fill="auto"/>
          </w:tcPr>
          <w:p w14:paraId="54A3D550" w14:textId="77777777" w:rsidR="00E53899" w:rsidRPr="003B10E2" w:rsidRDefault="00E53899" w:rsidP="00680B7E">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Fama and French</w:t>
            </w:r>
          </w:p>
        </w:tc>
        <w:tc>
          <w:tcPr>
            <w:tcW w:w="754" w:type="dxa"/>
            <w:shd w:val="clear" w:color="auto" w:fill="auto"/>
          </w:tcPr>
          <w:p w14:paraId="2C3B3056" w14:textId="77777777"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2006</w:t>
            </w:r>
          </w:p>
        </w:tc>
        <w:tc>
          <w:tcPr>
            <w:tcW w:w="7081" w:type="dxa"/>
            <w:shd w:val="clear" w:color="auto" w:fill="auto"/>
          </w:tcPr>
          <w:p w14:paraId="75BA17A6" w14:textId="77777777" w:rsidR="00E53899" w:rsidRPr="003B10E2" w:rsidRDefault="00E53899" w:rsidP="00680B7E">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book-to-market ratio, ожидаемая прибыль, высокие показатели ожидаемого инвестирования помогают более точно найти ожидаемую доходность акции</w:t>
            </w:r>
          </w:p>
        </w:tc>
      </w:tr>
      <w:tr w:rsidR="00E53899" w:rsidRPr="003B10E2" w14:paraId="1920C819" w14:textId="77777777" w:rsidTr="00CE6182">
        <w:tc>
          <w:tcPr>
            <w:tcW w:w="1509" w:type="dxa"/>
            <w:shd w:val="clear" w:color="auto" w:fill="auto"/>
          </w:tcPr>
          <w:p w14:paraId="114B26A3" w14:textId="77777777"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Hou</w:t>
            </w:r>
          </w:p>
        </w:tc>
        <w:tc>
          <w:tcPr>
            <w:tcW w:w="754" w:type="dxa"/>
            <w:shd w:val="clear" w:color="auto" w:fill="auto"/>
          </w:tcPr>
          <w:p w14:paraId="0B15EB19" w14:textId="77777777"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2007</w:t>
            </w:r>
          </w:p>
        </w:tc>
        <w:tc>
          <w:tcPr>
            <w:tcW w:w="7081" w:type="dxa"/>
            <w:shd w:val="clear" w:color="auto" w:fill="auto"/>
          </w:tcPr>
          <w:p w14:paraId="62E8D42E" w14:textId="77777777" w:rsidR="00E53899" w:rsidRPr="003B10E2" w:rsidRDefault="00E53899" w:rsidP="00680B7E">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Аномальные доходы маленьких фирм продолжают расти (падать), когда большие фирмы в той же отрасли объявляют о неожиданно больших (или маленьких) доходах</w:t>
            </w:r>
          </w:p>
        </w:tc>
      </w:tr>
      <w:tr w:rsidR="00E53899" w:rsidRPr="003B10E2" w14:paraId="0CF8201F" w14:textId="77777777" w:rsidTr="00CE6182">
        <w:tc>
          <w:tcPr>
            <w:tcW w:w="1509" w:type="dxa"/>
            <w:shd w:val="clear" w:color="auto" w:fill="auto"/>
          </w:tcPr>
          <w:p w14:paraId="19A92354" w14:textId="77777777"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Alwathainani</w:t>
            </w:r>
          </w:p>
        </w:tc>
        <w:tc>
          <w:tcPr>
            <w:tcW w:w="754" w:type="dxa"/>
            <w:shd w:val="clear" w:color="auto" w:fill="auto"/>
          </w:tcPr>
          <w:p w14:paraId="08BD027E" w14:textId="77777777"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2009</w:t>
            </w:r>
          </w:p>
        </w:tc>
        <w:tc>
          <w:tcPr>
            <w:tcW w:w="7081" w:type="dxa"/>
            <w:shd w:val="clear" w:color="auto" w:fill="auto"/>
          </w:tcPr>
          <w:p w14:paraId="56155F5C" w14:textId="77777777" w:rsidR="00E53899" w:rsidRPr="003B10E2" w:rsidRDefault="00E53899" w:rsidP="00680B7E">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Стабильность роста выручки фирмы является хорошим инструментом прогноза будущей доходности акций</w:t>
            </w:r>
          </w:p>
        </w:tc>
      </w:tr>
      <w:tr w:rsidR="00E53899" w:rsidRPr="003B10E2" w14:paraId="20AB8424" w14:textId="77777777" w:rsidTr="00CE6182">
        <w:tc>
          <w:tcPr>
            <w:tcW w:w="1509" w:type="dxa"/>
            <w:shd w:val="clear" w:color="auto" w:fill="auto"/>
          </w:tcPr>
          <w:p w14:paraId="25F4F49E" w14:textId="77777777" w:rsidR="00E53899" w:rsidRPr="003B10E2" w:rsidRDefault="00E53899" w:rsidP="00680B7E">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Lockwood Prombutr</w:t>
            </w:r>
          </w:p>
        </w:tc>
        <w:tc>
          <w:tcPr>
            <w:tcW w:w="754" w:type="dxa"/>
            <w:shd w:val="clear" w:color="auto" w:fill="auto"/>
          </w:tcPr>
          <w:p w14:paraId="41592372" w14:textId="77777777"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2010</w:t>
            </w:r>
          </w:p>
        </w:tc>
        <w:tc>
          <w:tcPr>
            <w:tcW w:w="7081" w:type="dxa"/>
            <w:shd w:val="clear" w:color="auto" w:fill="auto"/>
          </w:tcPr>
          <w:p w14:paraId="13B1A249" w14:textId="77777777" w:rsidR="00E53899" w:rsidRPr="003B10E2" w:rsidRDefault="00E53899" w:rsidP="00680B7E">
            <w:pPr>
              <w:spacing w:after="0" w:line="240" w:lineRule="auto"/>
              <w:contextualSpacing/>
              <w:jc w:val="both"/>
              <w:rPr>
                <w:rFonts w:ascii="Times New Roman" w:hAnsi="Times New Roman"/>
                <w:color w:val="000000"/>
                <w:sz w:val="24"/>
                <w:szCs w:val="24"/>
              </w:rPr>
            </w:pPr>
            <w:r w:rsidRPr="003B10E2">
              <w:rPr>
                <w:rFonts w:ascii="Times New Roman" w:hAnsi="Times New Roman"/>
                <w:color w:val="000000"/>
                <w:sz w:val="24"/>
                <w:szCs w:val="24"/>
              </w:rPr>
              <w:t>Устойчивый рост доходности акций соответствует низким рискам дефолта и низким book-to-market ratio</w:t>
            </w:r>
          </w:p>
        </w:tc>
      </w:tr>
      <w:tr w:rsidR="00E53899" w:rsidRPr="003B10E2" w14:paraId="12EFA103" w14:textId="77777777" w:rsidTr="00CE6182">
        <w:tc>
          <w:tcPr>
            <w:tcW w:w="1509" w:type="dxa"/>
            <w:shd w:val="clear" w:color="auto" w:fill="auto"/>
          </w:tcPr>
          <w:p w14:paraId="6EF926B4" w14:textId="77777777"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Johnson So</w:t>
            </w:r>
          </w:p>
        </w:tc>
        <w:tc>
          <w:tcPr>
            <w:tcW w:w="754" w:type="dxa"/>
            <w:shd w:val="clear" w:color="auto" w:fill="auto"/>
          </w:tcPr>
          <w:p w14:paraId="674EA81F" w14:textId="77777777"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2012</w:t>
            </w:r>
          </w:p>
        </w:tc>
        <w:tc>
          <w:tcPr>
            <w:tcW w:w="7081" w:type="dxa"/>
            <w:shd w:val="clear" w:color="auto" w:fill="auto"/>
          </w:tcPr>
          <w:p w14:paraId="4F949A48" w14:textId="77777777" w:rsidR="00E53899" w:rsidRPr="003B10E2" w:rsidRDefault="00E53899" w:rsidP="00680B7E">
            <w:pPr>
              <w:spacing w:after="0" w:line="240" w:lineRule="auto"/>
              <w:contextualSpacing/>
              <w:jc w:val="both"/>
              <w:rPr>
                <w:rFonts w:ascii="Times New Roman" w:hAnsi="Times New Roman"/>
                <w:color w:val="000000"/>
                <w:sz w:val="24"/>
                <w:szCs w:val="24"/>
              </w:rPr>
            </w:pPr>
            <w:r w:rsidRPr="003B10E2">
              <w:rPr>
                <w:rFonts w:ascii="Times New Roman" w:hAnsi="Times New Roman"/>
                <w:color w:val="000000"/>
                <w:sz w:val="24"/>
                <w:szCs w:val="24"/>
              </w:rPr>
              <w:t>Отношение объемов торгов опционами к объемам торгов акциями является сильным сигналом, когда цены на пут-опционы высокие</w:t>
            </w:r>
          </w:p>
        </w:tc>
      </w:tr>
      <w:tr w:rsidR="00E53899" w:rsidRPr="003B10E2" w14:paraId="7103081F" w14:textId="77777777" w:rsidTr="00CE6182">
        <w:tc>
          <w:tcPr>
            <w:tcW w:w="1509" w:type="dxa"/>
            <w:shd w:val="clear" w:color="auto" w:fill="auto"/>
          </w:tcPr>
          <w:p w14:paraId="0E00B64D" w14:textId="77777777" w:rsidR="00E53899" w:rsidRPr="003B10E2" w:rsidRDefault="00E53899" w:rsidP="00680B7E">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Hartzmark Salomon</w:t>
            </w:r>
          </w:p>
        </w:tc>
        <w:tc>
          <w:tcPr>
            <w:tcW w:w="754" w:type="dxa"/>
            <w:shd w:val="clear" w:color="auto" w:fill="auto"/>
          </w:tcPr>
          <w:p w14:paraId="4C5E6304" w14:textId="77777777"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2013</w:t>
            </w:r>
          </w:p>
        </w:tc>
        <w:tc>
          <w:tcPr>
            <w:tcW w:w="7081" w:type="dxa"/>
            <w:shd w:val="clear" w:color="auto" w:fill="auto"/>
          </w:tcPr>
          <w:p w14:paraId="5C096F63" w14:textId="77777777" w:rsidR="00E53899" w:rsidRPr="003B10E2" w:rsidRDefault="00E53899" w:rsidP="00680B7E">
            <w:pPr>
              <w:spacing w:after="0" w:line="240" w:lineRule="auto"/>
              <w:contextualSpacing/>
              <w:jc w:val="both"/>
              <w:rPr>
                <w:rFonts w:ascii="Times New Roman" w:hAnsi="Times New Roman"/>
                <w:color w:val="000000"/>
                <w:sz w:val="24"/>
                <w:szCs w:val="24"/>
              </w:rPr>
            </w:pPr>
            <w:r w:rsidRPr="003B10E2">
              <w:rPr>
                <w:rFonts w:ascii="Times New Roman" w:hAnsi="Times New Roman"/>
                <w:color w:val="000000"/>
                <w:sz w:val="24"/>
                <w:szCs w:val="24"/>
              </w:rPr>
              <w:t>Доходность акций компаний становятся заметно выше в месяцы, когда ожидается выплата дивидендов</w:t>
            </w:r>
          </w:p>
        </w:tc>
      </w:tr>
      <w:tr w:rsidR="00E53899" w:rsidRPr="003B10E2" w14:paraId="6F8C9FF7" w14:textId="77777777" w:rsidTr="00CE6182">
        <w:tc>
          <w:tcPr>
            <w:tcW w:w="1509" w:type="dxa"/>
            <w:shd w:val="clear" w:color="auto" w:fill="auto"/>
          </w:tcPr>
          <w:p w14:paraId="1C5B8154" w14:textId="77777777" w:rsidR="00E53899" w:rsidRPr="003B10E2" w:rsidRDefault="00E53899" w:rsidP="00680B7E">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Belo, Lin, and Bazdresch</w:t>
            </w:r>
          </w:p>
        </w:tc>
        <w:tc>
          <w:tcPr>
            <w:tcW w:w="754" w:type="dxa"/>
            <w:shd w:val="clear" w:color="auto" w:fill="auto"/>
          </w:tcPr>
          <w:p w14:paraId="7D7D34ED" w14:textId="77777777"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2014</w:t>
            </w:r>
          </w:p>
        </w:tc>
        <w:tc>
          <w:tcPr>
            <w:tcW w:w="7081" w:type="dxa"/>
            <w:shd w:val="clear" w:color="auto" w:fill="auto"/>
          </w:tcPr>
          <w:p w14:paraId="476457E4" w14:textId="77777777" w:rsidR="00E53899" w:rsidRPr="003B10E2" w:rsidRDefault="00E53899" w:rsidP="00680B7E">
            <w:pPr>
              <w:spacing w:after="0" w:line="240" w:lineRule="auto"/>
              <w:contextualSpacing/>
              <w:jc w:val="both"/>
              <w:rPr>
                <w:rFonts w:ascii="Times New Roman" w:hAnsi="Times New Roman"/>
                <w:color w:val="000000"/>
                <w:sz w:val="24"/>
                <w:szCs w:val="24"/>
              </w:rPr>
            </w:pPr>
            <w:r w:rsidRPr="003B10E2">
              <w:rPr>
                <w:rFonts w:ascii="Times New Roman" w:hAnsi="Times New Roman"/>
                <w:color w:val="000000"/>
                <w:sz w:val="24"/>
                <w:szCs w:val="24"/>
              </w:rPr>
              <w:t>Фирмы, которые имеют высокие ставки заработной платы имеют меньшую доходность акций</w:t>
            </w:r>
          </w:p>
        </w:tc>
      </w:tr>
      <w:tr w:rsidR="00E53899" w:rsidRPr="003B10E2" w14:paraId="1050B31A" w14:textId="77777777" w:rsidTr="00CE6182">
        <w:tc>
          <w:tcPr>
            <w:tcW w:w="1509" w:type="dxa"/>
            <w:shd w:val="clear" w:color="auto" w:fill="auto"/>
          </w:tcPr>
          <w:p w14:paraId="00E1B448" w14:textId="77777777"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Lou</w:t>
            </w:r>
          </w:p>
        </w:tc>
        <w:tc>
          <w:tcPr>
            <w:tcW w:w="754" w:type="dxa"/>
            <w:shd w:val="clear" w:color="auto" w:fill="auto"/>
          </w:tcPr>
          <w:p w14:paraId="6DCDD0D8" w14:textId="77777777"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2014</w:t>
            </w:r>
          </w:p>
        </w:tc>
        <w:tc>
          <w:tcPr>
            <w:tcW w:w="7081" w:type="dxa"/>
            <w:shd w:val="clear" w:color="auto" w:fill="auto"/>
          </w:tcPr>
          <w:p w14:paraId="0BD1F27F" w14:textId="77777777" w:rsidR="00E53899" w:rsidRPr="003B10E2" w:rsidRDefault="00E53899" w:rsidP="00680B7E">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Рост расходов на рекламу привлекает инвесторов и приводит к краткосрочному росту доходности акций</w:t>
            </w:r>
          </w:p>
        </w:tc>
      </w:tr>
      <w:tr w:rsidR="00E53899" w:rsidRPr="003B10E2" w14:paraId="4805344C" w14:textId="77777777" w:rsidTr="00CE6182">
        <w:tc>
          <w:tcPr>
            <w:tcW w:w="1509" w:type="dxa"/>
            <w:shd w:val="clear" w:color="auto" w:fill="auto"/>
          </w:tcPr>
          <w:p w14:paraId="02F3B26F" w14:textId="77777777" w:rsidR="00E53899" w:rsidRPr="003B10E2" w:rsidRDefault="00E53899" w:rsidP="00680B7E">
            <w:pPr>
              <w:spacing w:after="0" w:line="240" w:lineRule="auto"/>
              <w:jc w:val="both"/>
              <w:rPr>
                <w:rFonts w:ascii="Times New Roman" w:hAnsi="Times New Roman"/>
                <w:color w:val="000000"/>
                <w:sz w:val="24"/>
                <w:szCs w:val="24"/>
                <w:lang w:val="en-US"/>
              </w:rPr>
            </w:pPr>
            <w:r w:rsidRPr="003B10E2">
              <w:rPr>
                <w:rFonts w:ascii="Times New Roman" w:hAnsi="Times New Roman"/>
                <w:color w:val="000000"/>
                <w:sz w:val="24"/>
                <w:szCs w:val="24"/>
                <w:lang w:val="en-US"/>
              </w:rPr>
              <w:t>Ball, Gerakos, Linnainmaa, and Nikolaev</w:t>
            </w:r>
          </w:p>
        </w:tc>
        <w:tc>
          <w:tcPr>
            <w:tcW w:w="754" w:type="dxa"/>
            <w:shd w:val="clear" w:color="auto" w:fill="auto"/>
          </w:tcPr>
          <w:p w14:paraId="5A10F276" w14:textId="77777777"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2016</w:t>
            </w:r>
          </w:p>
        </w:tc>
        <w:tc>
          <w:tcPr>
            <w:tcW w:w="7081" w:type="dxa"/>
            <w:shd w:val="clear" w:color="auto" w:fill="auto"/>
          </w:tcPr>
          <w:p w14:paraId="5732842A" w14:textId="77777777" w:rsidR="00E53899" w:rsidRPr="003B10E2" w:rsidRDefault="00E53899" w:rsidP="00680B7E">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Операционная доходность может быть использована для прогнозирования цен акций компании</w:t>
            </w:r>
          </w:p>
        </w:tc>
      </w:tr>
    </w:tbl>
    <w:p w14:paraId="0AB416D0" w14:textId="77777777" w:rsidR="00567A63" w:rsidRPr="003B10E2" w:rsidRDefault="00567A63" w:rsidP="00044FE8">
      <w:pPr>
        <w:spacing w:after="0" w:line="360" w:lineRule="auto"/>
        <w:contextualSpacing/>
        <w:jc w:val="both"/>
        <w:rPr>
          <w:rFonts w:ascii="Times New Roman" w:hAnsi="Times New Roman"/>
          <w:color w:val="000000"/>
          <w:sz w:val="24"/>
          <w:szCs w:val="24"/>
        </w:rPr>
      </w:pPr>
      <w:r w:rsidRPr="003B10E2">
        <w:rPr>
          <w:rFonts w:ascii="Times New Roman" w:hAnsi="Times New Roman"/>
          <w:color w:val="000000"/>
          <w:sz w:val="24"/>
          <w:szCs w:val="24"/>
        </w:rPr>
        <w:t>Источник: составлено автором.</w:t>
      </w:r>
    </w:p>
    <w:p w14:paraId="39DBDCD0" w14:textId="77777777" w:rsidR="00BD245A" w:rsidRPr="003B10E2" w:rsidRDefault="00BD245A" w:rsidP="0057285F">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Юджин Фама и Кеннет Френч провели научное исследование цен на акции, котирующиеся на Нью-Йоркской фондовой бирже (NYSE), Американской фондовой бирже (AMEX) в период с 1963 по 1990 год [182]. Эти исследования показали, что низкие показатели P/B могут быть сигналом к повышению стоимости акций. Низкие показатели прибыли на акцию (P/E) — это еще один атрибут, который, как правило, сигнализирует о покупке определенных ценных бумаг. Кроме того, акции с высокой дивидендной доходностью, как правило, превосходят среднерыночные показатели [245]. </w:t>
      </w:r>
    </w:p>
    <w:p w14:paraId="42B2FAB1"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Временные аномалии состоят в том, что есть такие периоды времени, когда можно получать доходность на рынке акций выше среднерыночной. Обычно участники рынка знают о наличии временных аномалий, что лишь усиливает некоторые из них [380 – 385].</w:t>
      </w:r>
    </w:p>
    <w:p w14:paraId="67483E0D"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Роберт Хауген и Филипп Джорион обратили внимание, что «эффект января», пожалуй, самый известный пример аномального поведения на финансовых рынках по всему миру [125].</w:t>
      </w:r>
    </w:p>
    <w:p w14:paraId="59816C30" w14:textId="77777777" w:rsidR="00BD245A" w:rsidRPr="003B10E2" w:rsidRDefault="00BD245A" w:rsidP="00BA6B54">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В реальности рынки не являются ни полностью эффективными, ни полностью аномальными на протяжении своего существования [220]. На неэффективных рынках опытные инвесторы могут существенно опережать по доходности менее опытных инвесторов. Многие считают, что акции компаний с большой капитализацией, таких как GE и Microsoft, имеют тенденцию быть очень информативными для рынка в целом [240].</w:t>
      </w:r>
    </w:p>
    <w:p w14:paraId="552043C1"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Как указано выше, для того чтобы гипотеза эффективного рынка могла быть применима, необходимо наличие трех условий:</w:t>
      </w:r>
    </w:p>
    <w:p w14:paraId="51D4268B" w14:textId="77777777" w:rsidR="00BD245A" w:rsidRPr="003B10E2" w:rsidRDefault="00BA6B54"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1)</w:t>
      </w:r>
      <w:r w:rsidR="00BD245A" w:rsidRPr="003B10E2">
        <w:rPr>
          <w:rFonts w:ascii="Times New Roman" w:hAnsi="Times New Roman"/>
          <w:color w:val="000000"/>
          <w:sz w:val="28"/>
          <w:szCs w:val="28"/>
        </w:rPr>
        <w:t xml:space="preserve"> Рациональность в принятии решений. Когда люди разумны, они обладают способностью рассуждать и принимать выгодные решения. Однако рациональность — это не единственный стимул человеческого поведения. Фактически это может даже не быть основным драйвером, как многие психологи считают, интеллект человека часто подчиняется человеческим эмоциям. Люди используют свой разум только для того, чтобы достичь или избежать эмоциональных результатов [343].</w:t>
      </w:r>
    </w:p>
    <w:p w14:paraId="52D77DC2" w14:textId="77777777" w:rsidR="00BD245A" w:rsidRPr="003B10E2" w:rsidRDefault="00BA6B54"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2)</w:t>
      </w:r>
      <w:r w:rsidR="00BD245A" w:rsidRPr="003B10E2">
        <w:rPr>
          <w:rFonts w:ascii="Times New Roman" w:hAnsi="Times New Roman"/>
          <w:color w:val="000000"/>
          <w:sz w:val="28"/>
          <w:szCs w:val="28"/>
        </w:rPr>
        <w:t xml:space="preserve"> Жадность. Многие исследования показали, что люди не</w:t>
      </w:r>
      <w:r w:rsidR="00F25DF5" w:rsidRPr="003B10E2">
        <w:rPr>
          <w:rFonts w:ascii="Times New Roman" w:hAnsi="Times New Roman"/>
          <w:color w:val="000000"/>
          <w:sz w:val="28"/>
          <w:szCs w:val="28"/>
        </w:rPr>
        <w:t xml:space="preserve"> абсолютно</w:t>
      </w:r>
      <w:r w:rsidR="00BD245A" w:rsidRPr="003B10E2">
        <w:rPr>
          <w:rFonts w:ascii="Times New Roman" w:hAnsi="Times New Roman"/>
          <w:color w:val="000000"/>
          <w:sz w:val="28"/>
          <w:szCs w:val="28"/>
        </w:rPr>
        <w:t xml:space="preserve"> эгоистичные. Если бы они были таковыми, благотворительности не могло бы существовать [195]. Личный интерес может препятствовать людям выполнять такие бескорыстные дела, как волонтерство, помощь нуждающимся или службу в армии [248]. Нельзя исключать и тягу к саморазрушению, которая может проявиться в виде самоубийства, алкоголизма или токсикомании [257].</w:t>
      </w:r>
    </w:p>
    <w:p w14:paraId="30005E75" w14:textId="77777777" w:rsidR="00BD245A" w:rsidRPr="003B10E2" w:rsidRDefault="00BA6B54"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3)</w:t>
      </w:r>
      <w:r w:rsidR="00BD245A" w:rsidRPr="003B10E2">
        <w:rPr>
          <w:rFonts w:ascii="Times New Roman" w:hAnsi="Times New Roman"/>
          <w:color w:val="000000"/>
          <w:sz w:val="28"/>
          <w:szCs w:val="28"/>
        </w:rPr>
        <w:t xml:space="preserve"> Полнота информации [297]. Некоторые люди могут обладать полной информацией в определенных сферах. Даже самые успешные инвесторы не в силах освоить все дисциплины. Многие экономические решения принимаются в отсутствии полной информации [299].</w:t>
      </w:r>
    </w:p>
    <w:p w14:paraId="19348653"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Гипотеза адаптивного рынка дала новую жизнь теории рациональных ожиданий (Э</w:t>
      </w:r>
      <w:r w:rsidR="007C437C">
        <w:rPr>
          <w:rFonts w:ascii="Times New Roman" w:hAnsi="Times New Roman"/>
          <w:color w:val="000000"/>
          <w:sz w:val="28"/>
          <w:szCs w:val="28"/>
        </w:rPr>
        <w:t xml:space="preserve">. </w:t>
      </w:r>
      <w:r w:rsidRPr="003B10E2">
        <w:rPr>
          <w:rFonts w:ascii="Times New Roman" w:hAnsi="Times New Roman"/>
          <w:color w:val="000000"/>
          <w:sz w:val="28"/>
          <w:szCs w:val="28"/>
        </w:rPr>
        <w:t xml:space="preserve">Ло). </w:t>
      </w:r>
    </w:p>
    <w:p w14:paraId="0F11CD23"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Основные постулаты:</w:t>
      </w:r>
    </w:p>
    <w:p w14:paraId="38F766EC" w14:textId="77777777" w:rsidR="00BD245A" w:rsidRPr="003B10E2" w:rsidRDefault="00BA6B54" w:rsidP="00BA6B54">
      <w:pPr>
        <w:spacing w:after="0" w:line="360" w:lineRule="auto"/>
        <w:contextualSpacing/>
        <w:jc w:val="both"/>
        <w:rPr>
          <w:rFonts w:ascii="Times New Roman" w:hAnsi="Times New Roman"/>
          <w:color w:val="000000"/>
          <w:sz w:val="28"/>
          <w:szCs w:val="28"/>
        </w:rPr>
      </w:pPr>
      <w:r w:rsidRPr="003B10E2">
        <w:rPr>
          <w:rFonts w:ascii="Times New Roman" w:hAnsi="Times New Roman"/>
          <w:color w:val="000000"/>
          <w:sz w:val="28"/>
          <w:szCs w:val="28"/>
        </w:rPr>
        <w:t>- и</w:t>
      </w:r>
      <w:r w:rsidR="00BD245A" w:rsidRPr="003B10E2">
        <w:rPr>
          <w:rFonts w:ascii="Times New Roman" w:hAnsi="Times New Roman"/>
          <w:color w:val="000000"/>
          <w:sz w:val="28"/>
          <w:szCs w:val="28"/>
        </w:rPr>
        <w:t xml:space="preserve">нформация </w:t>
      </w:r>
      <w:r w:rsidRPr="003B10E2">
        <w:rPr>
          <w:rFonts w:ascii="Times New Roman" w:hAnsi="Times New Roman"/>
          <w:color w:val="000000"/>
          <w:sz w:val="28"/>
          <w:szCs w:val="28"/>
        </w:rPr>
        <w:t>оказывает влияние на цены [342];</w:t>
      </w:r>
    </w:p>
    <w:p w14:paraId="06342FD9" w14:textId="77777777" w:rsidR="00BD245A" w:rsidRPr="003B10E2" w:rsidRDefault="00BA6B54" w:rsidP="00BA6B54">
      <w:pPr>
        <w:spacing w:after="0" w:line="360" w:lineRule="auto"/>
        <w:contextualSpacing/>
        <w:jc w:val="both"/>
        <w:rPr>
          <w:rFonts w:ascii="Times New Roman" w:hAnsi="Times New Roman"/>
          <w:color w:val="000000"/>
          <w:sz w:val="28"/>
          <w:szCs w:val="28"/>
        </w:rPr>
      </w:pPr>
      <w:r w:rsidRPr="003B10E2">
        <w:rPr>
          <w:rFonts w:ascii="Times New Roman" w:hAnsi="Times New Roman"/>
          <w:color w:val="000000"/>
          <w:sz w:val="28"/>
          <w:szCs w:val="28"/>
        </w:rPr>
        <w:t>- с</w:t>
      </w:r>
      <w:r w:rsidR="00BD245A" w:rsidRPr="003B10E2">
        <w:rPr>
          <w:rFonts w:ascii="Times New Roman" w:hAnsi="Times New Roman"/>
          <w:color w:val="000000"/>
          <w:sz w:val="28"/>
          <w:szCs w:val="28"/>
        </w:rPr>
        <w:t>уществует возможность получения прибыли на арбитражных сделках</w:t>
      </w:r>
      <w:r w:rsidRPr="003B10E2">
        <w:rPr>
          <w:rFonts w:ascii="Times New Roman" w:hAnsi="Times New Roman"/>
          <w:color w:val="000000"/>
          <w:sz w:val="28"/>
          <w:szCs w:val="28"/>
        </w:rPr>
        <w:t xml:space="preserve"> на неэффективных рынках [296];</w:t>
      </w:r>
    </w:p>
    <w:p w14:paraId="1B1C4F95" w14:textId="77777777" w:rsidR="00BD245A" w:rsidRPr="003B10E2" w:rsidRDefault="00BA6B54" w:rsidP="00BA6B54">
      <w:pPr>
        <w:spacing w:after="0" w:line="360" w:lineRule="auto"/>
        <w:contextualSpacing/>
        <w:jc w:val="both"/>
        <w:rPr>
          <w:rFonts w:ascii="Times New Roman" w:hAnsi="Times New Roman"/>
          <w:color w:val="000000"/>
          <w:sz w:val="28"/>
          <w:szCs w:val="28"/>
        </w:rPr>
      </w:pPr>
      <w:r w:rsidRPr="003B10E2">
        <w:rPr>
          <w:rFonts w:ascii="Times New Roman" w:hAnsi="Times New Roman"/>
          <w:color w:val="000000"/>
          <w:sz w:val="28"/>
          <w:szCs w:val="28"/>
        </w:rPr>
        <w:t>- т</w:t>
      </w:r>
      <w:r w:rsidR="00BD245A" w:rsidRPr="003B10E2">
        <w:rPr>
          <w:rFonts w:ascii="Times New Roman" w:hAnsi="Times New Roman"/>
          <w:color w:val="000000"/>
          <w:sz w:val="28"/>
          <w:szCs w:val="28"/>
        </w:rPr>
        <w:t>еория признает ассиметричность информации [176].</w:t>
      </w:r>
    </w:p>
    <w:p w14:paraId="2825C000"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Недостатки: </w:t>
      </w:r>
    </w:p>
    <w:p w14:paraId="4B4394AB" w14:textId="77777777" w:rsidR="00BD245A" w:rsidRPr="003B10E2" w:rsidRDefault="00BA6B54" w:rsidP="00BA6B54">
      <w:pPr>
        <w:spacing w:after="0" w:line="360" w:lineRule="auto"/>
        <w:contextualSpacing/>
        <w:jc w:val="both"/>
        <w:rPr>
          <w:rFonts w:ascii="Times New Roman" w:hAnsi="Times New Roman"/>
          <w:color w:val="000000"/>
          <w:sz w:val="28"/>
          <w:szCs w:val="28"/>
        </w:rPr>
      </w:pPr>
      <w:r w:rsidRPr="003B10E2">
        <w:rPr>
          <w:rFonts w:ascii="Times New Roman" w:hAnsi="Times New Roman"/>
          <w:color w:val="000000"/>
          <w:sz w:val="28"/>
          <w:szCs w:val="28"/>
        </w:rPr>
        <w:t>- т</w:t>
      </w:r>
      <w:r w:rsidR="00BD245A" w:rsidRPr="003B10E2">
        <w:rPr>
          <w:rFonts w:ascii="Times New Roman" w:hAnsi="Times New Roman"/>
          <w:color w:val="000000"/>
          <w:sz w:val="28"/>
          <w:szCs w:val="28"/>
        </w:rPr>
        <w:t>еория игнорирует психологию п</w:t>
      </w:r>
      <w:r w:rsidRPr="003B10E2">
        <w:rPr>
          <w:rFonts w:ascii="Times New Roman" w:hAnsi="Times New Roman"/>
          <w:color w:val="000000"/>
          <w:sz w:val="28"/>
          <w:szCs w:val="28"/>
        </w:rPr>
        <w:t>оведения участников рынка [195];</w:t>
      </w:r>
    </w:p>
    <w:p w14:paraId="7AAB47B3" w14:textId="77777777" w:rsidR="00BD245A" w:rsidRPr="003B10E2" w:rsidRDefault="00BA6B54" w:rsidP="00BA6B54">
      <w:pPr>
        <w:spacing w:after="0" w:line="360" w:lineRule="auto"/>
        <w:contextualSpacing/>
        <w:jc w:val="both"/>
        <w:rPr>
          <w:rFonts w:ascii="Times New Roman" w:hAnsi="Times New Roman"/>
          <w:color w:val="000000"/>
          <w:sz w:val="28"/>
          <w:szCs w:val="28"/>
        </w:rPr>
      </w:pPr>
      <w:r w:rsidRPr="003B10E2">
        <w:rPr>
          <w:rFonts w:ascii="Times New Roman" w:hAnsi="Times New Roman"/>
          <w:color w:val="000000"/>
          <w:sz w:val="28"/>
          <w:szCs w:val="28"/>
        </w:rPr>
        <w:t>- т</w:t>
      </w:r>
      <w:r w:rsidR="00BD245A" w:rsidRPr="003B10E2">
        <w:rPr>
          <w:rFonts w:ascii="Times New Roman" w:hAnsi="Times New Roman"/>
          <w:color w:val="000000"/>
          <w:sz w:val="28"/>
          <w:szCs w:val="28"/>
        </w:rPr>
        <w:t xml:space="preserve">еория не рассматривает вопросы: кто предоставляет рыночную информацию, в каком </w:t>
      </w:r>
      <w:r w:rsidRPr="003B10E2">
        <w:rPr>
          <w:rFonts w:ascii="Times New Roman" w:hAnsi="Times New Roman"/>
          <w:color w:val="000000"/>
          <w:sz w:val="28"/>
          <w:szCs w:val="28"/>
        </w:rPr>
        <w:t>объеме, достоверна ли она [230];</w:t>
      </w:r>
      <w:r w:rsidR="00BD245A" w:rsidRPr="003B10E2">
        <w:rPr>
          <w:rFonts w:ascii="Times New Roman" w:hAnsi="Times New Roman"/>
          <w:color w:val="000000"/>
          <w:sz w:val="28"/>
          <w:szCs w:val="28"/>
        </w:rPr>
        <w:t xml:space="preserve"> </w:t>
      </w:r>
    </w:p>
    <w:p w14:paraId="17EA873B" w14:textId="77777777" w:rsidR="00BD245A" w:rsidRPr="003B10E2" w:rsidRDefault="00BA6B54" w:rsidP="00BA6B54">
      <w:pPr>
        <w:spacing w:after="0" w:line="360" w:lineRule="auto"/>
        <w:contextualSpacing/>
        <w:jc w:val="both"/>
        <w:rPr>
          <w:rFonts w:ascii="Times New Roman" w:hAnsi="Times New Roman"/>
          <w:color w:val="000000"/>
          <w:sz w:val="28"/>
          <w:szCs w:val="28"/>
        </w:rPr>
      </w:pPr>
      <w:r w:rsidRPr="003B10E2">
        <w:rPr>
          <w:rFonts w:ascii="Times New Roman" w:hAnsi="Times New Roman"/>
          <w:color w:val="000000"/>
          <w:sz w:val="28"/>
          <w:szCs w:val="28"/>
        </w:rPr>
        <w:t>- т</w:t>
      </w:r>
      <w:r w:rsidR="00BD245A" w:rsidRPr="003B10E2">
        <w:rPr>
          <w:rFonts w:ascii="Times New Roman" w:hAnsi="Times New Roman"/>
          <w:color w:val="000000"/>
          <w:sz w:val="28"/>
          <w:szCs w:val="28"/>
        </w:rPr>
        <w:t>еория использует исследования исторической реакции рынка на прогнозы аналитиков, но сама реакция рынков видоизменяется [230, 343].</w:t>
      </w:r>
    </w:p>
    <w:p w14:paraId="1B5296D0" w14:textId="77777777" w:rsidR="00BD245A" w:rsidRPr="003B10E2" w:rsidRDefault="00523AFD" w:rsidP="00BA6B54">
      <w:pPr>
        <w:spacing w:after="0" w:line="360" w:lineRule="auto"/>
        <w:ind w:firstLine="851"/>
        <w:contextualSpacing/>
        <w:rPr>
          <w:rFonts w:ascii="Times New Roman" w:hAnsi="Times New Roman"/>
          <w:color w:val="000000"/>
          <w:sz w:val="28"/>
          <w:szCs w:val="28"/>
        </w:rPr>
      </w:pPr>
      <w:r w:rsidRPr="003B10E2">
        <w:rPr>
          <w:rFonts w:ascii="Times New Roman" w:hAnsi="Times New Roman"/>
          <w:color w:val="000000"/>
          <w:sz w:val="28"/>
          <w:szCs w:val="28"/>
        </w:rPr>
        <w:t xml:space="preserve">Теория полезности (Д. </w:t>
      </w:r>
      <w:r w:rsidR="00BD245A" w:rsidRPr="003B10E2">
        <w:rPr>
          <w:rFonts w:ascii="Times New Roman" w:hAnsi="Times New Roman"/>
          <w:color w:val="000000"/>
          <w:sz w:val="28"/>
          <w:szCs w:val="28"/>
        </w:rPr>
        <w:t>Бернулли)</w:t>
      </w:r>
      <w:r w:rsidR="00BA6B54" w:rsidRPr="003B10E2">
        <w:rPr>
          <w:rFonts w:ascii="Times New Roman" w:hAnsi="Times New Roman"/>
          <w:color w:val="000000"/>
          <w:sz w:val="28"/>
          <w:szCs w:val="28"/>
        </w:rPr>
        <w:t>.</w:t>
      </w:r>
    </w:p>
    <w:p w14:paraId="4A705BC4" w14:textId="77777777" w:rsidR="00BD245A" w:rsidRPr="003B10E2" w:rsidRDefault="00BD245A" w:rsidP="00BD245A">
      <w:pPr>
        <w:pStyle w:val="aff8"/>
        <w:spacing w:after="0" w:line="360" w:lineRule="auto"/>
        <w:ind w:left="0" w:firstLine="851"/>
        <w:jc w:val="both"/>
        <w:rPr>
          <w:rFonts w:ascii="Times New Roman" w:hAnsi="Times New Roman"/>
          <w:color w:val="000000"/>
          <w:sz w:val="28"/>
          <w:szCs w:val="28"/>
        </w:rPr>
      </w:pPr>
      <w:r w:rsidRPr="003B10E2">
        <w:rPr>
          <w:rFonts w:ascii="Times New Roman" w:hAnsi="Times New Roman"/>
          <w:color w:val="000000"/>
          <w:sz w:val="28"/>
          <w:szCs w:val="28"/>
        </w:rPr>
        <w:t>Основная новизна этой теории состоит в методиках анализа: теория полезности использует удобный инструментарий и предлагает моделировать неопределенные вероятности с помощью иерархических деревьев решений, параметры которых взяты из распределения более высокого уровня [257].</w:t>
      </w:r>
    </w:p>
    <w:p w14:paraId="537D3C81"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Некоторые экономические теории предполагают, что люди при совершении крупных покупок принимают во внимание монетарную политику центрального банка. Естественно, некоторые люди точно знают, где найти эти данные, как интерпретировать и применять их. Как и эффективность рынка, человеческая рациональность редко проявляется в виде абсолютных форм. Люди не могут быть совершенно рациональными как и совершенно иррациональными [252]. Они обладают различными комбинациями рациональных и иррациональных характеристик, которые меняются в течение времени [236]. Они могут извлекать выгоду в силу различных степеней познания в различных сферах деятельности [239]. </w:t>
      </w:r>
    </w:p>
    <w:p w14:paraId="0686F397" w14:textId="77777777" w:rsidR="00BA6B54" w:rsidRPr="003B10E2" w:rsidRDefault="00BD245A" w:rsidP="00BA6B54">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Теория полезности предполагает:</w:t>
      </w:r>
    </w:p>
    <w:p w14:paraId="023B895A" w14:textId="77777777" w:rsidR="00BD245A" w:rsidRPr="003B10E2" w:rsidRDefault="00BA6B54" w:rsidP="00BA6B54">
      <w:pPr>
        <w:spacing w:after="0" w:line="360" w:lineRule="auto"/>
        <w:contextualSpacing/>
        <w:jc w:val="both"/>
        <w:rPr>
          <w:rFonts w:ascii="Times New Roman" w:hAnsi="Times New Roman"/>
          <w:color w:val="000000"/>
          <w:sz w:val="28"/>
          <w:szCs w:val="28"/>
        </w:rPr>
      </w:pPr>
      <w:r w:rsidRPr="003B10E2">
        <w:rPr>
          <w:rFonts w:ascii="Times New Roman" w:hAnsi="Times New Roman"/>
          <w:color w:val="000000"/>
          <w:sz w:val="28"/>
          <w:szCs w:val="28"/>
        </w:rPr>
        <w:t>- с</w:t>
      </w:r>
      <w:r w:rsidR="00BD245A" w:rsidRPr="003B10E2">
        <w:rPr>
          <w:rFonts w:ascii="Times New Roman" w:hAnsi="Times New Roman"/>
          <w:color w:val="000000"/>
          <w:sz w:val="28"/>
          <w:szCs w:val="28"/>
        </w:rPr>
        <w:t xml:space="preserve"> ростом количества блага, которым располагает инвестор, растет общая полезность, но при этом темп увеличен</w:t>
      </w:r>
      <w:r w:rsidRPr="003B10E2">
        <w:rPr>
          <w:rFonts w:ascii="Times New Roman" w:hAnsi="Times New Roman"/>
          <w:color w:val="000000"/>
          <w:sz w:val="28"/>
          <w:szCs w:val="28"/>
        </w:rPr>
        <w:t>ия общей полезности замедляется;</w:t>
      </w:r>
    </w:p>
    <w:p w14:paraId="4110FC97" w14:textId="77777777" w:rsidR="00BD245A" w:rsidRPr="003B10E2" w:rsidRDefault="00BA6B54" w:rsidP="00BA6B54">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м</w:t>
      </w:r>
      <w:r w:rsidR="00BD245A" w:rsidRPr="003B10E2">
        <w:rPr>
          <w:rFonts w:ascii="Times New Roman" w:hAnsi="Times New Roman"/>
          <w:color w:val="000000"/>
          <w:sz w:val="28"/>
          <w:szCs w:val="28"/>
        </w:rPr>
        <w:t>аксими</w:t>
      </w:r>
      <w:r w:rsidRPr="003B10E2">
        <w:rPr>
          <w:rFonts w:ascii="Times New Roman" w:hAnsi="Times New Roman"/>
          <w:color w:val="000000"/>
          <w:sz w:val="28"/>
          <w:szCs w:val="28"/>
        </w:rPr>
        <w:t>зация доходности инвестирования;</w:t>
      </w:r>
    </w:p>
    <w:p w14:paraId="43B6FDDB" w14:textId="77777777" w:rsidR="00BD245A" w:rsidRPr="003B10E2" w:rsidRDefault="00523AFD" w:rsidP="00523AFD">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и</w:t>
      </w:r>
      <w:r w:rsidR="00BD245A" w:rsidRPr="003B10E2">
        <w:rPr>
          <w:rFonts w:ascii="Times New Roman" w:hAnsi="Times New Roman"/>
          <w:color w:val="000000"/>
          <w:sz w:val="28"/>
          <w:szCs w:val="28"/>
        </w:rPr>
        <w:t>нвестор покупает финансовые активы с целью получения дох</w:t>
      </w:r>
      <w:r w:rsidR="00BA6B54" w:rsidRPr="003B10E2">
        <w:rPr>
          <w:rFonts w:ascii="Times New Roman" w:hAnsi="Times New Roman"/>
          <w:color w:val="000000"/>
          <w:sz w:val="28"/>
          <w:szCs w:val="28"/>
        </w:rPr>
        <w:t>ода и сохранения;</w:t>
      </w:r>
    </w:p>
    <w:p w14:paraId="5E359299" w14:textId="77777777" w:rsidR="00BD245A" w:rsidRPr="003B10E2" w:rsidRDefault="00523AFD" w:rsidP="00523AFD">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и</w:t>
      </w:r>
      <w:r w:rsidR="00BD245A" w:rsidRPr="003B10E2">
        <w:rPr>
          <w:rFonts w:ascii="Times New Roman" w:hAnsi="Times New Roman"/>
          <w:color w:val="000000"/>
          <w:sz w:val="28"/>
          <w:szCs w:val="28"/>
        </w:rPr>
        <w:t>нвестор получает одинаковое удовлетворение при одинаковой доходности инвестиций, направленных на приобретение каждого актива.</w:t>
      </w:r>
    </w:p>
    <w:p w14:paraId="4845E1D5" w14:textId="77777777" w:rsidR="00BD245A" w:rsidRPr="003B10E2" w:rsidRDefault="00BD245A" w:rsidP="00523AFD">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Недостатки:</w:t>
      </w:r>
    </w:p>
    <w:p w14:paraId="3BF57196" w14:textId="77777777" w:rsidR="00BD245A" w:rsidRPr="003B10E2" w:rsidRDefault="00523AFD" w:rsidP="00523AFD">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м</w:t>
      </w:r>
      <w:r w:rsidR="00BD245A" w:rsidRPr="003B10E2">
        <w:rPr>
          <w:rFonts w:ascii="Times New Roman" w:hAnsi="Times New Roman"/>
          <w:color w:val="000000"/>
          <w:sz w:val="28"/>
          <w:szCs w:val="28"/>
        </w:rPr>
        <w:t>одель основана исключительно на рациональном поведении инвесторов и не учитывает рыночные аномалии</w:t>
      </w:r>
      <w:r w:rsidR="00BA6B54" w:rsidRPr="003B10E2">
        <w:rPr>
          <w:rFonts w:ascii="Times New Roman" w:hAnsi="Times New Roman"/>
          <w:color w:val="000000"/>
          <w:sz w:val="28"/>
          <w:szCs w:val="28"/>
        </w:rPr>
        <w:t xml:space="preserve"> [401];</w:t>
      </w:r>
    </w:p>
    <w:p w14:paraId="52134CBA" w14:textId="77777777" w:rsidR="00BD245A" w:rsidRPr="003B10E2" w:rsidRDefault="00523AFD" w:rsidP="00523AFD">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т</w:t>
      </w:r>
      <w:r w:rsidR="00BD245A" w:rsidRPr="003B10E2">
        <w:rPr>
          <w:rFonts w:ascii="Times New Roman" w:hAnsi="Times New Roman"/>
          <w:color w:val="000000"/>
          <w:sz w:val="28"/>
          <w:szCs w:val="28"/>
        </w:rPr>
        <w:t>еория предполагает, что инвестор обладает всей необходимой для принятия решений информацией, вполне определенными вкусами и предпочтениями, что снимает проблему асимметричности информации. При этом не учитывается влияние источников получения инфор</w:t>
      </w:r>
      <w:r w:rsidR="00BA6B54" w:rsidRPr="003B10E2">
        <w:rPr>
          <w:rFonts w:ascii="Times New Roman" w:hAnsi="Times New Roman"/>
          <w:color w:val="000000"/>
          <w:sz w:val="28"/>
          <w:szCs w:val="28"/>
        </w:rPr>
        <w:t>мации [243];</w:t>
      </w:r>
      <w:r w:rsidR="00BD245A" w:rsidRPr="003B10E2">
        <w:rPr>
          <w:rFonts w:ascii="Times New Roman" w:hAnsi="Times New Roman"/>
          <w:color w:val="000000"/>
          <w:sz w:val="28"/>
          <w:szCs w:val="28"/>
        </w:rPr>
        <w:t xml:space="preserve"> </w:t>
      </w:r>
    </w:p>
    <w:p w14:paraId="49734F1D" w14:textId="77777777" w:rsidR="00BD245A" w:rsidRPr="003B10E2" w:rsidRDefault="00523AFD" w:rsidP="00523AFD">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т</w:t>
      </w:r>
      <w:r w:rsidR="00BD245A" w:rsidRPr="003B10E2">
        <w:rPr>
          <w:rFonts w:ascii="Times New Roman" w:hAnsi="Times New Roman"/>
          <w:color w:val="000000"/>
          <w:sz w:val="28"/>
          <w:szCs w:val="28"/>
        </w:rPr>
        <w:t>еория не изучает причины структурных изменений на рынках.</w:t>
      </w:r>
    </w:p>
    <w:p w14:paraId="67AEF9AD" w14:textId="77777777" w:rsidR="00BD245A" w:rsidRPr="003B10E2" w:rsidRDefault="00BD245A" w:rsidP="00BD245A">
      <w:pPr>
        <w:pStyle w:val="aff8"/>
        <w:spacing w:after="0" w:line="360" w:lineRule="auto"/>
        <w:ind w:left="0"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Убывающая полезность богатства, вероятно, объясняет </w:t>
      </w:r>
      <w:r w:rsidR="00D32EE3" w:rsidRPr="003B10E2">
        <w:rPr>
          <w:rFonts w:ascii="Times New Roman" w:hAnsi="Times New Roman"/>
          <w:color w:val="000000"/>
          <w:sz w:val="28"/>
          <w:szCs w:val="28"/>
        </w:rPr>
        <w:t>неприятие</w:t>
      </w:r>
      <w:r w:rsidRPr="003B10E2">
        <w:rPr>
          <w:rFonts w:ascii="Times New Roman" w:hAnsi="Times New Roman"/>
          <w:color w:val="000000"/>
          <w:sz w:val="28"/>
          <w:szCs w:val="28"/>
        </w:rPr>
        <w:t xml:space="preserve"> риск</w:t>
      </w:r>
      <w:r w:rsidR="00D32EE3" w:rsidRPr="003B10E2">
        <w:rPr>
          <w:rFonts w:ascii="Times New Roman" w:hAnsi="Times New Roman"/>
          <w:color w:val="000000"/>
          <w:sz w:val="28"/>
          <w:szCs w:val="28"/>
        </w:rPr>
        <w:t>а</w:t>
      </w:r>
      <w:r w:rsidRPr="003B10E2">
        <w:rPr>
          <w:rFonts w:ascii="Times New Roman" w:hAnsi="Times New Roman"/>
          <w:color w:val="000000"/>
          <w:sz w:val="28"/>
          <w:szCs w:val="28"/>
        </w:rPr>
        <w:t xml:space="preserve"> [184]. </w:t>
      </w:r>
    </w:p>
    <w:p w14:paraId="3EAD6280" w14:textId="77777777" w:rsidR="00BD245A" w:rsidRPr="003B10E2" w:rsidRDefault="00BD245A" w:rsidP="00523AFD">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Теория полезности стала предтечей появле</w:t>
      </w:r>
      <w:r w:rsidR="00523AFD" w:rsidRPr="003B10E2">
        <w:rPr>
          <w:rFonts w:ascii="Times New Roman" w:hAnsi="Times New Roman"/>
          <w:color w:val="000000"/>
          <w:sz w:val="28"/>
          <w:szCs w:val="28"/>
        </w:rPr>
        <w:t>ния новой поведенческой теории.</w:t>
      </w:r>
    </w:p>
    <w:p w14:paraId="1CA89D9F" w14:textId="77777777" w:rsidR="00BD245A" w:rsidRPr="003B10E2" w:rsidRDefault="00BD245A" w:rsidP="005C0795">
      <w:pPr>
        <w:spacing w:after="0" w:line="360" w:lineRule="auto"/>
        <w:ind w:firstLine="851"/>
        <w:contextualSpacing/>
        <w:rPr>
          <w:rFonts w:ascii="Times New Roman" w:hAnsi="Times New Roman"/>
          <w:color w:val="000000"/>
          <w:sz w:val="28"/>
          <w:szCs w:val="28"/>
        </w:rPr>
      </w:pPr>
      <w:r w:rsidRPr="003B10E2">
        <w:rPr>
          <w:rFonts w:ascii="Times New Roman" w:hAnsi="Times New Roman"/>
          <w:color w:val="000000"/>
          <w:sz w:val="28"/>
          <w:szCs w:val="28"/>
        </w:rPr>
        <w:t>Поведенческая теория (</w:t>
      </w:r>
      <w:r w:rsidR="00523AFD" w:rsidRPr="003B10E2">
        <w:rPr>
          <w:rFonts w:ascii="Times New Roman" w:hAnsi="Times New Roman"/>
          <w:color w:val="000000"/>
          <w:sz w:val="28"/>
          <w:szCs w:val="28"/>
        </w:rPr>
        <w:t xml:space="preserve">Д. </w:t>
      </w:r>
      <w:r w:rsidRPr="003B10E2">
        <w:rPr>
          <w:rFonts w:ascii="Times New Roman" w:hAnsi="Times New Roman"/>
          <w:color w:val="000000"/>
          <w:sz w:val="28"/>
          <w:szCs w:val="28"/>
        </w:rPr>
        <w:t xml:space="preserve">Канеман и </w:t>
      </w:r>
      <w:r w:rsidR="00523AFD" w:rsidRPr="003B10E2">
        <w:rPr>
          <w:rFonts w:ascii="Times New Roman" w:hAnsi="Times New Roman"/>
          <w:color w:val="000000"/>
          <w:sz w:val="28"/>
          <w:szCs w:val="28"/>
        </w:rPr>
        <w:t xml:space="preserve">А. </w:t>
      </w:r>
      <w:r w:rsidRPr="003B10E2">
        <w:rPr>
          <w:rFonts w:ascii="Times New Roman" w:hAnsi="Times New Roman"/>
          <w:color w:val="000000"/>
          <w:sz w:val="28"/>
          <w:szCs w:val="28"/>
        </w:rPr>
        <w:t>Тверски)</w:t>
      </w:r>
      <w:r w:rsidR="005C0795" w:rsidRPr="003B10E2">
        <w:rPr>
          <w:rFonts w:ascii="Times New Roman" w:hAnsi="Times New Roman"/>
          <w:color w:val="000000"/>
          <w:sz w:val="28"/>
          <w:szCs w:val="28"/>
        </w:rPr>
        <w:t xml:space="preserve"> [</w:t>
      </w:r>
      <w:r w:rsidR="00D544C1" w:rsidRPr="003B10E2">
        <w:rPr>
          <w:rFonts w:ascii="Times New Roman" w:hAnsi="Times New Roman"/>
          <w:color w:val="000000"/>
          <w:sz w:val="28"/>
          <w:szCs w:val="28"/>
        </w:rPr>
        <w:t>231</w:t>
      </w:r>
      <w:r w:rsidR="005C0795" w:rsidRPr="003B10E2">
        <w:rPr>
          <w:rFonts w:ascii="Times New Roman" w:hAnsi="Times New Roman"/>
          <w:color w:val="000000"/>
          <w:sz w:val="28"/>
          <w:szCs w:val="28"/>
        </w:rPr>
        <w:t>].</w:t>
      </w:r>
    </w:p>
    <w:p w14:paraId="0BB39D6E"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Некоторые аспекты рынков нельзя объяснить с точки зрения вышеприведенных теорий. Например, рынки развивающихся стран панически реагируют на негативные события на глобальных рынках [213]. </w:t>
      </w:r>
    </w:p>
    <w:p w14:paraId="04AB2F13"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При этом причины обвалов последних лет на мировом финансовом рынке, в том числе в развивающихся рынках, можно объяснить с точки зрения неоинституционализма. Финансовые рынки развивающихся стран можно считать производными рынков развитых стран, так как нормативная база, принципы регулирования и институты целиком заимствованы из опыта развитых рынков [230]. </w:t>
      </w:r>
    </w:p>
    <w:p w14:paraId="3639A287" w14:textId="77777777" w:rsidR="00BD245A" w:rsidRPr="003B10E2" w:rsidRDefault="00523AFD"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Д. </w:t>
      </w:r>
      <w:r w:rsidR="00BD245A" w:rsidRPr="003B10E2">
        <w:rPr>
          <w:rFonts w:ascii="Times New Roman" w:hAnsi="Times New Roman"/>
          <w:color w:val="000000"/>
          <w:sz w:val="28"/>
          <w:szCs w:val="28"/>
        </w:rPr>
        <w:t>Канеман также обнаружил, что человеческий рассудок принимает эвристические ярлыки, которые систематически расходятся с основными принципами теории вероятности [298]. Его работы вдохновили на формирование новых исследовательских проектов на основе психологии [311].</w:t>
      </w:r>
    </w:p>
    <w:p w14:paraId="5C1CD87A"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Основные постулаты:</w:t>
      </w:r>
    </w:p>
    <w:p w14:paraId="59A9AC71" w14:textId="77777777" w:rsidR="00BD245A" w:rsidRPr="003B10E2" w:rsidRDefault="00523AFD" w:rsidP="00523AFD">
      <w:pPr>
        <w:pStyle w:val="aff8"/>
        <w:spacing w:after="0" w:line="360" w:lineRule="auto"/>
        <w:ind w:left="0"/>
        <w:jc w:val="both"/>
        <w:rPr>
          <w:rFonts w:ascii="Times New Roman" w:hAnsi="Times New Roman"/>
          <w:color w:val="000000"/>
          <w:sz w:val="28"/>
          <w:szCs w:val="28"/>
        </w:rPr>
      </w:pPr>
      <w:r w:rsidRPr="003B10E2">
        <w:rPr>
          <w:rFonts w:ascii="Times New Roman" w:hAnsi="Times New Roman"/>
          <w:color w:val="000000"/>
          <w:sz w:val="28"/>
          <w:szCs w:val="28"/>
        </w:rPr>
        <w:t>- и</w:t>
      </w:r>
      <w:r w:rsidR="00BD245A" w:rsidRPr="003B10E2">
        <w:rPr>
          <w:rFonts w:ascii="Times New Roman" w:hAnsi="Times New Roman"/>
          <w:color w:val="000000"/>
          <w:sz w:val="28"/>
          <w:szCs w:val="28"/>
        </w:rPr>
        <w:t>ндивидуумы и группы индивидуумов сочетают в себе ра</w:t>
      </w:r>
      <w:r w:rsidRPr="003B10E2">
        <w:rPr>
          <w:rFonts w:ascii="Times New Roman" w:hAnsi="Times New Roman"/>
          <w:color w:val="000000"/>
          <w:sz w:val="28"/>
          <w:szCs w:val="28"/>
        </w:rPr>
        <w:t>циональность и иррациональность;</w:t>
      </w:r>
    </w:p>
    <w:p w14:paraId="5D494902" w14:textId="77777777" w:rsidR="00BD245A" w:rsidRPr="003B10E2" w:rsidRDefault="00523AFD" w:rsidP="00523AFD">
      <w:pPr>
        <w:pStyle w:val="aff8"/>
        <w:spacing w:after="0" w:line="360" w:lineRule="auto"/>
        <w:ind w:left="0"/>
        <w:jc w:val="both"/>
        <w:rPr>
          <w:rFonts w:ascii="Times New Roman" w:hAnsi="Times New Roman"/>
          <w:color w:val="000000"/>
          <w:sz w:val="28"/>
          <w:szCs w:val="28"/>
        </w:rPr>
      </w:pPr>
      <w:r w:rsidRPr="003B10E2">
        <w:rPr>
          <w:rFonts w:ascii="Times New Roman" w:hAnsi="Times New Roman"/>
          <w:color w:val="000000"/>
          <w:sz w:val="28"/>
          <w:szCs w:val="28"/>
        </w:rPr>
        <w:t>- п</w:t>
      </w:r>
      <w:r w:rsidR="00BD245A" w:rsidRPr="003B10E2">
        <w:rPr>
          <w:rFonts w:ascii="Times New Roman" w:hAnsi="Times New Roman"/>
          <w:color w:val="000000"/>
          <w:sz w:val="28"/>
          <w:szCs w:val="28"/>
        </w:rPr>
        <w:t>ри оценке инвестиций лицо, принимающее решение, рассматривает «эталонный уровень доходности». Затем результаты сравниваются с контрольной точкой и классифицируются как «выгоды», если они превышают эталон, и «п</w:t>
      </w:r>
      <w:r w:rsidRPr="003B10E2">
        <w:rPr>
          <w:rFonts w:ascii="Times New Roman" w:hAnsi="Times New Roman"/>
          <w:color w:val="000000"/>
          <w:sz w:val="28"/>
          <w:szCs w:val="28"/>
        </w:rPr>
        <w:t>отери», если они ниже его [273];</w:t>
      </w:r>
    </w:p>
    <w:p w14:paraId="5F82C963" w14:textId="77777777" w:rsidR="00BD245A" w:rsidRPr="003B10E2" w:rsidRDefault="00523AFD" w:rsidP="00523AFD">
      <w:pPr>
        <w:pStyle w:val="aff8"/>
        <w:spacing w:after="0" w:line="360" w:lineRule="auto"/>
        <w:ind w:left="0"/>
        <w:jc w:val="both"/>
        <w:rPr>
          <w:rFonts w:ascii="Times New Roman" w:hAnsi="Times New Roman"/>
          <w:color w:val="000000"/>
          <w:sz w:val="28"/>
          <w:szCs w:val="28"/>
        </w:rPr>
      </w:pPr>
      <w:r w:rsidRPr="003B10E2">
        <w:rPr>
          <w:rFonts w:ascii="Times New Roman" w:hAnsi="Times New Roman"/>
          <w:color w:val="000000"/>
          <w:sz w:val="28"/>
          <w:szCs w:val="28"/>
        </w:rPr>
        <w:t>- п</w:t>
      </w:r>
      <w:r w:rsidR="00BD245A" w:rsidRPr="003B10E2">
        <w:rPr>
          <w:rFonts w:ascii="Times New Roman" w:hAnsi="Times New Roman"/>
          <w:color w:val="000000"/>
          <w:sz w:val="28"/>
          <w:szCs w:val="28"/>
        </w:rPr>
        <w:t>отери инвесторов избегаются в большей степени, чем принимаются эквивалентные выгоды. Потери наносят психологический ущерб примерно в 2 раза больше, чем экв</w:t>
      </w:r>
      <w:r w:rsidRPr="003B10E2">
        <w:rPr>
          <w:rFonts w:ascii="Times New Roman" w:hAnsi="Times New Roman"/>
          <w:color w:val="000000"/>
          <w:sz w:val="28"/>
          <w:szCs w:val="28"/>
        </w:rPr>
        <w:t>ивалентное вознаграждение [293];</w:t>
      </w:r>
      <w:r w:rsidR="00BD245A" w:rsidRPr="003B10E2">
        <w:rPr>
          <w:rFonts w:ascii="Times New Roman" w:hAnsi="Times New Roman"/>
          <w:color w:val="000000"/>
          <w:sz w:val="28"/>
          <w:szCs w:val="28"/>
        </w:rPr>
        <w:t xml:space="preserve"> </w:t>
      </w:r>
    </w:p>
    <w:p w14:paraId="3774B7E0" w14:textId="77777777" w:rsidR="00BD245A" w:rsidRPr="003B10E2" w:rsidRDefault="00523AFD" w:rsidP="00523AFD">
      <w:pPr>
        <w:pStyle w:val="aff8"/>
        <w:spacing w:after="0" w:line="360" w:lineRule="auto"/>
        <w:ind w:left="0"/>
        <w:jc w:val="both"/>
        <w:rPr>
          <w:rFonts w:ascii="Times New Roman" w:hAnsi="Times New Roman"/>
          <w:color w:val="000000"/>
          <w:sz w:val="28"/>
          <w:szCs w:val="28"/>
        </w:rPr>
      </w:pPr>
      <w:r w:rsidRPr="003B10E2">
        <w:rPr>
          <w:rFonts w:ascii="Times New Roman" w:hAnsi="Times New Roman"/>
          <w:color w:val="000000"/>
          <w:sz w:val="28"/>
          <w:szCs w:val="28"/>
        </w:rPr>
        <w:t>- в</w:t>
      </w:r>
      <w:r w:rsidR="00BD245A" w:rsidRPr="003B10E2">
        <w:rPr>
          <w:rFonts w:ascii="Times New Roman" w:hAnsi="Times New Roman"/>
          <w:color w:val="000000"/>
          <w:sz w:val="28"/>
          <w:szCs w:val="28"/>
        </w:rPr>
        <w:t>осприятие инвесторами вероятности приятных событий переоценено, а восприятие вероятности неприятных — недооценено, что приводит к форме функции плотности вероятности в виде буквы «S» [321].</w:t>
      </w:r>
    </w:p>
    <w:p w14:paraId="13BEEF35" w14:textId="77777777" w:rsidR="00BD245A" w:rsidRPr="003B10E2" w:rsidRDefault="00BD245A" w:rsidP="00BD245A">
      <w:pPr>
        <w:pStyle w:val="aff8"/>
        <w:spacing w:after="0" w:line="360" w:lineRule="auto"/>
        <w:ind w:left="0" w:firstLine="851"/>
        <w:jc w:val="both"/>
        <w:rPr>
          <w:rFonts w:ascii="Times New Roman" w:hAnsi="Times New Roman"/>
          <w:color w:val="000000"/>
          <w:sz w:val="28"/>
          <w:szCs w:val="28"/>
        </w:rPr>
      </w:pPr>
      <w:r w:rsidRPr="003B10E2">
        <w:rPr>
          <w:rFonts w:ascii="Times New Roman" w:hAnsi="Times New Roman"/>
          <w:color w:val="000000"/>
          <w:sz w:val="28"/>
          <w:szCs w:val="28"/>
        </w:rPr>
        <w:t>Недостатки:</w:t>
      </w:r>
    </w:p>
    <w:p w14:paraId="1EEB8E23" w14:textId="77777777" w:rsidR="00BD245A" w:rsidRPr="003B10E2" w:rsidRDefault="00523AFD" w:rsidP="00523AFD">
      <w:pPr>
        <w:pStyle w:val="aff8"/>
        <w:spacing w:after="0" w:line="360" w:lineRule="auto"/>
        <w:ind w:left="0"/>
        <w:jc w:val="both"/>
        <w:rPr>
          <w:rFonts w:ascii="Times New Roman" w:hAnsi="Times New Roman"/>
          <w:color w:val="000000"/>
          <w:sz w:val="28"/>
          <w:szCs w:val="28"/>
        </w:rPr>
      </w:pPr>
      <w:r w:rsidRPr="003B10E2">
        <w:rPr>
          <w:rFonts w:ascii="Times New Roman" w:hAnsi="Times New Roman"/>
          <w:color w:val="000000"/>
          <w:sz w:val="28"/>
          <w:szCs w:val="28"/>
        </w:rPr>
        <w:t>- т</w:t>
      </w:r>
      <w:r w:rsidR="00BD245A" w:rsidRPr="003B10E2">
        <w:rPr>
          <w:rFonts w:ascii="Times New Roman" w:hAnsi="Times New Roman"/>
          <w:color w:val="000000"/>
          <w:sz w:val="28"/>
          <w:szCs w:val="28"/>
        </w:rPr>
        <w:t xml:space="preserve">еория отрицает, что обучение инвесторов обеспечивает близкое приближение </w:t>
      </w:r>
      <w:r w:rsidRPr="003B10E2">
        <w:rPr>
          <w:rFonts w:ascii="Times New Roman" w:hAnsi="Times New Roman"/>
          <w:color w:val="000000"/>
          <w:sz w:val="28"/>
          <w:szCs w:val="28"/>
        </w:rPr>
        <w:t>к рациональному поведению [273];</w:t>
      </w:r>
    </w:p>
    <w:p w14:paraId="4DB88BF0" w14:textId="77777777" w:rsidR="00BD245A" w:rsidRPr="003B10E2" w:rsidRDefault="00523AFD" w:rsidP="00523AFD">
      <w:pPr>
        <w:pStyle w:val="aff8"/>
        <w:spacing w:after="0" w:line="360" w:lineRule="auto"/>
        <w:ind w:left="0"/>
        <w:jc w:val="both"/>
        <w:rPr>
          <w:rFonts w:ascii="Times New Roman" w:hAnsi="Times New Roman"/>
          <w:color w:val="000000"/>
          <w:sz w:val="28"/>
          <w:szCs w:val="28"/>
        </w:rPr>
      </w:pPr>
      <w:r w:rsidRPr="003B10E2">
        <w:rPr>
          <w:rFonts w:ascii="Times New Roman" w:hAnsi="Times New Roman"/>
          <w:color w:val="000000"/>
          <w:sz w:val="28"/>
          <w:szCs w:val="28"/>
        </w:rPr>
        <w:t>- п</w:t>
      </w:r>
      <w:r w:rsidR="00BD245A" w:rsidRPr="003B10E2">
        <w:rPr>
          <w:rFonts w:ascii="Times New Roman" w:hAnsi="Times New Roman"/>
          <w:color w:val="000000"/>
          <w:sz w:val="28"/>
          <w:szCs w:val="28"/>
        </w:rPr>
        <w:t>ри помощи эксперимента или опроса нельзя полностью объяснить поведение инвесторов на рынк</w:t>
      </w:r>
      <w:r w:rsidRPr="003B10E2">
        <w:rPr>
          <w:rFonts w:ascii="Times New Roman" w:hAnsi="Times New Roman"/>
          <w:color w:val="000000"/>
          <w:sz w:val="28"/>
          <w:szCs w:val="28"/>
        </w:rPr>
        <w:t>е [293];</w:t>
      </w:r>
    </w:p>
    <w:p w14:paraId="3BDD4B02" w14:textId="77777777" w:rsidR="00BD245A" w:rsidRPr="003B10E2" w:rsidRDefault="00523AFD" w:rsidP="00523AFD">
      <w:pPr>
        <w:pStyle w:val="aff8"/>
        <w:spacing w:after="0" w:line="360" w:lineRule="auto"/>
        <w:ind w:left="0"/>
        <w:jc w:val="both"/>
        <w:rPr>
          <w:rFonts w:ascii="Times New Roman" w:hAnsi="Times New Roman"/>
          <w:color w:val="000000"/>
          <w:sz w:val="28"/>
          <w:szCs w:val="28"/>
        </w:rPr>
      </w:pPr>
      <w:r w:rsidRPr="003B10E2">
        <w:rPr>
          <w:rFonts w:ascii="Times New Roman" w:hAnsi="Times New Roman"/>
          <w:color w:val="000000"/>
          <w:sz w:val="28"/>
          <w:szCs w:val="28"/>
        </w:rPr>
        <w:t>- т</w:t>
      </w:r>
      <w:r w:rsidR="00BD245A" w:rsidRPr="003B10E2">
        <w:rPr>
          <w:rFonts w:ascii="Times New Roman" w:hAnsi="Times New Roman"/>
          <w:color w:val="000000"/>
          <w:sz w:val="28"/>
          <w:szCs w:val="28"/>
        </w:rPr>
        <w:t>еория показывает эффекты отклонения цен от стандартных экономических моделей, но не дает понимания поведения инвесторов [175].</w:t>
      </w:r>
    </w:p>
    <w:p w14:paraId="339356E1"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Экономические модели, используемые в поведенческих финансах, основаны на поведении индивидуального или коллективного инвестора. </w:t>
      </w:r>
    </w:p>
    <w:p w14:paraId="3678D6B2"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Теория поведенческих микрофинансов изучает поведение индивидуальных инвесторов, которое отличается от рационального, предусмотренного в классической экономической теории [260].</w:t>
      </w:r>
    </w:p>
    <w:p w14:paraId="54D14627"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Теория поведенческих макрофинансов использует аномалии с точки зрения гипотезы эффективности рынка с применением моделей поведения [142].</w:t>
      </w:r>
    </w:p>
    <w:p w14:paraId="7B7D17B0"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Значительная часть инвестиционных теорий основана на понятии, что люди д</w:t>
      </w:r>
      <w:r w:rsidR="00F25DF5" w:rsidRPr="003B10E2">
        <w:rPr>
          <w:rFonts w:ascii="Times New Roman" w:hAnsi="Times New Roman"/>
          <w:color w:val="000000"/>
          <w:sz w:val="28"/>
          <w:szCs w:val="28"/>
        </w:rPr>
        <w:t>ействуют рационально и учитывают</w:t>
      </w:r>
      <w:r w:rsidRPr="003B10E2">
        <w:rPr>
          <w:rFonts w:ascii="Times New Roman" w:hAnsi="Times New Roman"/>
          <w:color w:val="000000"/>
          <w:sz w:val="28"/>
          <w:szCs w:val="28"/>
        </w:rPr>
        <w:t xml:space="preserve"> всю имеющуюся информацию в процессе принятия ре</w:t>
      </w:r>
      <w:r w:rsidR="00F25DF5" w:rsidRPr="003B10E2">
        <w:rPr>
          <w:rFonts w:ascii="Times New Roman" w:hAnsi="Times New Roman"/>
          <w:color w:val="000000"/>
          <w:sz w:val="28"/>
          <w:szCs w:val="28"/>
        </w:rPr>
        <w:t xml:space="preserve">шений. В научных исследованиях ученые </w:t>
      </w:r>
      <w:r w:rsidRPr="003B10E2">
        <w:rPr>
          <w:rFonts w:ascii="Times New Roman" w:hAnsi="Times New Roman"/>
          <w:color w:val="000000"/>
          <w:sz w:val="28"/>
          <w:szCs w:val="28"/>
        </w:rPr>
        <w:t>подтверждают многочисленные свидетельства иррационального поведения и повторяющихся ошибок участников рынков.</w:t>
      </w:r>
    </w:p>
    <w:p w14:paraId="0902ACC2"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Кла</w:t>
      </w:r>
      <w:r w:rsidR="00F25DF5" w:rsidRPr="003B10E2">
        <w:rPr>
          <w:rFonts w:ascii="Times New Roman" w:hAnsi="Times New Roman"/>
          <w:color w:val="000000"/>
          <w:sz w:val="28"/>
          <w:szCs w:val="28"/>
        </w:rPr>
        <w:t>ссические инвестиционные теории в основном</w:t>
      </w:r>
      <w:r w:rsidRPr="003B10E2">
        <w:rPr>
          <w:rFonts w:ascii="Times New Roman" w:hAnsi="Times New Roman"/>
          <w:color w:val="000000"/>
          <w:sz w:val="28"/>
          <w:szCs w:val="28"/>
        </w:rPr>
        <w:t xml:space="preserve"> строятся на правилах о том, как инвесторы «должны» себя вести, а не на фактическом поведении [230]. Поведенческие финансы пытаются выявить и изучить психологические феномены на финансовых рынках [153]. </w:t>
      </w:r>
    </w:p>
    <w:p w14:paraId="46AA3EA8"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Поведенческая теория находит все больше сторонников после</w:t>
      </w:r>
      <w:r w:rsidR="00523AFD" w:rsidRPr="003B10E2">
        <w:rPr>
          <w:rFonts w:ascii="Times New Roman" w:hAnsi="Times New Roman"/>
          <w:color w:val="000000"/>
          <w:sz w:val="28"/>
          <w:szCs w:val="28"/>
        </w:rPr>
        <w:t xml:space="preserve"> кризисов 2000, 2008, 2014 гг.</w:t>
      </w:r>
      <w:r w:rsidRPr="003B10E2">
        <w:rPr>
          <w:rFonts w:ascii="Times New Roman" w:hAnsi="Times New Roman"/>
          <w:color w:val="000000"/>
          <w:sz w:val="28"/>
          <w:szCs w:val="28"/>
        </w:rPr>
        <w:t xml:space="preserve"> [119, 270]. </w:t>
      </w:r>
    </w:p>
    <w:p w14:paraId="0C328502"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Поведенческая теория учитывает рефлексивность рынков. Термин «рефлексивность» означает циклические связи между причиной и следствием. Рефлексивные связи являются двунаправленными и влияют друг на друга, при этом трудно определить, что является причиной и что следствием [328]. </w:t>
      </w:r>
    </w:p>
    <w:p w14:paraId="09254644"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В экономике «рефлексивность» означает усиливающийся эффект от действий участников рынка, в котором растущие цены привлекают покупателей [264]. При этом действия покупателей двигают цены еще выше до тех пор, пока этот процесс не становится устойчивым. Этот же процесс работает в обратном порядке и ведет к катастрофическому обвалу цен на финансовые активы во время кризисов. Рефлексивность представляет проблему для науки, потому что, если предсказание может привести к изменениям в системе, на основе которой оно сделано, становится трудно оценить научные гипотезы путем сравнения предсказаний [243, 264, 283].</w:t>
      </w:r>
    </w:p>
    <w:p w14:paraId="76055C71"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Таким образом, теоретические основы исследования инвестиционного поведения должны включа</w:t>
      </w:r>
      <w:r w:rsidR="00F25DF5" w:rsidRPr="003B10E2">
        <w:rPr>
          <w:rFonts w:ascii="Times New Roman" w:hAnsi="Times New Roman"/>
          <w:color w:val="000000"/>
          <w:sz w:val="28"/>
          <w:szCs w:val="28"/>
        </w:rPr>
        <w:t xml:space="preserve">ть методы поведенческой теории </w:t>
      </w:r>
      <w:r w:rsidRPr="003B10E2">
        <w:rPr>
          <w:rFonts w:ascii="Times New Roman" w:hAnsi="Times New Roman"/>
          <w:color w:val="000000"/>
          <w:sz w:val="28"/>
          <w:szCs w:val="28"/>
        </w:rPr>
        <w:t>как наиболее перспективной полной концепции для изучения структурных изменений и инвестиционных стратегий. Некоторые аспекты теории рефлексивности также могут быть использованы для моделирования волатильности активов на рынках капитала.</w:t>
      </w:r>
    </w:p>
    <w:p w14:paraId="46B84EAA" w14:textId="77777777" w:rsidR="00523AFD" w:rsidRPr="003B10E2" w:rsidRDefault="00523AFD" w:rsidP="005C0795">
      <w:pPr>
        <w:spacing w:after="0" w:line="360" w:lineRule="auto"/>
        <w:contextualSpacing/>
        <w:jc w:val="both"/>
        <w:rPr>
          <w:rFonts w:ascii="Times New Roman" w:hAnsi="Times New Roman"/>
          <w:color w:val="000000"/>
          <w:sz w:val="28"/>
          <w:szCs w:val="28"/>
        </w:rPr>
      </w:pPr>
    </w:p>
    <w:p w14:paraId="27AEB417" w14:textId="77777777" w:rsidR="00BD245A" w:rsidRPr="003B10E2" w:rsidRDefault="00BD245A" w:rsidP="00523AFD">
      <w:pPr>
        <w:spacing w:after="0" w:line="360" w:lineRule="auto"/>
        <w:ind w:firstLine="708"/>
        <w:contextualSpacing/>
        <w:jc w:val="both"/>
        <w:rPr>
          <w:rFonts w:ascii="Times New Roman" w:hAnsi="Times New Roman"/>
          <w:b/>
          <w:bCs/>
          <w:color w:val="000000"/>
          <w:sz w:val="28"/>
          <w:szCs w:val="28"/>
        </w:rPr>
      </w:pPr>
      <w:r w:rsidRPr="003B10E2">
        <w:rPr>
          <w:rFonts w:ascii="Times New Roman" w:hAnsi="Times New Roman"/>
          <w:b/>
          <w:bCs/>
          <w:color w:val="000000"/>
          <w:sz w:val="28"/>
          <w:szCs w:val="28"/>
        </w:rPr>
        <w:t>1</w:t>
      </w:r>
      <w:bookmarkStart w:id="74" w:name="_Toc497174579"/>
      <w:bookmarkStart w:id="75" w:name="_Toc497174652"/>
      <w:bookmarkStart w:id="76" w:name="_Toc497225948"/>
      <w:bookmarkStart w:id="77" w:name="_Toc497226236"/>
      <w:bookmarkStart w:id="78" w:name="_Toc497226340"/>
      <w:bookmarkStart w:id="79" w:name="_Toc497226907"/>
      <w:bookmarkStart w:id="80" w:name="_Toc497227184"/>
      <w:bookmarkStart w:id="81" w:name="_Toc497237365"/>
      <w:bookmarkStart w:id="82" w:name="_Toc500085711"/>
      <w:bookmarkStart w:id="83" w:name="_Toc502763356"/>
      <w:bookmarkStart w:id="84" w:name="_Toc503179430"/>
      <w:bookmarkStart w:id="85" w:name="_Toc523499795"/>
      <w:bookmarkStart w:id="86" w:name="_Toc530742358"/>
      <w:r w:rsidR="00523AFD" w:rsidRPr="003B10E2">
        <w:rPr>
          <w:rFonts w:ascii="Times New Roman" w:hAnsi="Times New Roman"/>
          <w:b/>
          <w:bCs/>
          <w:color w:val="000000"/>
          <w:sz w:val="28"/>
          <w:szCs w:val="28"/>
        </w:rPr>
        <w:t>.3</w:t>
      </w:r>
      <w:r w:rsidRPr="003B10E2">
        <w:rPr>
          <w:rFonts w:ascii="Times New Roman" w:hAnsi="Times New Roman"/>
          <w:b/>
          <w:bCs/>
          <w:color w:val="000000"/>
          <w:sz w:val="28"/>
          <w:szCs w:val="28"/>
        </w:rPr>
        <w:t xml:space="preserve"> </w:t>
      </w:r>
      <w:bookmarkEnd w:id="74"/>
      <w:bookmarkEnd w:id="75"/>
      <w:bookmarkEnd w:id="76"/>
      <w:bookmarkEnd w:id="77"/>
      <w:bookmarkEnd w:id="78"/>
      <w:bookmarkEnd w:id="79"/>
      <w:bookmarkEnd w:id="80"/>
      <w:bookmarkEnd w:id="81"/>
      <w:bookmarkEnd w:id="82"/>
      <w:bookmarkEnd w:id="83"/>
      <w:bookmarkEnd w:id="84"/>
      <w:bookmarkEnd w:id="85"/>
      <w:bookmarkEnd w:id="86"/>
      <w:r w:rsidRPr="003B10E2">
        <w:rPr>
          <w:rFonts w:ascii="Times New Roman" w:hAnsi="Times New Roman"/>
          <w:b/>
          <w:bCs/>
          <w:color w:val="000000"/>
          <w:sz w:val="28"/>
          <w:szCs w:val="28"/>
        </w:rPr>
        <w:t>Поведенческий инструментарий для исследования структурных изменений</w:t>
      </w:r>
    </w:p>
    <w:p w14:paraId="743F9225" w14:textId="77777777" w:rsidR="00523AFD" w:rsidRPr="003B10E2" w:rsidRDefault="00523AFD" w:rsidP="00523AFD">
      <w:pPr>
        <w:spacing w:after="0" w:line="360" w:lineRule="auto"/>
        <w:ind w:firstLine="708"/>
        <w:contextualSpacing/>
        <w:jc w:val="both"/>
        <w:rPr>
          <w:rFonts w:ascii="Times New Roman" w:hAnsi="Times New Roman"/>
          <w:b/>
          <w:bCs/>
          <w:sz w:val="28"/>
          <w:szCs w:val="28"/>
        </w:rPr>
      </w:pPr>
    </w:p>
    <w:p w14:paraId="45D693B2"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Поведенческий инструментарий инвестиционной теории, используемый в работе, состоит из двух направлений: моделей долгой памяти </w:t>
      </w:r>
      <w:r w:rsidRPr="003B10E2">
        <w:rPr>
          <w:rFonts w:ascii="Times New Roman" w:hAnsi="Times New Roman"/>
          <w:color w:val="000000"/>
          <w:sz w:val="28"/>
          <w:szCs w:val="28"/>
          <w:lang w:val="en-US"/>
        </w:rPr>
        <w:t>GARCH</w:t>
      </w:r>
      <w:r w:rsidRPr="003B10E2">
        <w:rPr>
          <w:rFonts w:ascii="Times New Roman" w:hAnsi="Times New Roman"/>
          <w:color w:val="000000"/>
          <w:sz w:val="28"/>
          <w:szCs w:val="28"/>
        </w:rPr>
        <w:t xml:space="preserve"> и моделей поисковых запросов.</w:t>
      </w:r>
    </w:p>
    <w:p w14:paraId="53ECF00D" w14:textId="77777777" w:rsidR="00523AFD" w:rsidRPr="003B10E2" w:rsidRDefault="00BD245A" w:rsidP="00523AFD">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В рамках данной работы используется тезис, что рынки капитала связаны между собой перетоками волатильности (анализ приведен в следующей главе) и ликвидности (не рассматривается в рамках данной работы), поэтому модели долгой памяти могут быть использованы для поиска структурных сдвигов.</w:t>
      </w:r>
    </w:p>
    <w:p w14:paraId="43C1FB23" w14:textId="77777777" w:rsidR="00523AFD" w:rsidRPr="003B10E2" w:rsidRDefault="00523AFD" w:rsidP="00523AFD">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Переток волатильности — это отражение инвестиционного поведения, поэтому изучение этого явления входит в задачи </w:t>
      </w:r>
      <w:r w:rsidR="00044FE8" w:rsidRPr="003B10E2">
        <w:rPr>
          <w:rFonts w:ascii="Times New Roman" w:hAnsi="Times New Roman"/>
          <w:color w:val="000000"/>
          <w:sz w:val="28"/>
          <w:szCs w:val="28"/>
        </w:rPr>
        <w:t>поведенческой теории (р</w:t>
      </w:r>
      <w:r w:rsidRPr="003B10E2">
        <w:rPr>
          <w:rFonts w:ascii="Times New Roman" w:hAnsi="Times New Roman"/>
          <w:color w:val="000000"/>
          <w:sz w:val="28"/>
          <w:szCs w:val="28"/>
        </w:rPr>
        <w:t>исунок 3).</w:t>
      </w:r>
    </w:p>
    <w:p w14:paraId="03CC5472" w14:textId="77777777" w:rsidR="00523AFD" w:rsidRPr="003B10E2" w:rsidRDefault="00C72198" w:rsidP="00455549">
      <w:pPr>
        <w:spacing w:after="0" w:line="240" w:lineRule="auto"/>
        <w:ind w:firstLine="851"/>
        <w:contextualSpacing/>
        <w:jc w:val="center"/>
        <w:rPr>
          <w:rFonts w:ascii="Times New Roman" w:hAnsi="Times New Roman"/>
          <w:color w:val="000000"/>
          <w:sz w:val="24"/>
          <w:szCs w:val="24"/>
        </w:rPr>
      </w:pPr>
      <w:r w:rsidRPr="003B10E2">
        <w:rPr>
          <w:noProof/>
        </w:rPr>
        <w:drawing>
          <wp:anchor distT="0" distB="0" distL="114300" distR="114300" simplePos="0" relativeHeight="251640320" behindDoc="0" locked="0" layoutInCell="1" allowOverlap="1" wp14:anchorId="6C3EBB01" wp14:editId="3D98F679">
            <wp:simplePos x="0" y="0"/>
            <wp:positionH relativeFrom="column">
              <wp:posOffset>120015</wp:posOffset>
            </wp:positionH>
            <wp:positionV relativeFrom="paragraph">
              <wp:posOffset>-61595</wp:posOffset>
            </wp:positionV>
            <wp:extent cx="5819775" cy="2971800"/>
            <wp:effectExtent l="0" t="0" r="0" b="0"/>
            <wp:wrapTopAndBottom/>
            <wp:docPr id="1643539988" name="Рисунок 4" descr="C:\Users\liska\Desktop\рис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C:\Users\liska\Desktop\рис2.JPG"/>
                    <pic:cNvPicPr>
                      <a:picLocks/>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5121275" cy="2614930"/>
                    </a:xfrm>
                    <a:prstGeom prst="rect">
                      <a:avLst/>
                    </a:prstGeom>
                    <a:noFill/>
                    <a:ln>
                      <a:noFill/>
                    </a:ln>
                  </pic:spPr>
                </pic:pic>
              </a:graphicData>
            </a:graphic>
            <wp14:sizeRelH relativeFrom="page">
              <wp14:pctWidth>0</wp14:pctWidth>
            </wp14:sizeRelH>
            <wp14:sizeRelV relativeFrom="page">
              <wp14:pctHeight>0</wp14:pctHeight>
            </wp14:sizeRelV>
          </wp:anchor>
        </w:drawing>
      </w:r>
      <w:r w:rsidR="00523AFD" w:rsidRPr="003B10E2">
        <w:rPr>
          <w:rFonts w:ascii="Times New Roman" w:hAnsi="Times New Roman"/>
          <w:color w:val="000000"/>
          <w:sz w:val="24"/>
          <w:szCs w:val="24"/>
        </w:rPr>
        <w:t>Источник: составлено автором.</w:t>
      </w:r>
    </w:p>
    <w:p w14:paraId="50D04E03" w14:textId="77777777" w:rsidR="00BD245A" w:rsidRPr="003B10E2" w:rsidRDefault="00523AFD" w:rsidP="00455549">
      <w:pPr>
        <w:spacing w:after="0" w:line="240" w:lineRule="auto"/>
        <w:ind w:firstLine="851"/>
        <w:contextualSpacing/>
        <w:jc w:val="center"/>
        <w:rPr>
          <w:rFonts w:ascii="Times New Roman" w:hAnsi="Times New Roman"/>
          <w:color w:val="000000"/>
          <w:sz w:val="24"/>
          <w:szCs w:val="24"/>
        </w:rPr>
      </w:pPr>
      <w:r w:rsidRPr="003B10E2">
        <w:rPr>
          <w:rFonts w:ascii="Times New Roman" w:hAnsi="Times New Roman"/>
          <w:color w:val="000000"/>
          <w:sz w:val="24"/>
          <w:szCs w:val="24"/>
        </w:rPr>
        <w:t>Рисунок 3 –</w:t>
      </w:r>
      <w:r w:rsidR="00BD245A" w:rsidRPr="003B10E2">
        <w:rPr>
          <w:rFonts w:ascii="Times New Roman" w:hAnsi="Times New Roman"/>
          <w:color w:val="000000"/>
          <w:sz w:val="24"/>
          <w:szCs w:val="24"/>
        </w:rPr>
        <w:t xml:space="preserve"> Поведенческий инструментарий и</w:t>
      </w:r>
      <w:r w:rsidRPr="003B10E2">
        <w:rPr>
          <w:rFonts w:ascii="Times New Roman" w:hAnsi="Times New Roman"/>
          <w:color w:val="000000"/>
          <w:sz w:val="24"/>
          <w:szCs w:val="24"/>
        </w:rPr>
        <w:t>нвестиционной теории</w:t>
      </w:r>
    </w:p>
    <w:p w14:paraId="624DB68F" w14:textId="77777777" w:rsidR="00523AFD" w:rsidRPr="003B10E2" w:rsidRDefault="00523AFD" w:rsidP="00BD245A">
      <w:pPr>
        <w:spacing w:after="0" w:line="360" w:lineRule="auto"/>
        <w:ind w:firstLine="851"/>
        <w:contextualSpacing/>
        <w:jc w:val="both"/>
        <w:rPr>
          <w:rFonts w:ascii="Times New Roman" w:hAnsi="Times New Roman"/>
          <w:color w:val="000000"/>
          <w:sz w:val="28"/>
          <w:szCs w:val="28"/>
        </w:rPr>
      </w:pPr>
    </w:p>
    <w:p w14:paraId="5A617440"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Финансовые активы — это ликвидные активы, стоимость которых отражает факторы спроса и предложения на рынке, на котором они торгуются, а также степень риска, который они несут [298].</w:t>
      </w:r>
    </w:p>
    <w:p w14:paraId="67B58F18"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Ниже представлена характеристика моделей долгой памяти </w:t>
      </w:r>
      <w:r w:rsidRPr="003B10E2">
        <w:rPr>
          <w:rFonts w:ascii="Times New Roman" w:hAnsi="Times New Roman"/>
          <w:color w:val="000000"/>
          <w:sz w:val="28"/>
          <w:szCs w:val="28"/>
          <w:lang w:val="en-US"/>
        </w:rPr>
        <w:t>GARCH</w:t>
      </w:r>
      <w:r w:rsidRPr="003B10E2">
        <w:rPr>
          <w:rFonts w:ascii="Times New Roman" w:hAnsi="Times New Roman"/>
          <w:color w:val="000000"/>
          <w:sz w:val="28"/>
          <w:szCs w:val="28"/>
        </w:rPr>
        <w:t>.</w:t>
      </w:r>
    </w:p>
    <w:p w14:paraId="3B3F6F60" w14:textId="77777777" w:rsidR="00BD245A" w:rsidRPr="003B10E2" w:rsidRDefault="00BD245A" w:rsidP="00455549">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Применение моделей долгой памяти для исследования взаимосвязи между структурными изменениями и перетоками волатильности</w:t>
      </w:r>
      <w:r w:rsidR="00455549" w:rsidRPr="003B10E2">
        <w:rPr>
          <w:rFonts w:ascii="Times New Roman" w:hAnsi="Times New Roman"/>
          <w:color w:val="000000"/>
          <w:sz w:val="28"/>
          <w:szCs w:val="28"/>
        </w:rPr>
        <w:t>.</w:t>
      </w:r>
    </w:p>
    <w:p w14:paraId="0BA07FAF" w14:textId="77777777" w:rsidR="00BD245A" w:rsidRPr="003B10E2" w:rsidRDefault="00BD245A" w:rsidP="00455549">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Большинство эмпирических исследований, посвященных взаимосвязи динамики валют и акций, используют модели </w:t>
      </w:r>
      <w:r w:rsidRPr="003B10E2">
        <w:rPr>
          <w:rFonts w:ascii="Times New Roman" w:hAnsi="Times New Roman"/>
          <w:color w:val="000000"/>
          <w:sz w:val="28"/>
          <w:szCs w:val="28"/>
          <w:lang w:val="en-US"/>
        </w:rPr>
        <w:t>GARCH</w:t>
      </w:r>
      <w:r w:rsidRPr="003B10E2">
        <w:rPr>
          <w:rFonts w:ascii="Times New Roman" w:hAnsi="Times New Roman"/>
          <w:color w:val="000000"/>
          <w:sz w:val="28"/>
          <w:szCs w:val="28"/>
        </w:rPr>
        <w:t xml:space="preserve"> [274].</w:t>
      </w:r>
    </w:p>
    <w:p w14:paraId="274F0CD4"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Структурные разрывы могут привести к неправильным выводам об эффективности фондового рынка. А волатильность может резко измениться, если структурные скачки не будут отражены в прогнозной модели. Уровень сохранения волатильности можно объяснить с помощью модели авторегрессии на долгую память (IGARCH). Эксперты утверждают, что процентные ставки и колебания валютных курсов являются основными факторами, определяющими волатильность рыночных цен акций [20]. Так, с помощью GARCH на недельных данных исследовалась волатильность в четырех развивающихся странах [21]. </w:t>
      </w:r>
    </w:p>
    <w:p w14:paraId="1EABF9F5"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В большинстве эмпирических исследований с помощью </w:t>
      </w:r>
      <w:r w:rsidRPr="003B10E2">
        <w:rPr>
          <w:rFonts w:ascii="Times New Roman" w:hAnsi="Times New Roman"/>
          <w:color w:val="000000"/>
          <w:sz w:val="28"/>
          <w:szCs w:val="28"/>
          <w:lang w:val="en-US"/>
        </w:rPr>
        <w:t>GARCH</w:t>
      </w:r>
      <w:r w:rsidRPr="003B10E2">
        <w:rPr>
          <w:rFonts w:ascii="Times New Roman" w:hAnsi="Times New Roman"/>
          <w:color w:val="000000"/>
          <w:sz w:val="28"/>
          <w:szCs w:val="28"/>
        </w:rPr>
        <w:t xml:space="preserve"> подчеркивается взаимосвязь между структурными изменениями на разных сегментах финансового рынка [209]. Эксперты отмечают, что взаимосвязь между сегментами рынков часто неустойчива. Любое изменение котировок фондовых индексов, вызванное колебаниями обменного курса, усложняет выбор оптимальной инвестиционной стратегии [239]. Кроме того, принцип возвращения к среднему (mean reversion), применимый на долгосрочном временном интервале, может привести к ошибкам при выборе времени для сделки с различными финансовыми активами [236].</w:t>
      </w:r>
    </w:p>
    <w:p w14:paraId="46A0F6C8" w14:textId="77777777" w:rsidR="00BD245A" w:rsidRPr="003B10E2" w:rsidRDefault="00BD245A" w:rsidP="00455549">
      <w:pPr>
        <w:spacing w:after="0" w:line="360" w:lineRule="auto"/>
        <w:ind w:firstLine="851"/>
        <w:contextualSpacing/>
        <w:rPr>
          <w:rFonts w:ascii="Times New Roman" w:hAnsi="Times New Roman"/>
          <w:color w:val="000000"/>
          <w:sz w:val="28"/>
          <w:szCs w:val="28"/>
        </w:rPr>
      </w:pPr>
      <w:r w:rsidRPr="003B10E2">
        <w:rPr>
          <w:rFonts w:ascii="Times New Roman" w:hAnsi="Times New Roman"/>
          <w:color w:val="000000"/>
          <w:sz w:val="28"/>
          <w:szCs w:val="28"/>
        </w:rPr>
        <w:t>Структурные сдвиги и переток волатильности</w:t>
      </w:r>
      <w:r w:rsidR="00455549" w:rsidRPr="003B10E2">
        <w:rPr>
          <w:rFonts w:ascii="Times New Roman" w:hAnsi="Times New Roman"/>
          <w:color w:val="000000"/>
          <w:sz w:val="28"/>
          <w:szCs w:val="28"/>
        </w:rPr>
        <w:t>.</w:t>
      </w:r>
    </w:p>
    <w:p w14:paraId="28283B23"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Учитывая, что рынки капитала связаны между собой перетоками волатильности и ликвидности, для поиска структурных сдвигов можно использовать модифицированный метод итерации для кумулятивной суммы квадратов [120].</w:t>
      </w:r>
    </w:p>
    <w:p w14:paraId="2A717772"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Наличие структурных сдвигов (резких структурных изменений) на рынках является типичной проблемой при прогнозировании ежедневных цен на финансовые активы. Понятно, что рынки акций стран БРИКС подверглись серьезным шокам после мирового финансового кризиса 2008 г. Структурные сдвиги могут привести к длительному росту уровня волатильности [218]. В целях выявления структурных сдвигов использовался модифицированный метод итерации для кумулятивной суммы квадратов (ICSS-алгоритм) [22]. </w:t>
      </w:r>
    </w:p>
    <w:p w14:paraId="5E002010"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Результаты указывают на существование двунаправленного побочного эффекта, при этом воздействие валютного курса на фондовый рынок в 2009–2016 гг. было значительно сильнее, чем противоположное влияние. Для российского фондового рынка такой эффект оказался наиболее заметным, потому что инвесторы в отечественные акции наиболее осторожны и резко реагируют на плохой новостной фон от изменения курса рубля [193]. </w:t>
      </w:r>
    </w:p>
    <w:p w14:paraId="45DAE2E0"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Кроме того, дневные колебания поддаются прогнозированию с помощью модели FIGARCH, если структурные сдвиги заложены в модель. Структурные сдвиги лишь искажают коэффициенты асимметрии в указанной модели длинной памяти [265]. </w:t>
      </w:r>
    </w:p>
    <w:p w14:paraId="793E75C7"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Модели поисковых запросов представляют собой совокупность факторов. Для моделирования процесса ранжирования результатов поиска веб-ресурсов могут быть использованы следующие признаки (входные переменные): </w:t>
      </w:r>
    </w:p>
    <w:p w14:paraId="6C393B4B" w14:textId="77777777" w:rsidR="00BD245A" w:rsidRPr="003B10E2" w:rsidRDefault="00455549" w:rsidP="00455549">
      <w:pPr>
        <w:spacing w:after="0" w:line="360" w:lineRule="auto"/>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 </w:t>
      </w:r>
      <w:r w:rsidR="00BD245A" w:rsidRPr="003B10E2">
        <w:rPr>
          <w:rFonts w:ascii="Times New Roman" w:hAnsi="Times New Roman"/>
          <w:color w:val="000000"/>
          <w:sz w:val="28"/>
          <w:szCs w:val="28"/>
        </w:rPr>
        <w:t xml:space="preserve">Google Page Rank (далее PR, результат расчета авторитетности вебстраниц по алгоритму системы); </w:t>
      </w:r>
    </w:p>
    <w:p w14:paraId="6AA48A94" w14:textId="77777777" w:rsidR="00BD245A" w:rsidRPr="003B10E2" w:rsidRDefault="00455549" w:rsidP="00455549">
      <w:pPr>
        <w:spacing w:after="0" w:line="360" w:lineRule="auto"/>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 </w:t>
      </w:r>
      <w:r w:rsidR="00CE6182" w:rsidRPr="003B10E2">
        <w:rPr>
          <w:rFonts w:ascii="Times New Roman" w:hAnsi="Times New Roman"/>
          <w:color w:val="000000"/>
          <w:sz w:val="28"/>
          <w:szCs w:val="28"/>
        </w:rPr>
        <w:t>наличие ключевых слов в мета</w:t>
      </w:r>
      <w:r w:rsidR="00BD245A" w:rsidRPr="003B10E2">
        <w:rPr>
          <w:rFonts w:ascii="Times New Roman" w:hAnsi="Times New Roman"/>
          <w:color w:val="000000"/>
          <w:sz w:val="28"/>
          <w:szCs w:val="28"/>
        </w:rPr>
        <w:t xml:space="preserve">тэгах; </w:t>
      </w:r>
    </w:p>
    <w:p w14:paraId="456543FB" w14:textId="77777777" w:rsidR="00BD245A" w:rsidRPr="003B10E2" w:rsidRDefault="00455549" w:rsidP="00455549">
      <w:pPr>
        <w:spacing w:after="0" w:line="360" w:lineRule="auto"/>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 </w:t>
      </w:r>
      <w:r w:rsidR="00BD245A" w:rsidRPr="003B10E2">
        <w:rPr>
          <w:rFonts w:ascii="Times New Roman" w:hAnsi="Times New Roman"/>
          <w:color w:val="000000"/>
          <w:sz w:val="28"/>
          <w:szCs w:val="28"/>
        </w:rPr>
        <w:t>количество внешних ссылок, содержащих в названии ключевые слова;</w:t>
      </w:r>
    </w:p>
    <w:p w14:paraId="58EDC375" w14:textId="77777777" w:rsidR="00BD245A" w:rsidRPr="003B10E2" w:rsidRDefault="00455549" w:rsidP="00455549">
      <w:pPr>
        <w:spacing w:after="0" w:line="360" w:lineRule="auto"/>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 </w:t>
      </w:r>
      <w:r w:rsidR="00BD245A" w:rsidRPr="003B10E2">
        <w:rPr>
          <w:rFonts w:ascii="Times New Roman" w:hAnsi="Times New Roman"/>
          <w:color w:val="000000"/>
          <w:sz w:val="28"/>
          <w:szCs w:val="28"/>
        </w:rPr>
        <w:t xml:space="preserve">индекс цитирования Яндекс (ТИЦ). </w:t>
      </w:r>
    </w:p>
    <w:p w14:paraId="34704016" w14:textId="77777777" w:rsidR="00BD245A" w:rsidRPr="003B10E2" w:rsidRDefault="00BD245A" w:rsidP="003B0769">
      <w:pPr>
        <w:pStyle w:val="a9"/>
        <w:spacing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Аномально низкая волатильность характерна для рынка акций, а также для некоторых других классов активов, что можно назвать эффектом волатильности [256].</w:t>
      </w:r>
    </w:p>
    <w:p w14:paraId="51576B00" w14:textId="77777777" w:rsidR="00BD245A" w:rsidRPr="003B10E2" w:rsidRDefault="00BD245A" w:rsidP="00BD245A">
      <w:pPr>
        <w:pStyle w:val="a9"/>
        <w:spacing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При этом многочисленные исследования доказывают, что теория САРМ может быть модифицирована. </w:t>
      </w:r>
    </w:p>
    <w:p w14:paraId="21B0C521" w14:textId="77777777" w:rsidR="00BD245A" w:rsidRPr="003B10E2" w:rsidRDefault="00BD245A" w:rsidP="00BD245A">
      <w:pPr>
        <w:pStyle w:val="a9"/>
        <w:spacing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Примеры модификаций приведены ниже:</w:t>
      </w:r>
    </w:p>
    <w:p w14:paraId="15874C92" w14:textId="77777777" w:rsidR="00BD245A" w:rsidRPr="003B10E2" w:rsidRDefault="0066380D" w:rsidP="0066380D">
      <w:pPr>
        <w:pStyle w:val="a9"/>
        <w:spacing w:line="360" w:lineRule="auto"/>
        <w:ind w:firstLine="708"/>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1) </w:t>
      </w:r>
      <w:r w:rsidR="00BD245A" w:rsidRPr="003B10E2">
        <w:rPr>
          <w:rFonts w:ascii="Times New Roman" w:hAnsi="Times New Roman"/>
          <w:color w:val="000000"/>
          <w:sz w:val="28"/>
          <w:szCs w:val="28"/>
        </w:rPr>
        <w:t>Включение нулевого коэффициента бета САРМ.</w:t>
      </w:r>
    </w:p>
    <w:p w14:paraId="02913EC1" w14:textId="77777777" w:rsidR="00BD245A" w:rsidRPr="003B10E2" w:rsidRDefault="0066380D" w:rsidP="0066380D">
      <w:pPr>
        <w:pStyle w:val="a9"/>
        <w:spacing w:line="360" w:lineRule="auto"/>
        <w:ind w:firstLine="708"/>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2) </w:t>
      </w:r>
      <w:r w:rsidR="00BD245A" w:rsidRPr="003B10E2">
        <w:rPr>
          <w:rFonts w:ascii="Times New Roman" w:hAnsi="Times New Roman"/>
          <w:color w:val="000000"/>
          <w:sz w:val="28"/>
          <w:szCs w:val="28"/>
        </w:rPr>
        <w:t>Добавление макроэкономических факторов.</w:t>
      </w:r>
    </w:p>
    <w:p w14:paraId="1921310E" w14:textId="77777777" w:rsidR="00BD245A" w:rsidRPr="003B10E2" w:rsidRDefault="0066380D" w:rsidP="0066380D">
      <w:pPr>
        <w:pStyle w:val="a9"/>
        <w:spacing w:line="360" w:lineRule="auto"/>
        <w:ind w:firstLine="708"/>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3) </w:t>
      </w:r>
      <w:r w:rsidR="00BD245A" w:rsidRPr="003B10E2">
        <w:rPr>
          <w:rFonts w:ascii="Times New Roman" w:hAnsi="Times New Roman"/>
          <w:color w:val="000000"/>
          <w:sz w:val="28"/>
          <w:szCs w:val="28"/>
        </w:rPr>
        <w:t>Добавление фактора человеческого капитала.</w:t>
      </w:r>
    </w:p>
    <w:p w14:paraId="2963AFBF" w14:textId="77777777" w:rsidR="00BD245A" w:rsidRPr="003B10E2" w:rsidRDefault="0066380D" w:rsidP="0066380D">
      <w:pPr>
        <w:pStyle w:val="a9"/>
        <w:spacing w:line="360" w:lineRule="auto"/>
        <w:ind w:firstLine="708"/>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4) </w:t>
      </w:r>
      <w:r w:rsidR="00BD245A" w:rsidRPr="003B10E2">
        <w:rPr>
          <w:rFonts w:ascii="Times New Roman" w:hAnsi="Times New Roman"/>
          <w:color w:val="000000"/>
          <w:sz w:val="28"/>
          <w:szCs w:val="28"/>
        </w:rPr>
        <w:t>Добавление факторов потребления материальных ценностей, соотношение риска потребления или роста потребления.</w:t>
      </w:r>
    </w:p>
    <w:p w14:paraId="7059EBB4" w14:textId="77777777" w:rsidR="00BD245A" w:rsidRPr="003B10E2" w:rsidRDefault="0066380D" w:rsidP="0066380D">
      <w:pPr>
        <w:pStyle w:val="a9"/>
        <w:spacing w:line="360" w:lineRule="auto"/>
        <w:ind w:firstLine="708"/>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5) </w:t>
      </w:r>
      <w:r w:rsidR="00BD245A" w:rsidRPr="003B10E2">
        <w:rPr>
          <w:rFonts w:ascii="Times New Roman" w:hAnsi="Times New Roman"/>
          <w:color w:val="000000"/>
          <w:sz w:val="28"/>
          <w:szCs w:val="28"/>
        </w:rPr>
        <w:t>Добавление условных активов в модель ценообразования.</w:t>
      </w:r>
    </w:p>
    <w:p w14:paraId="44B456DF" w14:textId="77777777" w:rsidR="00BD245A" w:rsidRPr="003B10E2" w:rsidRDefault="0066380D" w:rsidP="0066380D">
      <w:pPr>
        <w:pStyle w:val="a9"/>
        <w:spacing w:line="360" w:lineRule="auto"/>
        <w:ind w:firstLine="708"/>
        <w:contextualSpacing/>
        <w:jc w:val="both"/>
        <w:rPr>
          <w:rFonts w:ascii="Times New Roman" w:hAnsi="Times New Roman"/>
          <w:sz w:val="28"/>
          <w:szCs w:val="28"/>
        </w:rPr>
      </w:pPr>
      <w:r w:rsidRPr="003B10E2">
        <w:rPr>
          <w:rFonts w:ascii="Times New Roman" w:hAnsi="Times New Roman"/>
          <w:color w:val="000000"/>
          <w:sz w:val="28"/>
          <w:szCs w:val="28"/>
        </w:rPr>
        <w:t xml:space="preserve">6) </w:t>
      </w:r>
      <w:r w:rsidR="00BD245A" w:rsidRPr="003B10E2">
        <w:rPr>
          <w:rFonts w:ascii="Times New Roman" w:hAnsi="Times New Roman"/>
          <w:color w:val="000000"/>
          <w:sz w:val="28"/>
          <w:szCs w:val="28"/>
        </w:rPr>
        <w:t xml:space="preserve">Модификация модели на основе стохастической волатильности. </w:t>
      </w:r>
      <w:r w:rsidR="00BD245A" w:rsidRPr="003B10E2">
        <w:rPr>
          <w:rFonts w:ascii="Times New Roman" w:hAnsi="Times New Roman"/>
          <w:color w:val="000000"/>
          <w:sz w:val="28"/>
          <w:szCs w:val="28"/>
        </w:rPr>
        <w:tab/>
        <w:t xml:space="preserve">Отметим также, что эффект волатильности — это одна из наиболее существенных аномалий, которые выявлены в научной </w:t>
      </w:r>
      <w:r w:rsidR="00BD245A" w:rsidRPr="003B10E2">
        <w:rPr>
          <w:rFonts w:ascii="Times New Roman" w:hAnsi="Times New Roman"/>
          <w:sz w:val="28"/>
          <w:szCs w:val="28"/>
        </w:rPr>
        <w:t>литературе [241].</w:t>
      </w:r>
    </w:p>
    <w:p w14:paraId="557573DD" w14:textId="77777777" w:rsidR="00BD245A" w:rsidRPr="003B10E2" w:rsidRDefault="00BD245A" w:rsidP="00BD245A">
      <w:pPr>
        <w:pStyle w:val="a9"/>
        <w:spacing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Эмпирическая несостоятельность САРМ должна быть связана с нарушением одного или нескольких из этих предположений на практике:</w:t>
      </w:r>
    </w:p>
    <w:p w14:paraId="15EAD0BC" w14:textId="77777777" w:rsidR="00BD245A" w:rsidRPr="003B10E2" w:rsidRDefault="0066380D" w:rsidP="00BD245A">
      <w:pPr>
        <w:pStyle w:val="a9"/>
        <w:spacing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1)</w:t>
      </w:r>
      <w:r w:rsidR="00BD245A" w:rsidRPr="003B10E2">
        <w:rPr>
          <w:rFonts w:ascii="Times New Roman" w:hAnsi="Times New Roman"/>
          <w:color w:val="000000"/>
          <w:sz w:val="28"/>
          <w:szCs w:val="28"/>
        </w:rPr>
        <w:t xml:space="preserve"> Не существует кредитного плеча и возможности коротких продаж.</w:t>
      </w:r>
    </w:p>
    <w:p w14:paraId="6C5681E7" w14:textId="77777777" w:rsidR="00BD245A" w:rsidRPr="003B10E2" w:rsidRDefault="0066380D" w:rsidP="00BD245A">
      <w:pPr>
        <w:pStyle w:val="a9"/>
        <w:spacing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2)</w:t>
      </w:r>
      <w:r w:rsidR="00BD245A" w:rsidRPr="003B10E2">
        <w:rPr>
          <w:rFonts w:ascii="Times New Roman" w:hAnsi="Times New Roman"/>
          <w:color w:val="000000"/>
          <w:sz w:val="28"/>
          <w:szCs w:val="28"/>
        </w:rPr>
        <w:t xml:space="preserve"> Инвесторы избегают риска и максимизируют ожидаемую полезность.</w:t>
      </w:r>
    </w:p>
    <w:p w14:paraId="4DC2714E" w14:textId="77777777" w:rsidR="00BD245A" w:rsidRPr="003B10E2" w:rsidRDefault="0066380D" w:rsidP="00BD245A">
      <w:pPr>
        <w:pStyle w:val="a9"/>
        <w:spacing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3)</w:t>
      </w:r>
      <w:r w:rsidR="00BD245A" w:rsidRPr="003B10E2">
        <w:rPr>
          <w:rFonts w:ascii="Times New Roman" w:hAnsi="Times New Roman"/>
          <w:color w:val="000000"/>
          <w:sz w:val="28"/>
          <w:szCs w:val="28"/>
        </w:rPr>
        <w:t xml:space="preserve"> Существует только один инвестиционный горизонт</w:t>
      </w:r>
      <w:r w:rsidRPr="003B10E2">
        <w:rPr>
          <w:rFonts w:ascii="Times New Roman" w:hAnsi="Times New Roman"/>
          <w:color w:val="000000"/>
          <w:sz w:val="28"/>
          <w:szCs w:val="28"/>
        </w:rPr>
        <w:t>.</w:t>
      </w:r>
    </w:p>
    <w:p w14:paraId="378196E0" w14:textId="77777777" w:rsidR="00BD245A" w:rsidRPr="003B10E2" w:rsidRDefault="0066380D" w:rsidP="00BD245A">
      <w:pPr>
        <w:pStyle w:val="a9"/>
        <w:spacing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4)</w:t>
      </w:r>
      <w:r w:rsidR="00BD245A" w:rsidRPr="003B10E2">
        <w:rPr>
          <w:rFonts w:ascii="Times New Roman" w:hAnsi="Times New Roman"/>
          <w:color w:val="000000"/>
          <w:sz w:val="28"/>
          <w:szCs w:val="28"/>
        </w:rPr>
        <w:t xml:space="preserve"> Информация распространяется свободно и без искажений</w:t>
      </w:r>
      <w:r w:rsidRPr="003B10E2">
        <w:rPr>
          <w:rFonts w:ascii="Times New Roman" w:hAnsi="Times New Roman"/>
          <w:color w:val="000000"/>
          <w:sz w:val="28"/>
          <w:szCs w:val="28"/>
        </w:rPr>
        <w:t>.</w:t>
      </w:r>
    </w:p>
    <w:p w14:paraId="0185EB8A" w14:textId="77777777" w:rsidR="00BD245A" w:rsidRPr="003B10E2" w:rsidRDefault="0066380D" w:rsidP="00BD245A">
      <w:pPr>
        <w:pStyle w:val="a9"/>
        <w:spacing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5)</w:t>
      </w:r>
      <w:r w:rsidR="00BD245A" w:rsidRPr="003B10E2">
        <w:rPr>
          <w:rFonts w:ascii="Times New Roman" w:hAnsi="Times New Roman"/>
          <w:color w:val="000000"/>
          <w:sz w:val="28"/>
          <w:szCs w:val="28"/>
        </w:rPr>
        <w:t xml:space="preserve"> Рынки являются совершенными, т. е. все активы абсолютно делимы и совершенно ликвидны, нет затрат по сделке, нет налогов.</w:t>
      </w:r>
    </w:p>
    <w:p w14:paraId="09A9D0A6" w14:textId="77777777" w:rsidR="00BD245A" w:rsidRPr="003B10E2" w:rsidRDefault="00BD245A" w:rsidP="00BD245A">
      <w:pPr>
        <w:pStyle w:val="a9"/>
        <w:spacing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Хотя в литературе имеется много эмпирических доказательств существования эффекта волатильности, как представляется, нет консенсуса относительно причины, почему такое влияние существует [298]. Стохастическая динамика цен на акции обычно описывается как мультипликативное броуновское движение и имеет логнормальную функцию распределения вероятностей для изменения цены акций. Однако многочисленные наблюдения показывают, что хвосты функции распределения вероятностей распадаются медленнее, чем это характерно для логнормального распределения, то есть возникает так называемый эффект «толстых хвостов» [264]. </w:t>
      </w:r>
    </w:p>
    <w:p w14:paraId="52B616AB"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В частности, много внимания было уделено эффекту «степенных» хвостов. Геометрическая модель броуновского движения имеет два параметра: смещение μ, которое характеризует средний темп роста и волатильность </w:t>
      </w:r>
      <w:r w:rsidR="002D341E" w:rsidRPr="003B10E2">
        <w:rPr>
          <w:rFonts w:ascii="Times New Roman" w:hAnsi="Times New Roman"/>
          <w:color w:val="000000"/>
          <w:sz w:val="28"/>
          <w:szCs w:val="28"/>
        </w:rPr>
        <w:fldChar w:fldCharType="begin"/>
      </w:r>
      <w:r w:rsidR="002D341E" w:rsidRPr="003B10E2">
        <w:rPr>
          <w:rFonts w:ascii="Times New Roman" w:hAnsi="Times New Roman"/>
          <w:color w:val="000000"/>
          <w:sz w:val="28"/>
          <w:szCs w:val="28"/>
        </w:rPr>
        <w:instrText xml:space="preserve"> QUOTE </w:instrText>
      </w:r>
      <w:r w:rsidR="00F276E9">
        <w:rPr>
          <w:noProof/>
          <w:position w:val="-9"/>
        </w:rPr>
      </w:r>
      <w:r w:rsidR="00F276E9">
        <w:rPr>
          <w:noProof/>
          <w:position w:val="-9"/>
        </w:rPr>
        <w:pict w14:anchorId="30344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18.1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AFE&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465AFE&quot; wsp:rsidP=&quot;00465AFE&quot;&gt;&lt;m:oMathPara&gt;&lt;m:oMath&gt;&lt;m:r&gt;&lt;w:rPr&gt;&lt;w:rFonts w:ascii=&quot;Cambria Math&quot; w:h-ansi=&quot;Cambria Math&quot;/&gt;&lt;wx:font wx:val=&quot;Cambria Math&quot;/&gt;&lt;w:i/&gt;&lt;w:sz w:val=&quot;28&quot;/&gt;&lt;w:sz-cs w:val=&quot;28&quot;/&gt;&lt;/w:rPr&gt;&lt;m:t&gt;П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002D341E" w:rsidRPr="003B10E2">
        <w:rPr>
          <w:rFonts w:ascii="Times New Roman" w:hAnsi="Times New Roman"/>
          <w:color w:val="000000"/>
          <w:sz w:val="28"/>
          <w:szCs w:val="28"/>
        </w:rPr>
        <w:instrText xml:space="preserve"> </w:instrText>
      </w:r>
      <w:r w:rsidR="002D341E" w:rsidRPr="003B10E2">
        <w:rPr>
          <w:rFonts w:ascii="Times New Roman" w:hAnsi="Times New Roman"/>
          <w:color w:val="000000"/>
          <w:sz w:val="28"/>
          <w:szCs w:val="28"/>
        </w:rPr>
        <w:fldChar w:fldCharType="separate"/>
      </w:r>
      <w:r w:rsidR="00F276E9">
        <w:rPr>
          <w:noProof/>
          <w:position w:val="-9"/>
        </w:rPr>
      </w:r>
      <w:r w:rsidR="00F276E9">
        <w:rPr>
          <w:noProof/>
          <w:position w:val="-9"/>
        </w:rPr>
        <w:pict w14:anchorId="5FFBE018">
          <v:shape id="_x0000_i1026" type="#_x0000_t75" style="width:8.4pt;height:18.1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AFE&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465AFE&quot; wsp:rsidP=&quot;00465AFE&quot;&gt;&lt;m:oMathPara&gt;&lt;m:oMath&gt;&lt;m:r&gt;&lt;w:rPr&gt;&lt;w:rFonts w:ascii=&quot;Cambria Math&quot; w:h-ansi=&quot;Cambria Math&quot;/&gt;&lt;wx:font wx:val=&quot;Cambria Math&quot;/&gt;&lt;w:i/&gt;&lt;w:sz w:val=&quot;28&quot;/&gt;&lt;w:sz-cs w:val=&quot;28&quot;/&gt;&lt;/w:rPr&gt;&lt;m:t&gt;П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002D341E" w:rsidRPr="003B10E2">
        <w:rPr>
          <w:rFonts w:ascii="Times New Roman" w:hAnsi="Times New Roman"/>
          <w:color w:val="000000"/>
          <w:sz w:val="28"/>
          <w:szCs w:val="28"/>
        </w:rPr>
        <w:fldChar w:fldCharType="end"/>
      </w:r>
      <w:r w:rsidRPr="003B10E2">
        <w:rPr>
          <w:rFonts w:ascii="Times New Roman" w:hAnsi="Times New Roman"/>
          <w:color w:val="000000"/>
          <w:sz w:val="28"/>
          <w:szCs w:val="28"/>
        </w:rPr>
        <w:t>, которая характеризует шум процесса. Есть эмпирические данные и исследования, свидетельствующие о том, что волатильность характеризует стохастический процесс, устремленный к среднему значению. Различные математические модели со стохастической волатильностью были обсуждены в литературе [9, 101, 123, 115].</w:t>
      </w:r>
    </w:p>
    <w:p w14:paraId="2E908377"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Мы можем сравнить результаты применения модели Хестона с индексом Доу Джонса за 20-летний период 1982–2001. Классическая модель Хестона включает только четыре подгоночных параметра и подходит для прогнозирования доходностей на временном периоде от 1 до 250 торговых дней. Функция плотности вероятности доходности имеет вид одномерного интеграла Фурье, который легко вычисляется численно или аналитически [261]. На долгих временных интервалах она становится функцией доходности и времени, которую можно выразить через функцию Бесселя. Эмпирические данные индекса Доу Джонса показывают, что прогноз на основе модели Хестона масштабируется на семь временных интервалов. В оригинальной статье [118] решена проблема ценообразования опционов на основе модели Хестона. Многочисленные последующие исследования [134, 118] доказывают, что модель Хестона совпадает с эмпирическими данными намного лучше, чем теория Блэка-Шоулза и модификации модели Хестона.</w:t>
      </w:r>
    </w:p>
    <w:p w14:paraId="79102639"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Однако не решен основной вопрос: динамика цен на активы на фондовом рынке выражается стохастическим процессом или нет? </w:t>
      </w:r>
    </w:p>
    <w:p w14:paraId="7B97492C"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Альтернативная точка зрения гласит, что волатильность нельзя характеризовать только лишь скоростью релаксации [226]. Однако анализ эмпирических финансовых данных указывает, что корреляционная функция имеет степенную зависимость. Кроме того, можно улучшить модель Хестона путем включения более ранних периодов релаксации [216]. </w:t>
      </w:r>
    </w:p>
    <w:p w14:paraId="75DF0F8C"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Экспоненциальные хвосты в распределении вероятности доходности акций имеют параболическую зависимость на малых временных периодов и линейную зависимость для больших временных периодов. Таким образом, линейно и параболическое распределение является особенностью модели со стохастической волатильности [207]. В то же время центральная часть распределения вероятностей без сомнения хорошо описывается логнормальным распределением. Таким образом, модифицированная модель Хестона может быть использована для прогнозирования цен на финансовые активы на рынке капитала и криптоактивов.</w:t>
      </w:r>
    </w:p>
    <w:p w14:paraId="096463BA" w14:textId="77777777" w:rsidR="00C24A0E" w:rsidRPr="003B10E2" w:rsidRDefault="00C24A0E" w:rsidP="00C24A0E">
      <w:pPr>
        <w:spacing w:after="0" w:line="360" w:lineRule="auto"/>
        <w:contextualSpacing/>
        <w:rPr>
          <w:rFonts w:ascii="Times New Roman" w:hAnsi="Times New Roman"/>
          <w:sz w:val="28"/>
          <w:szCs w:val="28"/>
        </w:rPr>
      </w:pPr>
    </w:p>
    <w:p w14:paraId="6B527F67" w14:textId="77777777" w:rsidR="00BD245A" w:rsidRPr="003B10E2" w:rsidRDefault="00B5228C" w:rsidP="00C24A0E">
      <w:pPr>
        <w:spacing w:after="0" w:line="360" w:lineRule="auto"/>
        <w:ind w:firstLine="708"/>
        <w:contextualSpacing/>
        <w:jc w:val="both"/>
        <w:rPr>
          <w:rFonts w:ascii="Times New Roman" w:hAnsi="Times New Roman"/>
          <w:color w:val="000000"/>
          <w:sz w:val="28"/>
          <w:szCs w:val="28"/>
        </w:rPr>
      </w:pPr>
      <w:r w:rsidRPr="003B10E2">
        <w:rPr>
          <w:rFonts w:ascii="Times New Roman" w:hAnsi="Times New Roman"/>
          <w:b/>
          <w:color w:val="000000"/>
          <w:sz w:val="28"/>
          <w:szCs w:val="28"/>
        </w:rPr>
        <w:t>1.4</w:t>
      </w:r>
      <w:r w:rsidR="00BD245A" w:rsidRPr="003B10E2">
        <w:rPr>
          <w:rFonts w:ascii="Times New Roman" w:hAnsi="Times New Roman"/>
          <w:b/>
          <w:color w:val="000000"/>
          <w:sz w:val="28"/>
          <w:szCs w:val="28"/>
        </w:rPr>
        <w:t xml:space="preserve"> Особенности применения поведенческого инструментария для исследования структурных изменений </w:t>
      </w:r>
      <w:r w:rsidR="005D427A" w:rsidRPr="003B10E2">
        <w:rPr>
          <w:rFonts w:ascii="Times New Roman" w:hAnsi="Times New Roman"/>
          <w:b/>
          <w:color w:val="000000"/>
          <w:sz w:val="28"/>
          <w:szCs w:val="28"/>
        </w:rPr>
        <w:t>мирового рынка капитала</w:t>
      </w:r>
    </w:p>
    <w:p w14:paraId="56EE9265" w14:textId="77777777" w:rsidR="00B5228C" w:rsidRPr="003B10E2" w:rsidRDefault="00B5228C" w:rsidP="00B5228C"/>
    <w:p w14:paraId="19730FD3"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Применение поведенческого инструментария исследования несет в себе определенные трудности. Наличие длинной памяти при анализе волатильности играет важную роль, так как подразумевает, что последние тенденции рынка могут быть использованы для прогнозирования будущих цен на активы [274]. Волатильность может сильно менять взаимосвязи, если шоки не отражаются в модели GARCH. При этом многие исследователи утверждали, что степень постоянства волатильности может быть учтена при использовании авторегрессионной модели долгой памяти (IGARCH) [296]. </w:t>
      </w:r>
    </w:p>
    <w:p w14:paraId="6E32D10A"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В работе доказывается тезис, что структурные изменения возникают в связи с резкими ценовыми шоками на рынке. Эффект перетока волатильности между национальными фондовыми индексами и национальным обменным курсом наблюдается в обоих направлениях. Как шок на валютном рынке может вызвать изменение курса национальной валюты, так и наоборот, резкая девальвация валюты находит отражение на фондовом рынке [159]. </w:t>
      </w:r>
    </w:p>
    <w:p w14:paraId="2E8A6019"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Наличие длинной памяти при анализе волатильности играет важную роль, поскольку подразумевается, что последние тенденции на рынках могут использоваться для прогнозирования будущих цен на активы, что имеет первостепенное значение для инвесторов. Кроме того, наличие структурных сдвигов обычно увеличивает дисперсию постоянства волатильности [112]. Ранее был найден эффект долгой памяти на восьми восточноевропейских фондовых рынках без учета структурных сдвигов [134]. Но нигде пока не анализировалось постоянство долгой памяти на основе FIGARCH-методологии для стран БРИКС с учетом влияния структурных сдвигов. </w:t>
      </w:r>
    </w:p>
    <w:p w14:paraId="0D95757A"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Как правило, подавляющее большинство эмпирических исследований о взаимосвязи между динамикой валюты и ценами на акции сфокусировано преимущественно на развитых рынках. Было обнаружено значительное позитивное воздействие рынка акций на изменения валютного курса всех европейских стран, кроме Германии, на основе ежедневных фондовых котировок [16]. Полученные данные свидетельствуют, что эффекты перетекания волатильности высоки только в периоды сильных экономических потрясений [19]. На рост волатильности динамики рубля и, соответственно, фондового индекса MICEX повлияло усиление изолированности России на мировой арене из-за политических и экономических санкций [27]. </w:t>
      </w:r>
    </w:p>
    <w:p w14:paraId="39C88D5B"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Результаты показывают, что эффект перетекания волатильности с валютного рынка на фондовый наиболее характерен для России. Этот вывод предполагает, что инвесторы отечественного фондового рынка очень бдительны и быстро реагируют на плохие новости относительно обменного курса. Такой эффект характерен также для рынков Индии и Бразилии (китайский рынок не подвержен этому эффекту) (Приложение 1).</w:t>
      </w:r>
    </w:p>
    <w:p w14:paraId="5DE3B333"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Инвесторы в развивающиеся экономики всегда помнят, что прибыль, полученная на фондовом рынке, может быть уменьшена или даже пот</w:t>
      </w:r>
      <w:r w:rsidR="00CE6182" w:rsidRPr="003B10E2">
        <w:rPr>
          <w:rFonts w:ascii="Times New Roman" w:hAnsi="Times New Roman"/>
          <w:color w:val="000000"/>
          <w:sz w:val="28"/>
          <w:szCs w:val="28"/>
        </w:rPr>
        <w:t>еряна в случае резкого понижения</w:t>
      </w:r>
      <w:r w:rsidRPr="003B10E2">
        <w:rPr>
          <w:rFonts w:ascii="Times New Roman" w:hAnsi="Times New Roman"/>
          <w:color w:val="000000"/>
          <w:sz w:val="28"/>
          <w:szCs w:val="28"/>
        </w:rPr>
        <w:t xml:space="preserve"> курса национальной валюты. Инвесторы на американском фондовом рынке [28], напротив, не переживают насчет изменений обменного курса доллара: для них показатель перелива волатильности d не является значимым. Так что показатель φ имеет различные значения для фондового рынка и валютного рынка, что подтверждает наличие разнонаправленного двустороннего перетока волатильности во время структурных сдвигов на рынке. </w:t>
      </w:r>
    </w:p>
    <w:p w14:paraId="035E8EE3"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Предположение о наличии долгой памяти волатильности, искажаемой структурными сдвигами, подтверждается для всех исследуемых в работе фондовых рынков. Фрактальный параметр d имеет относительно низкое значение в представленной модели, это означает, что дневные колебания не являются стабильным параметром, что идет вразрез с постулатами гипотезы совершенного рынка. Во всех анализируемых экономиках (кроме китайской) переток волатильности с валютного рынка на фондовый намного выше, чем переток в противоположн</w:t>
      </w:r>
      <w:r w:rsidR="00B5228C" w:rsidRPr="003B10E2">
        <w:rPr>
          <w:rFonts w:ascii="Times New Roman" w:hAnsi="Times New Roman"/>
          <w:color w:val="000000"/>
          <w:sz w:val="28"/>
          <w:szCs w:val="28"/>
        </w:rPr>
        <w:t xml:space="preserve">ом направлении [275] (рисунок </w:t>
      </w:r>
      <w:r w:rsidRPr="003B10E2">
        <w:rPr>
          <w:rFonts w:ascii="Times New Roman" w:hAnsi="Times New Roman"/>
          <w:color w:val="000000"/>
          <w:sz w:val="28"/>
          <w:szCs w:val="28"/>
        </w:rPr>
        <w:t>4).</w:t>
      </w:r>
    </w:p>
    <w:p w14:paraId="5D9C4865" w14:textId="77777777" w:rsidR="0066380D" w:rsidRPr="003B10E2" w:rsidRDefault="00C72198" w:rsidP="0066380D">
      <w:pPr>
        <w:spacing w:after="0" w:line="240" w:lineRule="auto"/>
        <w:contextualSpacing/>
        <w:jc w:val="center"/>
        <w:rPr>
          <w:rFonts w:ascii="Times New Roman" w:hAnsi="Times New Roman"/>
          <w:color w:val="000000"/>
          <w:sz w:val="24"/>
          <w:szCs w:val="24"/>
        </w:rPr>
      </w:pPr>
      <w:r w:rsidRPr="003B10E2">
        <w:rPr>
          <w:rFonts w:ascii="Times New Roman" w:hAnsi="Times New Roman"/>
          <w:noProof/>
          <w:color w:val="000000"/>
          <w:sz w:val="24"/>
          <w:szCs w:val="24"/>
        </w:rPr>
        <w:drawing>
          <wp:inline distT="0" distB="0" distL="0" distR="0" wp14:anchorId="5CD0EB48" wp14:editId="55DF1EF1">
            <wp:extent cx="5914390" cy="2961640"/>
            <wp:effectExtent l="0" t="0" r="0" b="0"/>
            <wp:docPr id="1436410060" name="Рисунок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9"/>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4390" cy="2961640"/>
                    </a:xfrm>
                    <a:prstGeom prst="rect">
                      <a:avLst/>
                    </a:prstGeom>
                    <a:noFill/>
                  </pic:spPr>
                </pic:pic>
              </a:graphicData>
            </a:graphic>
          </wp:inline>
        </w:drawing>
      </w:r>
      <w:r w:rsidR="0066380D" w:rsidRPr="003B10E2">
        <w:rPr>
          <w:rFonts w:ascii="Times New Roman" w:hAnsi="Times New Roman"/>
          <w:color w:val="000000"/>
          <w:sz w:val="24"/>
          <w:szCs w:val="24"/>
        </w:rPr>
        <w:t>Источник: Thomson Reuters.</w:t>
      </w:r>
    </w:p>
    <w:p w14:paraId="4F9231CB" w14:textId="77777777" w:rsidR="00BD245A" w:rsidRPr="003B10E2" w:rsidRDefault="00B5228C" w:rsidP="003C09E8">
      <w:pPr>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Рисунок 4 –</w:t>
      </w:r>
      <w:r w:rsidR="00BD245A" w:rsidRPr="003B10E2">
        <w:rPr>
          <w:rFonts w:ascii="Times New Roman" w:hAnsi="Times New Roman"/>
          <w:color w:val="000000"/>
          <w:sz w:val="24"/>
          <w:szCs w:val="24"/>
        </w:rPr>
        <w:t xml:space="preserve"> Динамика изменения ф</w:t>
      </w:r>
      <w:r w:rsidR="0066380D" w:rsidRPr="003B10E2">
        <w:rPr>
          <w:rFonts w:ascii="Times New Roman" w:hAnsi="Times New Roman"/>
          <w:color w:val="000000"/>
          <w:sz w:val="24"/>
          <w:szCs w:val="24"/>
        </w:rPr>
        <w:t xml:space="preserve">ондовых индексов стран БРИКС, </w:t>
      </w:r>
      <w:r w:rsidRPr="003B10E2">
        <w:rPr>
          <w:rFonts w:ascii="Times New Roman" w:hAnsi="Times New Roman"/>
          <w:color w:val="000000"/>
          <w:sz w:val="24"/>
          <w:szCs w:val="24"/>
        </w:rPr>
        <w:t>%</w:t>
      </w:r>
    </w:p>
    <w:p w14:paraId="368D1030"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Низкое значения теста Харке — Бера для всех индексов и валют означает ассиметричные реакции и ненормальное поведение (табл</w:t>
      </w:r>
      <w:r w:rsidR="00BC1DEC" w:rsidRPr="003B10E2">
        <w:rPr>
          <w:rFonts w:ascii="Times New Roman" w:hAnsi="Times New Roman"/>
          <w:color w:val="000000"/>
          <w:sz w:val="28"/>
          <w:szCs w:val="28"/>
        </w:rPr>
        <w:t xml:space="preserve">ица </w:t>
      </w:r>
      <w:r w:rsidRPr="003B10E2">
        <w:rPr>
          <w:rFonts w:ascii="Times New Roman" w:hAnsi="Times New Roman"/>
          <w:color w:val="000000"/>
          <w:sz w:val="28"/>
          <w:szCs w:val="28"/>
        </w:rPr>
        <w:t xml:space="preserve">3). Тест Лджунга — Бокса показывает серийную зависимость волатильности всех активов, кроме фондового индекса Бразилии и китайского юаня. Это указывает на то, что модель FIGARCH может быть пригодна для данной условной дисперсии процессов. </w:t>
      </w:r>
    </w:p>
    <w:p w14:paraId="5CB2DA4D" w14:textId="77777777" w:rsidR="00BD245A" w:rsidRPr="003B10E2" w:rsidRDefault="00BD245A" w:rsidP="003C09E8">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Тесты Дики — Фуллера и KPSS используются для оценки стационарности процессов. Эти тесты показывают, что все ряды стационарны и поэтому пригодны для дальнейшего обследования. </w:t>
      </w:r>
    </w:p>
    <w:p w14:paraId="546DA625" w14:textId="77777777" w:rsidR="00AD26CF" w:rsidRPr="003B10E2" w:rsidRDefault="00BD245A" w:rsidP="003C09E8">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Как правило, внезапные изменения цен на активы являются результатом различных внутренних и международных событий, которые вызывают неадекватное поведение различных групп инвесторов. Чтобы их выявить, целесообразно применять ICSS-алгоритм. Этот алгоритм подходит для обнаружения внезапных изменений и был нами апробирован. </w:t>
      </w:r>
    </w:p>
    <w:p w14:paraId="0D8BC20B" w14:textId="77777777" w:rsidR="003C09E8" w:rsidRPr="003B10E2" w:rsidRDefault="003C09E8" w:rsidP="003C09E8">
      <w:pPr>
        <w:spacing w:after="0" w:line="240" w:lineRule="auto"/>
        <w:ind w:firstLine="851"/>
        <w:contextualSpacing/>
        <w:jc w:val="both"/>
        <w:rPr>
          <w:rFonts w:ascii="Times New Roman" w:hAnsi="Times New Roman"/>
          <w:color w:val="000000"/>
          <w:sz w:val="28"/>
          <w:szCs w:val="28"/>
        </w:rPr>
      </w:pPr>
    </w:p>
    <w:p w14:paraId="459FE95A" w14:textId="77777777" w:rsidR="003C09E8" w:rsidRPr="003B10E2" w:rsidRDefault="00005F68" w:rsidP="003C09E8">
      <w:pPr>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Таблица 3 – Анализ временных рядов волатильности [271]</w:t>
      </w:r>
    </w:p>
    <w:p w14:paraId="22C7F4DE" w14:textId="77777777" w:rsidR="003C09E8" w:rsidRPr="003B10E2" w:rsidRDefault="003C09E8" w:rsidP="003C09E8">
      <w:pPr>
        <w:spacing w:after="0" w:line="240" w:lineRule="auto"/>
        <w:contextualSpacing/>
        <w:rPr>
          <w:rFonts w:ascii="Times New Roman" w:hAnsi="Times New Roman"/>
          <w:color w:val="000000"/>
          <w:sz w:val="24"/>
          <w:szCs w:val="24"/>
        </w:rPr>
      </w:pPr>
    </w:p>
    <w:tbl>
      <w:tblPr>
        <w:tblW w:w="9356" w:type="dxa"/>
        <w:tblInd w:w="-5" w:type="dxa"/>
        <w:tblLayout w:type="fixed"/>
        <w:tblLook w:val="04A0" w:firstRow="1" w:lastRow="0" w:firstColumn="1" w:lastColumn="0" w:noHBand="0" w:noVBand="1"/>
      </w:tblPr>
      <w:tblGrid>
        <w:gridCol w:w="1843"/>
        <w:gridCol w:w="992"/>
        <w:gridCol w:w="851"/>
        <w:gridCol w:w="992"/>
        <w:gridCol w:w="992"/>
        <w:gridCol w:w="851"/>
        <w:gridCol w:w="850"/>
        <w:gridCol w:w="1134"/>
        <w:gridCol w:w="851"/>
      </w:tblGrid>
      <w:tr w:rsidR="00BD245A" w:rsidRPr="003B10E2" w14:paraId="3B81E8B5" w14:textId="77777777" w:rsidTr="001F3E90">
        <w:trPr>
          <w:trHeight w:val="282"/>
        </w:trPr>
        <w:tc>
          <w:tcPr>
            <w:tcW w:w="1843" w:type="dxa"/>
            <w:vMerge w:val="restart"/>
            <w:tcBorders>
              <w:top w:val="single" w:sz="4" w:space="0" w:color="000000"/>
              <w:left w:val="single" w:sz="4" w:space="0" w:color="000000"/>
              <w:bottom w:val="double" w:sz="4" w:space="0" w:color="000000"/>
              <w:right w:val="single" w:sz="4" w:space="0" w:color="000000"/>
            </w:tcBorders>
            <w:vAlign w:val="bottom"/>
          </w:tcPr>
          <w:p w14:paraId="6C09B3F3" w14:textId="77777777" w:rsidR="00BD245A" w:rsidRPr="003B10E2" w:rsidRDefault="00BD245A" w:rsidP="00B5228C">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Параметр</w:t>
            </w:r>
          </w:p>
        </w:tc>
        <w:tc>
          <w:tcPr>
            <w:tcW w:w="3827" w:type="dxa"/>
            <w:gridSpan w:val="4"/>
            <w:tcBorders>
              <w:top w:val="single" w:sz="4" w:space="0" w:color="000000"/>
              <w:bottom w:val="single" w:sz="4" w:space="0" w:color="000000"/>
              <w:right w:val="single" w:sz="4" w:space="0" w:color="000000"/>
            </w:tcBorders>
            <w:vAlign w:val="bottom"/>
          </w:tcPr>
          <w:p w14:paraId="4B49602C" w14:textId="77777777" w:rsidR="00BD245A" w:rsidRPr="003B10E2" w:rsidRDefault="00BD245A" w:rsidP="00B5228C">
            <w:pPr>
              <w:widowControl w:val="0"/>
              <w:spacing w:after="0" w:line="240" w:lineRule="auto"/>
              <w:ind w:firstLine="851"/>
              <w:contextualSpacing/>
              <w:rPr>
                <w:rFonts w:ascii="Times New Roman" w:hAnsi="Times New Roman"/>
                <w:color w:val="000000"/>
                <w:sz w:val="24"/>
                <w:szCs w:val="24"/>
              </w:rPr>
            </w:pPr>
            <w:r w:rsidRPr="003B10E2">
              <w:rPr>
                <w:rFonts w:ascii="Times New Roman" w:hAnsi="Times New Roman"/>
                <w:color w:val="000000"/>
                <w:sz w:val="24"/>
                <w:szCs w:val="24"/>
              </w:rPr>
              <w:t>Индексы</w:t>
            </w:r>
          </w:p>
        </w:tc>
        <w:tc>
          <w:tcPr>
            <w:tcW w:w="3686" w:type="dxa"/>
            <w:gridSpan w:val="4"/>
            <w:tcBorders>
              <w:top w:val="single" w:sz="4" w:space="0" w:color="000000"/>
              <w:bottom w:val="single" w:sz="4" w:space="0" w:color="000000"/>
              <w:right w:val="single" w:sz="4" w:space="0" w:color="000000"/>
            </w:tcBorders>
            <w:vAlign w:val="bottom"/>
          </w:tcPr>
          <w:p w14:paraId="58FB4B3A" w14:textId="77777777" w:rsidR="00BD245A" w:rsidRPr="003B10E2" w:rsidRDefault="00BD245A" w:rsidP="00B5228C">
            <w:pPr>
              <w:widowControl w:val="0"/>
              <w:spacing w:after="0" w:line="240" w:lineRule="auto"/>
              <w:ind w:firstLine="851"/>
              <w:contextualSpacing/>
              <w:rPr>
                <w:rFonts w:ascii="Times New Roman" w:hAnsi="Times New Roman"/>
                <w:color w:val="000000"/>
                <w:sz w:val="24"/>
                <w:szCs w:val="24"/>
              </w:rPr>
            </w:pPr>
            <w:r w:rsidRPr="003B10E2">
              <w:rPr>
                <w:rFonts w:ascii="Times New Roman" w:hAnsi="Times New Roman"/>
                <w:color w:val="000000"/>
                <w:sz w:val="24"/>
                <w:szCs w:val="24"/>
              </w:rPr>
              <w:t>Валюты</w:t>
            </w:r>
          </w:p>
        </w:tc>
      </w:tr>
      <w:tr w:rsidR="00BD245A" w:rsidRPr="003B10E2" w14:paraId="72319B58" w14:textId="77777777" w:rsidTr="001F3E90">
        <w:trPr>
          <w:trHeight w:val="282"/>
        </w:trPr>
        <w:tc>
          <w:tcPr>
            <w:tcW w:w="1843" w:type="dxa"/>
            <w:vMerge/>
            <w:tcBorders>
              <w:top w:val="single" w:sz="4" w:space="0" w:color="000000"/>
              <w:left w:val="single" w:sz="4" w:space="0" w:color="000000"/>
              <w:bottom w:val="double" w:sz="4" w:space="0" w:color="000000"/>
              <w:right w:val="single" w:sz="4" w:space="0" w:color="000000"/>
            </w:tcBorders>
            <w:vAlign w:val="center"/>
          </w:tcPr>
          <w:p w14:paraId="01C92C2B" w14:textId="77777777" w:rsidR="00BD245A" w:rsidRPr="003B10E2" w:rsidRDefault="00BD245A" w:rsidP="00B5228C">
            <w:pPr>
              <w:widowControl w:val="0"/>
              <w:spacing w:after="0" w:line="240" w:lineRule="auto"/>
              <w:ind w:firstLine="851"/>
              <w:contextualSpacing/>
              <w:rPr>
                <w:rFonts w:ascii="Times New Roman" w:hAnsi="Times New Roman"/>
                <w:color w:val="000000"/>
                <w:sz w:val="24"/>
                <w:szCs w:val="24"/>
              </w:rPr>
            </w:pPr>
          </w:p>
        </w:tc>
        <w:tc>
          <w:tcPr>
            <w:tcW w:w="992" w:type="dxa"/>
            <w:tcBorders>
              <w:bottom w:val="double" w:sz="4" w:space="0" w:color="000000"/>
              <w:right w:val="single" w:sz="4" w:space="0" w:color="000000"/>
            </w:tcBorders>
            <w:vAlign w:val="bottom"/>
          </w:tcPr>
          <w:p w14:paraId="1DB01AE1"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BSE 500</w:t>
            </w:r>
          </w:p>
        </w:tc>
        <w:tc>
          <w:tcPr>
            <w:tcW w:w="851" w:type="dxa"/>
            <w:tcBorders>
              <w:bottom w:val="double" w:sz="4" w:space="0" w:color="000000"/>
              <w:right w:val="single" w:sz="4" w:space="0" w:color="000000"/>
            </w:tcBorders>
            <w:vAlign w:val="bottom"/>
          </w:tcPr>
          <w:p w14:paraId="0803F87E"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IBOVESPA</w:t>
            </w:r>
          </w:p>
        </w:tc>
        <w:tc>
          <w:tcPr>
            <w:tcW w:w="992" w:type="dxa"/>
            <w:tcBorders>
              <w:bottom w:val="double" w:sz="4" w:space="0" w:color="000000"/>
              <w:right w:val="single" w:sz="4" w:space="0" w:color="000000"/>
            </w:tcBorders>
            <w:vAlign w:val="bottom"/>
          </w:tcPr>
          <w:p w14:paraId="1B60C095"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MICEX</w:t>
            </w:r>
          </w:p>
        </w:tc>
        <w:tc>
          <w:tcPr>
            <w:tcW w:w="992" w:type="dxa"/>
            <w:tcBorders>
              <w:bottom w:val="double" w:sz="4" w:space="0" w:color="000000"/>
              <w:right w:val="single" w:sz="4" w:space="0" w:color="000000"/>
            </w:tcBorders>
            <w:vAlign w:val="bottom"/>
          </w:tcPr>
          <w:p w14:paraId="69C8E08E"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SHA</w:t>
            </w:r>
          </w:p>
        </w:tc>
        <w:tc>
          <w:tcPr>
            <w:tcW w:w="851" w:type="dxa"/>
            <w:tcBorders>
              <w:bottom w:val="double" w:sz="4" w:space="0" w:color="000000"/>
              <w:right w:val="single" w:sz="4" w:space="0" w:color="000000"/>
            </w:tcBorders>
            <w:vAlign w:val="bottom"/>
          </w:tcPr>
          <w:p w14:paraId="5A5B8BEA"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INR</w:t>
            </w:r>
          </w:p>
        </w:tc>
        <w:tc>
          <w:tcPr>
            <w:tcW w:w="850" w:type="dxa"/>
            <w:tcBorders>
              <w:bottom w:val="double" w:sz="4" w:space="0" w:color="000000"/>
              <w:right w:val="single" w:sz="4" w:space="0" w:color="000000"/>
            </w:tcBorders>
            <w:vAlign w:val="bottom"/>
          </w:tcPr>
          <w:p w14:paraId="0513722B"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BRL</w:t>
            </w:r>
          </w:p>
        </w:tc>
        <w:tc>
          <w:tcPr>
            <w:tcW w:w="1134" w:type="dxa"/>
            <w:tcBorders>
              <w:bottom w:val="double" w:sz="4" w:space="0" w:color="000000"/>
              <w:right w:val="single" w:sz="4" w:space="0" w:color="000000"/>
            </w:tcBorders>
            <w:vAlign w:val="bottom"/>
          </w:tcPr>
          <w:p w14:paraId="560F8D26"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RUB</w:t>
            </w:r>
          </w:p>
        </w:tc>
        <w:tc>
          <w:tcPr>
            <w:tcW w:w="851" w:type="dxa"/>
            <w:tcBorders>
              <w:bottom w:val="double" w:sz="4" w:space="0" w:color="000000"/>
              <w:right w:val="single" w:sz="4" w:space="0" w:color="000000"/>
            </w:tcBorders>
            <w:vAlign w:val="bottom"/>
          </w:tcPr>
          <w:p w14:paraId="2DA6C71E"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CNY</w:t>
            </w:r>
          </w:p>
        </w:tc>
      </w:tr>
      <w:tr w:rsidR="00BD245A" w:rsidRPr="003B10E2" w14:paraId="79FC21ED" w14:textId="77777777" w:rsidTr="001F3E90">
        <w:trPr>
          <w:trHeight w:val="282"/>
        </w:trPr>
        <w:tc>
          <w:tcPr>
            <w:tcW w:w="1843" w:type="dxa"/>
            <w:tcBorders>
              <w:top w:val="double" w:sz="4" w:space="0" w:color="000000"/>
              <w:left w:val="single" w:sz="4" w:space="0" w:color="000000"/>
              <w:bottom w:val="single" w:sz="4" w:space="0" w:color="000000"/>
              <w:right w:val="single" w:sz="4" w:space="0" w:color="000000"/>
            </w:tcBorders>
            <w:vAlign w:val="bottom"/>
          </w:tcPr>
          <w:p w14:paraId="742169D0" w14:textId="77777777" w:rsidR="00BD245A" w:rsidRPr="003B10E2" w:rsidRDefault="00BD245A" w:rsidP="00B5228C">
            <w:pPr>
              <w:widowControl w:val="0"/>
              <w:spacing w:after="0" w:line="240" w:lineRule="auto"/>
              <w:contextualSpacing/>
              <w:rPr>
                <w:rFonts w:ascii="Times New Roman" w:hAnsi="Times New Roman"/>
                <w:sz w:val="24"/>
                <w:szCs w:val="24"/>
              </w:rPr>
            </w:pPr>
            <w:r w:rsidRPr="003B10E2">
              <w:rPr>
                <w:rFonts w:ascii="Times New Roman" w:hAnsi="Times New Roman"/>
                <w:color w:val="000000"/>
                <w:sz w:val="24"/>
                <w:szCs w:val="24"/>
              </w:rPr>
              <w:t>Среднее</w:t>
            </w:r>
          </w:p>
        </w:tc>
        <w:tc>
          <w:tcPr>
            <w:tcW w:w="992" w:type="dxa"/>
            <w:tcBorders>
              <w:top w:val="double" w:sz="4" w:space="0" w:color="000000"/>
              <w:bottom w:val="single" w:sz="4" w:space="0" w:color="000000"/>
              <w:right w:val="single" w:sz="4" w:space="0" w:color="000000"/>
            </w:tcBorders>
            <w:vAlign w:val="bottom"/>
          </w:tcPr>
          <w:p w14:paraId="40E551AA"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0,076</w:t>
            </w:r>
          </w:p>
        </w:tc>
        <w:tc>
          <w:tcPr>
            <w:tcW w:w="851" w:type="dxa"/>
            <w:tcBorders>
              <w:top w:val="double" w:sz="4" w:space="0" w:color="000000"/>
              <w:bottom w:val="single" w:sz="4" w:space="0" w:color="000000"/>
              <w:right w:val="single" w:sz="4" w:space="0" w:color="000000"/>
            </w:tcBorders>
            <w:vAlign w:val="bottom"/>
          </w:tcPr>
          <w:p w14:paraId="387ABF66"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0,023</w:t>
            </w:r>
          </w:p>
        </w:tc>
        <w:tc>
          <w:tcPr>
            <w:tcW w:w="992" w:type="dxa"/>
            <w:tcBorders>
              <w:top w:val="double" w:sz="4" w:space="0" w:color="000000"/>
              <w:bottom w:val="single" w:sz="4" w:space="0" w:color="000000"/>
              <w:right w:val="single" w:sz="4" w:space="0" w:color="000000"/>
            </w:tcBorders>
            <w:vAlign w:val="bottom"/>
          </w:tcPr>
          <w:p w14:paraId="580D8152"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0,057</w:t>
            </w:r>
          </w:p>
        </w:tc>
        <w:tc>
          <w:tcPr>
            <w:tcW w:w="992" w:type="dxa"/>
            <w:tcBorders>
              <w:top w:val="double" w:sz="4" w:space="0" w:color="000000"/>
              <w:bottom w:val="single" w:sz="4" w:space="0" w:color="000000"/>
              <w:right w:val="single" w:sz="4" w:space="0" w:color="000000"/>
            </w:tcBorders>
            <w:vAlign w:val="bottom"/>
          </w:tcPr>
          <w:p w14:paraId="19271BC1"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0,028</w:t>
            </w:r>
          </w:p>
        </w:tc>
        <w:tc>
          <w:tcPr>
            <w:tcW w:w="851" w:type="dxa"/>
            <w:tcBorders>
              <w:top w:val="double" w:sz="4" w:space="0" w:color="000000"/>
              <w:bottom w:val="single" w:sz="4" w:space="0" w:color="000000"/>
              <w:right w:val="single" w:sz="4" w:space="0" w:color="000000"/>
            </w:tcBorders>
            <w:vAlign w:val="bottom"/>
          </w:tcPr>
          <w:p w14:paraId="0C608359"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0,008</w:t>
            </w:r>
          </w:p>
        </w:tc>
        <w:tc>
          <w:tcPr>
            <w:tcW w:w="850" w:type="dxa"/>
            <w:tcBorders>
              <w:top w:val="double" w:sz="4" w:space="0" w:color="000000"/>
              <w:bottom w:val="single" w:sz="4" w:space="0" w:color="000000"/>
              <w:right w:val="single" w:sz="4" w:space="0" w:color="000000"/>
            </w:tcBorders>
            <w:vAlign w:val="bottom"/>
          </w:tcPr>
          <w:p w14:paraId="6D9BA4B4"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0,022</w:t>
            </w:r>
          </w:p>
        </w:tc>
        <w:tc>
          <w:tcPr>
            <w:tcW w:w="1134" w:type="dxa"/>
            <w:tcBorders>
              <w:top w:val="double" w:sz="4" w:space="0" w:color="000000"/>
              <w:bottom w:val="single" w:sz="4" w:space="0" w:color="000000"/>
              <w:right w:val="single" w:sz="4" w:space="0" w:color="000000"/>
            </w:tcBorders>
            <w:vAlign w:val="bottom"/>
          </w:tcPr>
          <w:p w14:paraId="070A7026"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0,037</w:t>
            </w:r>
          </w:p>
        </w:tc>
        <w:tc>
          <w:tcPr>
            <w:tcW w:w="851" w:type="dxa"/>
            <w:tcBorders>
              <w:top w:val="double" w:sz="4" w:space="0" w:color="000000"/>
              <w:bottom w:val="single" w:sz="4" w:space="0" w:color="000000"/>
              <w:right w:val="single" w:sz="4" w:space="0" w:color="000000"/>
            </w:tcBorders>
            <w:vAlign w:val="bottom"/>
          </w:tcPr>
          <w:p w14:paraId="367D24DE"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-0,009</w:t>
            </w:r>
          </w:p>
        </w:tc>
      </w:tr>
      <w:tr w:rsidR="00BD245A" w:rsidRPr="003B10E2" w14:paraId="5F44966A" w14:textId="77777777" w:rsidTr="001F3E90">
        <w:trPr>
          <w:trHeight w:val="282"/>
        </w:trPr>
        <w:tc>
          <w:tcPr>
            <w:tcW w:w="1843" w:type="dxa"/>
            <w:tcBorders>
              <w:left w:val="single" w:sz="4" w:space="0" w:color="000000"/>
              <w:bottom w:val="single" w:sz="4" w:space="0" w:color="000000"/>
              <w:right w:val="single" w:sz="4" w:space="0" w:color="000000"/>
            </w:tcBorders>
            <w:vAlign w:val="bottom"/>
          </w:tcPr>
          <w:p w14:paraId="58AE73A9" w14:textId="77777777" w:rsidR="00BD245A" w:rsidRPr="003B10E2" w:rsidRDefault="00BD245A" w:rsidP="00B5228C">
            <w:pPr>
              <w:widowControl w:val="0"/>
              <w:spacing w:after="0" w:line="240" w:lineRule="auto"/>
              <w:contextualSpacing/>
              <w:rPr>
                <w:rFonts w:ascii="Times New Roman" w:hAnsi="Times New Roman"/>
                <w:sz w:val="24"/>
                <w:szCs w:val="24"/>
              </w:rPr>
            </w:pPr>
            <w:r w:rsidRPr="003B10E2">
              <w:rPr>
                <w:rFonts w:ascii="Times New Roman" w:hAnsi="Times New Roman"/>
                <w:color w:val="000000"/>
                <w:sz w:val="24"/>
                <w:szCs w:val="24"/>
              </w:rPr>
              <w:t>Ст. отклонение</w:t>
            </w:r>
          </w:p>
        </w:tc>
        <w:tc>
          <w:tcPr>
            <w:tcW w:w="992" w:type="dxa"/>
            <w:tcBorders>
              <w:bottom w:val="single" w:sz="4" w:space="0" w:color="000000"/>
              <w:right w:val="single" w:sz="4" w:space="0" w:color="000000"/>
            </w:tcBorders>
            <w:vAlign w:val="bottom"/>
          </w:tcPr>
          <w:p w14:paraId="37981042"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1,218</w:t>
            </w:r>
          </w:p>
        </w:tc>
        <w:tc>
          <w:tcPr>
            <w:tcW w:w="851" w:type="dxa"/>
            <w:tcBorders>
              <w:bottom w:val="single" w:sz="4" w:space="0" w:color="000000"/>
              <w:right w:val="single" w:sz="4" w:space="0" w:color="000000"/>
            </w:tcBorders>
            <w:vAlign w:val="bottom"/>
          </w:tcPr>
          <w:p w14:paraId="5FB48319"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1,488</w:t>
            </w:r>
          </w:p>
        </w:tc>
        <w:tc>
          <w:tcPr>
            <w:tcW w:w="992" w:type="dxa"/>
            <w:tcBorders>
              <w:bottom w:val="single" w:sz="4" w:space="0" w:color="000000"/>
              <w:right w:val="single" w:sz="4" w:space="0" w:color="000000"/>
            </w:tcBorders>
            <w:vAlign w:val="bottom"/>
          </w:tcPr>
          <w:p w14:paraId="2B164F18"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1,559</w:t>
            </w:r>
          </w:p>
        </w:tc>
        <w:tc>
          <w:tcPr>
            <w:tcW w:w="992" w:type="dxa"/>
            <w:tcBorders>
              <w:bottom w:val="single" w:sz="4" w:space="0" w:color="000000"/>
              <w:right w:val="single" w:sz="4" w:space="0" w:color="000000"/>
            </w:tcBorders>
            <w:vAlign w:val="bottom"/>
          </w:tcPr>
          <w:p w14:paraId="11E50C9C"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1,565</w:t>
            </w:r>
          </w:p>
        </w:tc>
        <w:tc>
          <w:tcPr>
            <w:tcW w:w="851" w:type="dxa"/>
            <w:tcBorders>
              <w:bottom w:val="single" w:sz="4" w:space="0" w:color="000000"/>
              <w:right w:val="single" w:sz="4" w:space="0" w:color="000000"/>
            </w:tcBorders>
            <w:vAlign w:val="bottom"/>
          </w:tcPr>
          <w:p w14:paraId="1B217BB0"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0,649</w:t>
            </w:r>
          </w:p>
        </w:tc>
        <w:tc>
          <w:tcPr>
            <w:tcW w:w="850" w:type="dxa"/>
            <w:tcBorders>
              <w:bottom w:val="single" w:sz="4" w:space="0" w:color="000000"/>
              <w:right w:val="single" w:sz="4" w:space="0" w:color="000000"/>
            </w:tcBorders>
            <w:vAlign w:val="bottom"/>
          </w:tcPr>
          <w:p w14:paraId="6E92DF8F"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0,933</w:t>
            </w:r>
          </w:p>
        </w:tc>
        <w:tc>
          <w:tcPr>
            <w:tcW w:w="1134" w:type="dxa"/>
            <w:tcBorders>
              <w:bottom w:val="single" w:sz="4" w:space="0" w:color="000000"/>
              <w:right w:val="single" w:sz="4" w:space="0" w:color="000000"/>
            </w:tcBorders>
            <w:vAlign w:val="bottom"/>
          </w:tcPr>
          <w:p w14:paraId="13975BE0"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1,115</w:t>
            </w:r>
          </w:p>
        </w:tc>
        <w:tc>
          <w:tcPr>
            <w:tcW w:w="851" w:type="dxa"/>
            <w:tcBorders>
              <w:bottom w:val="single" w:sz="4" w:space="0" w:color="000000"/>
              <w:right w:val="single" w:sz="4" w:space="0" w:color="000000"/>
            </w:tcBorders>
            <w:vAlign w:val="bottom"/>
          </w:tcPr>
          <w:p w14:paraId="30AC5BA5"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0,611</w:t>
            </w:r>
          </w:p>
        </w:tc>
      </w:tr>
      <w:tr w:rsidR="00BD245A" w:rsidRPr="003B10E2" w14:paraId="70F588DA" w14:textId="77777777" w:rsidTr="001F3E90">
        <w:trPr>
          <w:trHeight w:val="282"/>
        </w:trPr>
        <w:tc>
          <w:tcPr>
            <w:tcW w:w="1843" w:type="dxa"/>
            <w:tcBorders>
              <w:left w:val="single" w:sz="4" w:space="0" w:color="000000"/>
              <w:bottom w:val="single" w:sz="4" w:space="0" w:color="000000"/>
              <w:right w:val="single" w:sz="4" w:space="0" w:color="000000"/>
            </w:tcBorders>
            <w:vAlign w:val="bottom"/>
          </w:tcPr>
          <w:p w14:paraId="654B59AA" w14:textId="77777777" w:rsidR="00BD245A" w:rsidRPr="003B10E2" w:rsidRDefault="00BD245A" w:rsidP="00B5228C">
            <w:pPr>
              <w:widowControl w:val="0"/>
              <w:spacing w:after="0" w:line="240" w:lineRule="auto"/>
              <w:contextualSpacing/>
              <w:rPr>
                <w:rFonts w:ascii="Times New Roman" w:hAnsi="Times New Roman"/>
                <w:sz w:val="24"/>
                <w:szCs w:val="24"/>
              </w:rPr>
            </w:pPr>
            <w:r w:rsidRPr="003B10E2">
              <w:rPr>
                <w:rFonts w:ascii="Times New Roman" w:hAnsi="Times New Roman"/>
                <w:color w:val="000000"/>
                <w:sz w:val="24"/>
                <w:szCs w:val="24"/>
              </w:rPr>
              <w:t>Асимметрия*</w:t>
            </w:r>
          </w:p>
        </w:tc>
        <w:tc>
          <w:tcPr>
            <w:tcW w:w="992" w:type="dxa"/>
            <w:tcBorders>
              <w:bottom w:val="single" w:sz="4" w:space="0" w:color="000000"/>
              <w:right w:val="single" w:sz="4" w:space="0" w:color="000000"/>
            </w:tcBorders>
            <w:vAlign w:val="bottom"/>
          </w:tcPr>
          <w:p w14:paraId="16BBC3F3"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1,227</w:t>
            </w:r>
          </w:p>
        </w:tc>
        <w:tc>
          <w:tcPr>
            <w:tcW w:w="851" w:type="dxa"/>
            <w:tcBorders>
              <w:bottom w:val="single" w:sz="4" w:space="0" w:color="000000"/>
              <w:right w:val="single" w:sz="4" w:space="0" w:color="000000"/>
            </w:tcBorders>
            <w:vAlign w:val="bottom"/>
          </w:tcPr>
          <w:p w14:paraId="3C58F80D"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0,115</w:t>
            </w:r>
          </w:p>
        </w:tc>
        <w:tc>
          <w:tcPr>
            <w:tcW w:w="992" w:type="dxa"/>
            <w:tcBorders>
              <w:bottom w:val="single" w:sz="4" w:space="0" w:color="000000"/>
              <w:right w:val="single" w:sz="4" w:space="0" w:color="000000"/>
            </w:tcBorders>
            <w:vAlign w:val="bottom"/>
          </w:tcPr>
          <w:p w14:paraId="3C30DC18"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-0,281</w:t>
            </w:r>
          </w:p>
        </w:tc>
        <w:tc>
          <w:tcPr>
            <w:tcW w:w="992" w:type="dxa"/>
            <w:tcBorders>
              <w:bottom w:val="single" w:sz="4" w:space="0" w:color="000000"/>
              <w:right w:val="single" w:sz="4" w:space="0" w:color="000000"/>
            </w:tcBorders>
            <w:vAlign w:val="bottom"/>
          </w:tcPr>
          <w:p w14:paraId="39786899"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-0,708</w:t>
            </w:r>
          </w:p>
        </w:tc>
        <w:tc>
          <w:tcPr>
            <w:tcW w:w="851" w:type="dxa"/>
            <w:tcBorders>
              <w:bottom w:val="single" w:sz="4" w:space="0" w:color="000000"/>
              <w:right w:val="single" w:sz="4" w:space="0" w:color="000000"/>
            </w:tcBorders>
            <w:vAlign w:val="bottom"/>
          </w:tcPr>
          <w:p w14:paraId="5B51944A"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0,081</w:t>
            </w:r>
          </w:p>
        </w:tc>
        <w:tc>
          <w:tcPr>
            <w:tcW w:w="850" w:type="dxa"/>
            <w:tcBorders>
              <w:bottom w:val="single" w:sz="4" w:space="0" w:color="000000"/>
              <w:right w:val="single" w:sz="4" w:space="0" w:color="000000"/>
            </w:tcBorders>
            <w:vAlign w:val="bottom"/>
          </w:tcPr>
          <w:p w14:paraId="63B2CB80"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-0,174</w:t>
            </w:r>
          </w:p>
        </w:tc>
        <w:tc>
          <w:tcPr>
            <w:tcW w:w="1134" w:type="dxa"/>
            <w:tcBorders>
              <w:bottom w:val="single" w:sz="4" w:space="0" w:color="000000"/>
              <w:right w:val="single" w:sz="4" w:space="0" w:color="000000"/>
            </w:tcBorders>
            <w:vAlign w:val="bottom"/>
          </w:tcPr>
          <w:p w14:paraId="5D35C790"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4,047</w:t>
            </w:r>
          </w:p>
        </w:tc>
        <w:tc>
          <w:tcPr>
            <w:tcW w:w="851" w:type="dxa"/>
            <w:tcBorders>
              <w:bottom w:val="single" w:sz="4" w:space="0" w:color="000000"/>
              <w:right w:val="single" w:sz="4" w:space="0" w:color="000000"/>
            </w:tcBorders>
            <w:vAlign w:val="bottom"/>
          </w:tcPr>
          <w:p w14:paraId="7335C5E3"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0,040</w:t>
            </w:r>
          </w:p>
        </w:tc>
      </w:tr>
      <w:tr w:rsidR="00BD245A" w:rsidRPr="003B10E2" w14:paraId="520770B8" w14:textId="77777777" w:rsidTr="001F3E90">
        <w:trPr>
          <w:trHeight w:val="375"/>
        </w:trPr>
        <w:tc>
          <w:tcPr>
            <w:tcW w:w="1843" w:type="dxa"/>
            <w:tcBorders>
              <w:left w:val="single" w:sz="4" w:space="0" w:color="000000"/>
              <w:bottom w:val="single" w:sz="4" w:space="0" w:color="000000"/>
              <w:right w:val="single" w:sz="4" w:space="0" w:color="000000"/>
            </w:tcBorders>
            <w:vAlign w:val="bottom"/>
          </w:tcPr>
          <w:p w14:paraId="169008E9" w14:textId="77777777" w:rsidR="00BD245A" w:rsidRPr="003B10E2" w:rsidRDefault="00BD245A" w:rsidP="00B5228C">
            <w:pPr>
              <w:widowControl w:val="0"/>
              <w:spacing w:after="0" w:line="240" w:lineRule="auto"/>
              <w:contextualSpacing/>
              <w:rPr>
                <w:rFonts w:ascii="Times New Roman" w:hAnsi="Times New Roman"/>
                <w:sz w:val="24"/>
                <w:szCs w:val="24"/>
              </w:rPr>
            </w:pPr>
            <w:r w:rsidRPr="003B10E2">
              <w:rPr>
                <w:rFonts w:ascii="Times New Roman" w:hAnsi="Times New Roman"/>
                <w:color w:val="000000"/>
                <w:sz w:val="24"/>
                <w:szCs w:val="24"/>
              </w:rPr>
              <w:t>Эксцесс**</w:t>
            </w:r>
          </w:p>
        </w:tc>
        <w:tc>
          <w:tcPr>
            <w:tcW w:w="992" w:type="dxa"/>
            <w:tcBorders>
              <w:bottom w:val="single" w:sz="4" w:space="0" w:color="000000"/>
              <w:right w:val="single" w:sz="4" w:space="0" w:color="000000"/>
            </w:tcBorders>
            <w:vAlign w:val="bottom"/>
          </w:tcPr>
          <w:p w14:paraId="2EB293E9" w14:textId="77777777" w:rsidR="00BD245A" w:rsidRPr="003B10E2" w:rsidRDefault="00BD245A" w:rsidP="003C09E8">
            <w:pPr>
              <w:widowControl w:val="0"/>
              <w:spacing w:after="0" w:line="240" w:lineRule="auto"/>
              <w:ind w:firstLine="851"/>
              <w:contextualSpacing/>
              <w:jc w:val="center"/>
              <w:rPr>
                <w:rFonts w:ascii="Times New Roman" w:hAnsi="Times New Roman"/>
                <w:color w:val="000000"/>
                <w:sz w:val="24"/>
                <w:szCs w:val="24"/>
              </w:rPr>
            </w:pPr>
            <w:r w:rsidRPr="003B10E2">
              <w:rPr>
                <w:rFonts w:ascii="Times New Roman" w:hAnsi="Times New Roman"/>
                <w:color w:val="000000"/>
                <w:sz w:val="24"/>
                <w:szCs w:val="24"/>
              </w:rPr>
              <w:t>19,143</w:t>
            </w:r>
          </w:p>
        </w:tc>
        <w:tc>
          <w:tcPr>
            <w:tcW w:w="851" w:type="dxa"/>
            <w:tcBorders>
              <w:bottom w:val="single" w:sz="4" w:space="0" w:color="000000"/>
              <w:right w:val="single" w:sz="4" w:space="0" w:color="000000"/>
            </w:tcBorders>
            <w:vAlign w:val="bottom"/>
          </w:tcPr>
          <w:p w14:paraId="13E10D24"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1,416</w:t>
            </w:r>
          </w:p>
        </w:tc>
        <w:tc>
          <w:tcPr>
            <w:tcW w:w="992" w:type="dxa"/>
            <w:tcBorders>
              <w:bottom w:val="single" w:sz="4" w:space="0" w:color="000000"/>
              <w:right w:val="single" w:sz="4" w:space="0" w:color="000000"/>
            </w:tcBorders>
            <w:vAlign w:val="bottom"/>
          </w:tcPr>
          <w:p w14:paraId="3BC1DA19"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4,019</w:t>
            </w:r>
          </w:p>
        </w:tc>
        <w:tc>
          <w:tcPr>
            <w:tcW w:w="992" w:type="dxa"/>
            <w:tcBorders>
              <w:bottom w:val="single" w:sz="4" w:space="0" w:color="000000"/>
              <w:right w:val="single" w:sz="4" w:space="0" w:color="000000"/>
            </w:tcBorders>
            <w:vAlign w:val="bottom"/>
          </w:tcPr>
          <w:p w14:paraId="16D8B784"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4,320</w:t>
            </w:r>
          </w:p>
        </w:tc>
        <w:tc>
          <w:tcPr>
            <w:tcW w:w="851" w:type="dxa"/>
            <w:tcBorders>
              <w:bottom w:val="single" w:sz="4" w:space="0" w:color="000000"/>
              <w:right w:val="single" w:sz="4" w:space="0" w:color="000000"/>
            </w:tcBorders>
            <w:vAlign w:val="bottom"/>
          </w:tcPr>
          <w:p w14:paraId="130512E8"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3,332</w:t>
            </w:r>
          </w:p>
        </w:tc>
        <w:tc>
          <w:tcPr>
            <w:tcW w:w="850" w:type="dxa"/>
            <w:tcBorders>
              <w:bottom w:val="single" w:sz="4" w:space="0" w:color="000000"/>
              <w:right w:val="single" w:sz="4" w:space="0" w:color="000000"/>
            </w:tcBorders>
            <w:vAlign w:val="bottom"/>
          </w:tcPr>
          <w:p w14:paraId="44B2FA7D"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5,677</w:t>
            </w:r>
          </w:p>
        </w:tc>
        <w:tc>
          <w:tcPr>
            <w:tcW w:w="1134" w:type="dxa"/>
            <w:tcBorders>
              <w:bottom w:val="single" w:sz="4" w:space="0" w:color="000000"/>
              <w:right w:val="single" w:sz="4" w:space="0" w:color="000000"/>
            </w:tcBorders>
            <w:vAlign w:val="bottom"/>
          </w:tcPr>
          <w:p w14:paraId="21406DB2"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101,002</w:t>
            </w:r>
          </w:p>
        </w:tc>
        <w:tc>
          <w:tcPr>
            <w:tcW w:w="851" w:type="dxa"/>
            <w:tcBorders>
              <w:bottom w:val="single" w:sz="4" w:space="0" w:color="000000"/>
              <w:right w:val="single" w:sz="4" w:space="0" w:color="000000"/>
            </w:tcBorders>
            <w:vAlign w:val="bottom"/>
          </w:tcPr>
          <w:p w14:paraId="3FBD08CD"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2,569</w:t>
            </w:r>
          </w:p>
        </w:tc>
      </w:tr>
      <w:tr w:rsidR="00BD245A" w:rsidRPr="003B10E2" w14:paraId="6599146F" w14:textId="77777777" w:rsidTr="001F3E90">
        <w:trPr>
          <w:trHeight w:val="282"/>
        </w:trPr>
        <w:tc>
          <w:tcPr>
            <w:tcW w:w="1843" w:type="dxa"/>
            <w:tcBorders>
              <w:left w:val="single" w:sz="4" w:space="0" w:color="000000"/>
              <w:bottom w:val="single" w:sz="4" w:space="0" w:color="000000"/>
              <w:right w:val="single" w:sz="4" w:space="0" w:color="000000"/>
            </w:tcBorders>
            <w:vAlign w:val="bottom"/>
          </w:tcPr>
          <w:p w14:paraId="027C314B" w14:textId="77777777" w:rsidR="00BD245A" w:rsidRPr="003B10E2" w:rsidRDefault="00BD245A" w:rsidP="00B5228C">
            <w:pPr>
              <w:widowControl w:val="0"/>
              <w:spacing w:after="0" w:line="240" w:lineRule="auto"/>
              <w:contextualSpacing/>
              <w:rPr>
                <w:rFonts w:ascii="Times New Roman" w:hAnsi="Times New Roman"/>
                <w:sz w:val="24"/>
                <w:szCs w:val="24"/>
              </w:rPr>
            </w:pPr>
            <w:r w:rsidRPr="003B10E2">
              <w:rPr>
                <w:rFonts w:ascii="Times New Roman" w:hAnsi="Times New Roman"/>
                <w:color w:val="000000"/>
                <w:sz w:val="24"/>
                <w:szCs w:val="24"/>
              </w:rPr>
              <w:t>Тест Харке-Бера</w:t>
            </w:r>
          </w:p>
        </w:tc>
        <w:tc>
          <w:tcPr>
            <w:tcW w:w="992" w:type="dxa"/>
            <w:tcBorders>
              <w:bottom w:val="single" w:sz="4" w:space="0" w:color="000000"/>
              <w:right w:val="single" w:sz="4" w:space="0" w:color="000000"/>
            </w:tcBorders>
            <w:vAlign w:val="bottom"/>
          </w:tcPr>
          <w:p w14:paraId="717BB3AE" w14:textId="77777777" w:rsidR="00BD245A" w:rsidRPr="003B10E2" w:rsidRDefault="00BD245A" w:rsidP="003C09E8">
            <w:pPr>
              <w:widowControl w:val="0"/>
              <w:spacing w:after="0" w:line="240" w:lineRule="auto"/>
              <w:ind w:firstLine="851"/>
              <w:contextualSpacing/>
              <w:jc w:val="center"/>
              <w:rPr>
                <w:rFonts w:ascii="Times New Roman" w:hAnsi="Times New Roman"/>
                <w:color w:val="000000"/>
                <w:sz w:val="24"/>
                <w:szCs w:val="24"/>
              </w:rPr>
            </w:pPr>
            <w:r w:rsidRPr="003B10E2">
              <w:rPr>
                <w:rFonts w:ascii="Times New Roman" w:hAnsi="Times New Roman"/>
                <w:color w:val="000000"/>
                <w:sz w:val="24"/>
                <w:szCs w:val="24"/>
              </w:rPr>
              <w:t>0,000</w:t>
            </w:r>
          </w:p>
        </w:tc>
        <w:tc>
          <w:tcPr>
            <w:tcW w:w="851" w:type="dxa"/>
            <w:tcBorders>
              <w:bottom w:val="single" w:sz="4" w:space="0" w:color="000000"/>
              <w:right w:val="single" w:sz="4" w:space="0" w:color="000000"/>
            </w:tcBorders>
            <w:vAlign w:val="bottom"/>
          </w:tcPr>
          <w:p w14:paraId="31A90536"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0,000</w:t>
            </w:r>
          </w:p>
        </w:tc>
        <w:tc>
          <w:tcPr>
            <w:tcW w:w="992" w:type="dxa"/>
            <w:tcBorders>
              <w:bottom w:val="single" w:sz="4" w:space="0" w:color="000000"/>
              <w:right w:val="single" w:sz="4" w:space="0" w:color="000000"/>
            </w:tcBorders>
            <w:vAlign w:val="bottom"/>
          </w:tcPr>
          <w:p w14:paraId="3C39C1DB"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0,000</w:t>
            </w:r>
          </w:p>
        </w:tc>
        <w:tc>
          <w:tcPr>
            <w:tcW w:w="992" w:type="dxa"/>
            <w:tcBorders>
              <w:bottom w:val="single" w:sz="4" w:space="0" w:color="000000"/>
              <w:right w:val="single" w:sz="4" w:space="0" w:color="000000"/>
            </w:tcBorders>
            <w:vAlign w:val="bottom"/>
          </w:tcPr>
          <w:p w14:paraId="0ECED537"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0,000</w:t>
            </w:r>
          </w:p>
        </w:tc>
        <w:tc>
          <w:tcPr>
            <w:tcW w:w="851" w:type="dxa"/>
            <w:tcBorders>
              <w:bottom w:val="single" w:sz="4" w:space="0" w:color="000000"/>
              <w:right w:val="single" w:sz="4" w:space="0" w:color="000000"/>
            </w:tcBorders>
            <w:vAlign w:val="bottom"/>
          </w:tcPr>
          <w:p w14:paraId="2FD64C9D"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0,000</w:t>
            </w:r>
          </w:p>
        </w:tc>
        <w:tc>
          <w:tcPr>
            <w:tcW w:w="850" w:type="dxa"/>
            <w:tcBorders>
              <w:bottom w:val="single" w:sz="4" w:space="0" w:color="000000"/>
              <w:right w:val="single" w:sz="4" w:space="0" w:color="000000"/>
            </w:tcBorders>
            <w:vAlign w:val="bottom"/>
          </w:tcPr>
          <w:p w14:paraId="4B45EE43"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0,000</w:t>
            </w:r>
          </w:p>
        </w:tc>
        <w:tc>
          <w:tcPr>
            <w:tcW w:w="1134" w:type="dxa"/>
            <w:tcBorders>
              <w:bottom w:val="single" w:sz="4" w:space="0" w:color="000000"/>
              <w:right w:val="single" w:sz="4" w:space="0" w:color="000000"/>
            </w:tcBorders>
            <w:vAlign w:val="bottom"/>
          </w:tcPr>
          <w:p w14:paraId="54D26844"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0,000</w:t>
            </w:r>
          </w:p>
        </w:tc>
        <w:tc>
          <w:tcPr>
            <w:tcW w:w="851" w:type="dxa"/>
            <w:tcBorders>
              <w:bottom w:val="single" w:sz="4" w:space="0" w:color="000000"/>
              <w:right w:val="single" w:sz="4" w:space="0" w:color="000000"/>
            </w:tcBorders>
            <w:vAlign w:val="bottom"/>
          </w:tcPr>
          <w:p w14:paraId="26F6D012"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0,000</w:t>
            </w:r>
          </w:p>
        </w:tc>
      </w:tr>
      <w:tr w:rsidR="00BD245A" w:rsidRPr="003B10E2" w14:paraId="46976D41" w14:textId="77777777" w:rsidTr="001F3E90">
        <w:trPr>
          <w:trHeight w:val="282"/>
        </w:trPr>
        <w:tc>
          <w:tcPr>
            <w:tcW w:w="1843" w:type="dxa"/>
            <w:tcBorders>
              <w:left w:val="single" w:sz="4" w:space="0" w:color="000000"/>
              <w:bottom w:val="single" w:sz="4" w:space="0" w:color="000000"/>
              <w:right w:val="single" w:sz="4" w:space="0" w:color="000000"/>
            </w:tcBorders>
            <w:vAlign w:val="bottom"/>
          </w:tcPr>
          <w:p w14:paraId="3CB1D49F" w14:textId="77777777" w:rsidR="00BD245A" w:rsidRPr="003B10E2" w:rsidRDefault="00BD245A" w:rsidP="00B5228C">
            <w:pPr>
              <w:widowControl w:val="0"/>
              <w:spacing w:after="0" w:line="240" w:lineRule="auto"/>
              <w:contextualSpacing/>
              <w:rPr>
                <w:rFonts w:ascii="Times New Roman" w:hAnsi="Times New Roman"/>
                <w:sz w:val="24"/>
                <w:szCs w:val="24"/>
              </w:rPr>
            </w:pPr>
            <w:r w:rsidRPr="003B10E2">
              <w:rPr>
                <w:rFonts w:ascii="Times New Roman" w:hAnsi="Times New Roman"/>
                <w:color w:val="000000"/>
                <w:sz w:val="24"/>
                <w:szCs w:val="24"/>
              </w:rPr>
              <w:t>Тест Лджунга-Бокса</w:t>
            </w:r>
          </w:p>
        </w:tc>
        <w:tc>
          <w:tcPr>
            <w:tcW w:w="992" w:type="dxa"/>
            <w:tcBorders>
              <w:bottom w:val="single" w:sz="4" w:space="0" w:color="000000"/>
              <w:right w:val="single" w:sz="4" w:space="0" w:color="000000"/>
            </w:tcBorders>
            <w:vAlign w:val="bottom"/>
          </w:tcPr>
          <w:p w14:paraId="0D3699A1" w14:textId="77777777" w:rsidR="00BD245A" w:rsidRPr="003B10E2" w:rsidRDefault="00BD245A" w:rsidP="003C09E8">
            <w:pPr>
              <w:widowControl w:val="0"/>
              <w:spacing w:after="0" w:line="240" w:lineRule="auto"/>
              <w:ind w:firstLine="851"/>
              <w:contextualSpacing/>
              <w:jc w:val="center"/>
              <w:rPr>
                <w:rFonts w:ascii="Times New Roman" w:hAnsi="Times New Roman"/>
                <w:color w:val="000000"/>
                <w:sz w:val="24"/>
                <w:szCs w:val="24"/>
              </w:rPr>
            </w:pPr>
            <w:r w:rsidRPr="003B10E2">
              <w:rPr>
                <w:rFonts w:ascii="Times New Roman" w:hAnsi="Times New Roman"/>
                <w:color w:val="000000"/>
                <w:sz w:val="24"/>
                <w:szCs w:val="24"/>
              </w:rPr>
              <w:t>0</w:t>
            </w:r>
            <w:r w:rsidR="001F3E90" w:rsidRPr="003B10E2">
              <w:rPr>
                <w:rFonts w:ascii="Times New Roman" w:hAnsi="Times New Roman"/>
                <w:color w:val="000000"/>
                <w:sz w:val="24"/>
                <w:szCs w:val="24"/>
              </w:rPr>
              <w:t>0</w:t>
            </w:r>
            <w:r w:rsidRPr="003B10E2">
              <w:rPr>
                <w:rFonts w:ascii="Times New Roman" w:hAnsi="Times New Roman"/>
                <w:color w:val="000000"/>
                <w:sz w:val="24"/>
                <w:szCs w:val="24"/>
              </w:rPr>
              <w:t>,165</w:t>
            </w:r>
          </w:p>
        </w:tc>
        <w:tc>
          <w:tcPr>
            <w:tcW w:w="851" w:type="dxa"/>
            <w:tcBorders>
              <w:bottom w:val="single" w:sz="4" w:space="0" w:color="000000"/>
              <w:right w:val="single" w:sz="4" w:space="0" w:color="000000"/>
            </w:tcBorders>
            <w:vAlign w:val="bottom"/>
          </w:tcPr>
          <w:p w14:paraId="02B05C01"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0,641</w:t>
            </w:r>
          </w:p>
        </w:tc>
        <w:tc>
          <w:tcPr>
            <w:tcW w:w="992" w:type="dxa"/>
            <w:tcBorders>
              <w:bottom w:val="single" w:sz="4" w:space="0" w:color="000000"/>
              <w:right w:val="single" w:sz="4" w:space="0" w:color="000000"/>
            </w:tcBorders>
            <w:vAlign w:val="bottom"/>
          </w:tcPr>
          <w:p w14:paraId="42C653C7"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0,363</w:t>
            </w:r>
          </w:p>
        </w:tc>
        <w:tc>
          <w:tcPr>
            <w:tcW w:w="992" w:type="dxa"/>
            <w:tcBorders>
              <w:bottom w:val="single" w:sz="4" w:space="0" w:color="000000"/>
              <w:right w:val="single" w:sz="4" w:space="0" w:color="000000"/>
            </w:tcBorders>
            <w:vAlign w:val="bottom"/>
          </w:tcPr>
          <w:p w14:paraId="4D88C2B9"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0,041</w:t>
            </w:r>
          </w:p>
        </w:tc>
        <w:tc>
          <w:tcPr>
            <w:tcW w:w="851" w:type="dxa"/>
            <w:tcBorders>
              <w:bottom w:val="single" w:sz="4" w:space="0" w:color="000000"/>
              <w:right w:val="single" w:sz="4" w:space="0" w:color="000000"/>
            </w:tcBorders>
            <w:vAlign w:val="bottom"/>
          </w:tcPr>
          <w:p w14:paraId="12A3245A"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0,130</w:t>
            </w:r>
          </w:p>
        </w:tc>
        <w:tc>
          <w:tcPr>
            <w:tcW w:w="850" w:type="dxa"/>
            <w:tcBorders>
              <w:bottom w:val="single" w:sz="4" w:space="0" w:color="000000"/>
              <w:right w:val="single" w:sz="4" w:space="0" w:color="000000"/>
            </w:tcBorders>
            <w:vAlign w:val="bottom"/>
          </w:tcPr>
          <w:p w14:paraId="17B64ED0"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0,000</w:t>
            </w:r>
          </w:p>
        </w:tc>
        <w:tc>
          <w:tcPr>
            <w:tcW w:w="1134" w:type="dxa"/>
            <w:tcBorders>
              <w:bottom w:val="single" w:sz="4" w:space="0" w:color="000000"/>
              <w:right w:val="single" w:sz="4" w:space="0" w:color="000000"/>
            </w:tcBorders>
            <w:vAlign w:val="bottom"/>
          </w:tcPr>
          <w:p w14:paraId="47FA4B4B"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0,000</w:t>
            </w:r>
          </w:p>
        </w:tc>
        <w:tc>
          <w:tcPr>
            <w:tcW w:w="851" w:type="dxa"/>
            <w:tcBorders>
              <w:bottom w:val="single" w:sz="4" w:space="0" w:color="000000"/>
              <w:right w:val="single" w:sz="4" w:space="0" w:color="000000"/>
            </w:tcBorders>
            <w:vAlign w:val="bottom"/>
          </w:tcPr>
          <w:p w14:paraId="68274BE5"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0,880</w:t>
            </w:r>
          </w:p>
        </w:tc>
      </w:tr>
      <w:tr w:rsidR="00BD245A" w:rsidRPr="003B10E2" w14:paraId="4CC35362" w14:textId="77777777" w:rsidTr="001F3E90">
        <w:trPr>
          <w:trHeight w:val="282"/>
        </w:trPr>
        <w:tc>
          <w:tcPr>
            <w:tcW w:w="1843" w:type="dxa"/>
            <w:tcBorders>
              <w:left w:val="single" w:sz="4" w:space="0" w:color="000000"/>
              <w:bottom w:val="single" w:sz="4" w:space="0" w:color="000000"/>
              <w:right w:val="single" w:sz="4" w:space="0" w:color="000000"/>
            </w:tcBorders>
            <w:vAlign w:val="bottom"/>
          </w:tcPr>
          <w:p w14:paraId="3A472105" w14:textId="77777777" w:rsidR="00BD245A" w:rsidRPr="003B10E2" w:rsidRDefault="00BD245A" w:rsidP="00B5228C">
            <w:pPr>
              <w:widowControl w:val="0"/>
              <w:spacing w:after="0" w:line="240" w:lineRule="auto"/>
              <w:contextualSpacing/>
              <w:rPr>
                <w:rFonts w:ascii="Times New Roman" w:hAnsi="Times New Roman"/>
                <w:sz w:val="24"/>
                <w:szCs w:val="24"/>
              </w:rPr>
            </w:pPr>
            <w:r w:rsidRPr="003B10E2">
              <w:rPr>
                <w:rFonts w:ascii="Times New Roman" w:hAnsi="Times New Roman"/>
                <w:color w:val="000000"/>
                <w:sz w:val="24"/>
                <w:szCs w:val="24"/>
              </w:rPr>
              <w:t>Teст Дики-Фуллера</w:t>
            </w:r>
          </w:p>
        </w:tc>
        <w:tc>
          <w:tcPr>
            <w:tcW w:w="992" w:type="dxa"/>
            <w:tcBorders>
              <w:bottom w:val="single" w:sz="4" w:space="0" w:color="000000"/>
              <w:right w:val="single" w:sz="4" w:space="0" w:color="000000"/>
            </w:tcBorders>
            <w:vAlign w:val="bottom"/>
          </w:tcPr>
          <w:p w14:paraId="55CA7E74" w14:textId="77777777" w:rsidR="00BD245A" w:rsidRPr="003B10E2" w:rsidRDefault="00BD245A" w:rsidP="003C09E8">
            <w:pPr>
              <w:widowControl w:val="0"/>
              <w:spacing w:after="0" w:line="240" w:lineRule="auto"/>
              <w:ind w:firstLine="851"/>
              <w:contextualSpacing/>
              <w:jc w:val="center"/>
              <w:rPr>
                <w:rFonts w:ascii="Times New Roman" w:hAnsi="Times New Roman"/>
                <w:color w:val="000000"/>
                <w:sz w:val="24"/>
                <w:szCs w:val="24"/>
              </w:rPr>
            </w:pPr>
            <w:r w:rsidRPr="003B10E2">
              <w:rPr>
                <w:rFonts w:ascii="Times New Roman" w:hAnsi="Times New Roman"/>
                <w:color w:val="000000"/>
                <w:sz w:val="24"/>
                <w:szCs w:val="24"/>
              </w:rPr>
              <w:t>-10,96</w:t>
            </w:r>
          </w:p>
        </w:tc>
        <w:tc>
          <w:tcPr>
            <w:tcW w:w="851" w:type="dxa"/>
            <w:tcBorders>
              <w:bottom w:val="single" w:sz="4" w:space="0" w:color="000000"/>
              <w:right w:val="single" w:sz="4" w:space="0" w:color="000000"/>
            </w:tcBorders>
            <w:vAlign w:val="bottom"/>
          </w:tcPr>
          <w:p w14:paraId="54620679" w14:textId="77777777" w:rsidR="00BD245A" w:rsidRPr="003B10E2" w:rsidRDefault="00BD245A" w:rsidP="003C09E8">
            <w:pPr>
              <w:widowControl w:val="0"/>
              <w:spacing w:after="0" w:line="240" w:lineRule="auto"/>
              <w:ind w:firstLine="851"/>
              <w:contextualSpacing/>
              <w:jc w:val="center"/>
              <w:rPr>
                <w:rFonts w:ascii="Times New Roman" w:hAnsi="Times New Roman"/>
                <w:color w:val="000000"/>
                <w:sz w:val="24"/>
                <w:szCs w:val="24"/>
              </w:rPr>
            </w:pPr>
            <w:r w:rsidRPr="003B10E2">
              <w:rPr>
                <w:rFonts w:ascii="Times New Roman" w:hAnsi="Times New Roman"/>
                <w:color w:val="000000"/>
                <w:sz w:val="24"/>
                <w:szCs w:val="24"/>
              </w:rPr>
              <w:t>-12,42</w:t>
            </w:r>
          </w:p>
        </w:tc>
        <w:tc>
          <w:tcPr>
            <w:tcW w:w="992" w:type="dxa"/>
            <w:tcBorders>
              <w:bottom w:val="single" w:sz="4" w:space="0" w:color="000000"/>
              <w:right w:val="single" w:sz="4" w:space="0" w:color="000000"/>
            </w:tcBorders>
            <w:vAlign w:val="bottom"/>
          </w:tcPr>
          <w:p w14:paraId="4F9F4418"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-11,92</w:t>
            </w:r>
          </w:p>
        </w:tc>
        <w:tc>
          <w:tcPr>
            <w:tcW w:w="992" w:type="dxa"/>
            <w:tcBorders>
              <w:bottom w:val="single" w:sz="4" w:space="0" w:color="000000"/>
              <w:right w:val="single" w:sz="4" w:space="0" w:color="000000"/>
            </w:tcBorders>
            <w:vAlign w:val="bottom"/>
          </w:tcPr>
          <w:p w14:paraId="2C043B64"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-11,97</w:t>
            </w:r>
          </w:p>
        </w:tc>
        <w:tc>
          <w:tcPr>
            <w:tcW w:w="851" w:type="dxa"/>
            <w:tcBorders>
              <w:bottom w:val="single" w:sz="4" w:space="0" w:color="000000"/>
              <w:right w:val="single" w:sz="4" w:space="0" w:color="000000"/>
            </w:tcBorders>
            <w:vAlign w:val="bottom"/>
          </w:tcPr>
          <w:p w14:paraId="396729AB"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-12,32</w:t>
            </w:r>
          </w:p>
        </w:tc>
        <w:tc>
          <w:tcPr>
            <w:tcW w:w="850" w:type="dxa"/>
            <w:tcBorders>
              <w:bottom w:val="single" w:sz="4" w:space="0" w:color="000000"/>
              <w:right w:val="single" w:sz="4" w:space="0" w:color="000000"/>
            </w:tcBorders>
            <w:vAlign w:val="bottom"/>
          </w:tcPr>
          <w:p w14:paraId="45B663C1"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-11,83</w:t>
            </w:r>
          </w:p>
        </w:tc>
        <w:tc>
          <w:tcPr>
            <w:tcW w:w="1134" w:type="dxa"/>
            <w:tcBorders>
              <w:bottom w:val="single" w:sz="4" w:space="0" w:color="000000"/>
              <w:right w:val="single" w:sz="4" w:space="0" w:color="000000"/>
            </w:tcBorders>
            <w:vAlign w:val="bottom"/>
          </w:tcPr>
          <w:p w14:paraId="011DCCC4"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-10,74</w:t>
            </w:r>
          </w:p>
        </w:tc>
        <w:tc>
          <w:tcPr>
            <w:tcW w:w="851" w:type="dxa"/>
            <w:tcBorders>
              <w:bottom w:val="single" w:sz="4" w:space="0" w:color="000000"/>
              <w:right w:val="single" w:sz="4" w:space="0" w:color="000000"/>
            </w:tcBorders>
            <w:vAlign w:val="bottom"/>
          </w:tcPr>
          <w:p w14:paraId="6F453306"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-11,72</w:t>
            </w:r>
          </w:p>
        </w:tc>
      </w:tr>
      <w:tr w:rsidR="00BD245A" w:rsidRPr="003B10E2" w14:paraId="51C4F902" w14:textId="77777777" w:rsidTr="001F3E90">
        <w:trPr>
          <w:trHeight w:val="282"/>
        </w:trPr>
        <w:tc>
          <w:tcPr>
            <w:tcW w:w="1843" w:type="dxa"/>
            <w:tcBorders>
              <w:left w:val="single" w:sz="4" w:space="0" w:color="000000"/>
              <w:bottom w:val="single" w:sz="4" w:space="0" w:color="000000"/>
              <w:right w:val="single" w:sz="4" w:space="0" w:color="000000"/>
            </w:tcBorders>
            <w:vAlign w:val="bottom"/>
          </w:tcPr>
          <w:p w14:paraId="7C62B2AF" w14:textId="77777777" w:rsidR="00BD245A" w:rsidRPr="003B10E2" w:rsidRDefault="00BD245A" w:rsidP="00B5228C">
            <w:pPr>
              <w:widowControl w:val="0"/>
              <w:spacing w:after="0" w:line="240" w:lineRule="auto"/>
              <w:contextualSpacing/>
              <w:rPr>
                <w:rFonts w:ascii="Times New Roman" w:hAnsi="Times New Roman"/>
                <w:sz w:val="24"/>
                <w:szCs w:val="24"/>
              </w:rPr>
            </w:pPr>
            <w:r w:rsidRPr="003B10E2">
              <w:rPr>
                <w:rFonts w:ascii="Times New Roman" w:hAnsi="Times New Roman"/>
                <w:color w:val="000000"/>
                <w:sz w:val="24"/>
                <w:szCs w:val="24"/>
              </w:rPr>
              <w:t>Тест KPSS</w:t>
            </w:r>
          </w:p>
        </w:tc>
        <w:tc>
          <w:tcPr>
            <w:tcW w:w="992" w:type="dxa"/>
            <w:tcBorders>
              <w:bottom w:val="single" w:sz="4" w:space="0" w:color="000000"/>
              <w:right w:val="single" w:sz="4" w:space="0" w:color="000000"/>
            </w:tcBorders>
            <w:vAlign w:val="bottom"/>
          </w:tcPr>
          <w:p w14:paraId="716DECD7" w14:textId="77777777" w:rsidR="00BD245A" w:rsidRPr="003B10E2" w:rsidRDefault="00BD245A" w:rsidP="003C09E8">
            <w:pPr>
              <w:widowControl w:val="0"/>
              <w:spacing w:after="0" w:line="240" w:lineRule="auto"/>
              <w:ind w:firstLine="851"/>
              <w:contextualSpacing/>
              <w:jc w:val="center"/>
              <w:rPr>
                <w:rFonts w:ascii="Times New Roman" w:hAnsi="Times New Roman"/>
                <w:color w:val="000000"/>
                <w:sz w:val="24"/>
                <w:szCs w:val="24"/>
              </w:rPr>
            </w:pPr>
            <w:r w:rsidRPr="003B10E2">
              <w:rPr>
                <w:rFonts w:ascii="Times New Roman" w:hAnsi="Times New Roman"/>
                <w:color w:val="000000"/>
                <w:sz w:val="24"/>
                <w:szCs w:val="24"/>
              </w:rPr>
              <w:t>0</w:t>
            </w:r>
            <w:r w:rsidR="001F3E90" w:rsidRPr="003B10E2">
              <w:rPr>
                <w:rFonts w:ascii="Times New Roman" w:hAnsi="Times New Roman"/>
                <w:color w:val="000000"/>
                <w:sz w:val="24"/>
                <w:szCs w:val="24"/>
              </w:rPr>
              <w:t>0</w:t>
            </w:r>
            <w:r w:rsidRPr="003B10E2">
              <w:rPr>
                <w:rFonts w:ascii="Times New Roman" w:hAnsi="Times New Roman"/>
                <w:color w:val="000000"/>
                <w:sz w:val="24"/>
                <w:szCs w:val="24"/>
              </w:rPr>
              <w:t>,58</w:t>
            </w:r>
          </w:p>
        </w:tc>
        <w:tc>
          <w:tcPr>
            <w:tcW w:w="851" w:type="dxa"/>
            <w:tcBorders>
              <w:bottom w:val="single" w:sz="4" w:space="0" w:color="000000"/>
              <w:right w:val="single" w:sz="4" w:space="0" w:color="000000"/>
            </w:tcBorders>
            <w:vAlign w:val="bottom"/>
          </w:tcPr>
          <w:p w14:paraId="2123EB52"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0,35</w:t>
            </w:r>
          </w:p>
        </w:tc>
        <w:tc>
          <w:tcPr>
            <w:tcW w:w="992" w:type="dxa"/>
            <w:tcBorders>
              <w:bottom w:val="single" w:sz="4" w:space="0" w:color="000000"/>
              <w:right w:val="single" w:sz="4" w:space="0" w:color="000000"/>
            </w:tcBorders>
            <w:vAlign w:val="bottom"/>
          </w:tcPr>
          <w:p w14:paraId="7A075BF6"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0,17</w:t>
            </w:r>
          </w:p>
        </w:tc>
        <w:tc>
          <w:tcPr>
            <w:tcW w:w="992" w:type="dxa"/>
            <w:tcBorders>
              <w:bottom w:val="single" w:sz="4" w:space="0" w:color="000000"/>
              <w:right w:val="single" w:sz="4" w:space="0" w:color="000000"/>
            </w:tcBorders>
            <w:vAlign w:val="bottom"/>
          </w:tcPr>
          <w:p w14:paraId="075FEEE5"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0,11</w:t>
            </w:r>
          </w:p>
        </w:tc>
        <w:tc>
          <w:tcPr>
            <w:tcW w:w="851" w:type="dxa"/>
            <w:tcBorders>
              <w:bottom w:val="single" w:sz="4" w:space="0" w:color="000000"/>
              <w:right w:val="single" w:sz="4" w:space="0" w:color="000000"/>
            </w:tcBorders>
            <w:vAlign w:val="bottom"/>
          </w:tcPr>
          <w:p w14:paraId="065C8ADB"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0,09</w:t>
            </w:r>
          </w:p>
        </w:tc>
        <w:tc>
          <w:tcPr>
            <w:tcW w:w="850" w:type="dxa"/>
            <w:tcBorders>
              <w:bottom w:val="single" w:sz="4" w:space="0" w:color="000000"/>
              <w:right w:val="single" w:sz="4" w:space="0" w:color="000000"/>
            </w:tcBorders>
            <w:vAlign w:val="bottom"/>
          </w:tcPr>
          <w:p w14:paraId="2747A7DC"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0,67</w:t>
            </w:r>
          </w:p>
        </w:tc>
        <w:tc>
          <w:tcPr>
            <w:tcW w:w="1134" w:type="dxa"/>
            <w:tcBorders>
              <w:bottom w:val="single" w:sz="4" w:space="0" w:color="000000"/>
              <w:right w:val="single" w:sz="4" w:space="0" w:color="000000"/>
            </w:tcBorders>
            <w:vAlign w:val="bottom"/>
          </w:tcPr>
          <w:p w14:paraId="02FF7486"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0,58</w:t>
            </w:r>
          </w:p>
        </w:tc>
        <w:tc>
          <w:tcPr>
            <w:tcW w:w="851" w:type="dxa"/>
            <w:tcBorders>
              <w:bottom w:val="single" w:sz="4" w:space="0" w:color="000000"/>
              <w:right w:val="single" w:sz="4" w:space="0" w:color="000000"/>
            </w:tcBorders>
            <w:vAlign w:val="bottom"/>
          </w:tcPr>
          <w:p w14:paraId="1D25E4BD" w14:textId="77777777"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0,11</w:t>
            </w:r>
          </w:p>
        </w:tc>
      </w:tr>
    </w:tbl>
    <w:p w14:paraId="0C91A41C" w14:textId="77777777" w:rsidR="00BD245A" w:rsidRPr="003B10E2" w:rsidRDefault="00BD245A" w:rsidP="00005F68">
      <w:pPr>
        <w:spacing w:after="0" w:line="360" w:lineRule="auto"/>
        <w:contextualSpacing/>
        <w:rPr>
          <w:rFonts w:ascii="Times New Roman" w:hAnsi="Times New Roman"/>
          <w:sz w:val="24"/>
          <w:szCs w:val="24"/>
        </w:rPr>
      </w:pPr>
      <w:r w:rsidRPr="003B10E2">
        <w:rPr>
          <w:rFonts w:ascii="Times New Roman" w:hAnsi="Times New Roman"/>
          <w:color w:val="000000"/>
          <w:sz w:val="24"/>
          <w:szCs w:val="24"/>
        </w:rPr>
        <w:t>Источник: расчеты автора.</w:t>
      </w:r>
    </w:p>
    <w:p w14:paraId="4A518C9B" w14:textId="77777777" w:rsidR="00BD245A" w:rsidRPr="003B10E2" w:rsidRDefault="00BD245A" w:rsidP="00BC1DEC">
      <w:pPr>
        <w:spacing w:after="0" w:line="240" w:lineRule="auto"/>
        <w:contextualSpacing/>
        <w:jc w:val="both"/>
        <w:rPr>
          <w:rFonts w:ascii="Times New Roman" w:hAnsi="Times New Roman"/>
          <w:color w:val="000000"/>
          <w:sz w:val="24"/>
          <w:szCs w:val="24"/>
        </w:rPr>
      </w:pPr>
      <w:r w:rsidRPr="003B10E2">
        <w:rPr>
          <w:rFonts w:ascii="Times New Roman" w:hAnsi="Times New Roman"/>
          <w:color w:val="000000"/>
          <w:sz w:val="24"/>
          <w:szCs w:val="24"/>
        </w:rPr>
        <w:t xml:space="preserve">*Асимметрия =  </w:t>
      </w:r>
      <w:r w:rsidR="002D341E" w:rsidRPr="003B10E2">
        <w:rPr>
          <w:rFonts w:ascii="Times New Roman" w:hAnsi="Times New Roman"/>
          <w:color w:val="000000"/>
          <w:sz w:val="24"/>
          <w:szCs w:val="24"/>
        </w:rPr>
        <w:fldChar w:fldCharType="begin"/>
      </w:r>
      <w:r w:rsidR="002D341E" w:rsidRPr="003B10E2">
        <w:rPr>
          <w:rFonts w:ascii="Times New Roman" w:hAnsi="Times New Roman"/>
          <w:color w:val="000000"/>
          <w:sz w:val="24"/>
          <w:szCs w:val="24"/>
        </w:rPr>
        <w:instrText xml:space="preserve"> QUOTE </w:instrText>
      </w:r>
      <w:r w:rsidR="00F276E9">
        <w:rPr>
          <w:noProof/>
          <w:position w:val="-17"/>
        </w:rPr>
      </w:r>
      <w:r w:rsidR="00F276E9">
        <w:rPr>
          <w:noProof/>
          <w:position w:val="-17"/>
        </w:rPr>
        <w:pict w14:anchorId="6BB2F211">
          <v:shape id="_x0000_i1027" type="#_x0000_t75" style="width:98.05pt;height:26.0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4DC6&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F14DC6&quot; wsp:rsidP=&quot;00F14DC6&quot;&gt;&lt;m:oMathPara&gt;&lt;m:oMath&gt;&lt;m:f&gt;&lt;m:fPr&gt;&lt;m:ctrlPr&gt;&lt;w:rPr&gt;&lt;w:rFonts w:ascii=&quot;Cambria Math&quot; w:h-ansi=&quot;Cambria Math&quot;/&gt;&lt;wx:font wx:val=&quot;Cambria Math&quot;/&gt;&lt;w:sz w:val=&quot;24&quot;/&gt;&lt;w:sz-cs w:val=&quot;24&quot;/&gt;&lt;/w:rPr&gt;&lt;/m:ctrlPr&gt;&lt;/m:fPr&gt;&lt;m:num&gt;&lt;m:r&gt;&lt;w:rPr&gt;&lt;w:rFonts w:ascii=&quot;Cambria Math&quot; w:h-ansi=&quot;Cambria Math&quot;/&gt;&lt;wx:font wx:val=&quot;Cambria Math&quot;/&gt;&lt;w:i/&gt;&lt;w:sz w:val=&quot;24&quot;/&gt;&lt;w:sz-cs w:val=&quot;24&quot;/&gt;&lt;/w:rPr&gt;&lt;m:t&gt;n&lt;/m:t&gt;&lt;/m:r&gt;&lt;/m:num&gt;&lt;m:den&gt;&lt;m:d&gt;&lt;m:dPr&gt;&lt;m:ctrlPr&gt;&lt;w:rPr&gt;&lt;w:rFonts w:ascii=&quot;Cambria Math&quot; w:h-ansi=&quot;Cambria Math&quot;/&gt;&lt;wx:font wx:val=&quot;Cambria Math&quot;/&gt;&lt;w:sz w:val=&quot;24&quot;/&gt;&lt;w:sz-cs w:val=&quot;24&quot;/&gt;&lt;/w:rPr&gt;&lt;/m:ctrlPr&gt;&lt;/m:dPr&gt;&lt;m:e&gt;&lt;m:r&gt;&lt;w:rPr&gt;&lt;w:rFonts w:ascii=&quot;Cambria Math&quot; w:h-ansi=&quot;Cambria Math&quot;/&gt;&lt;wx:font wx:val=&quot;Cambria Math&quot;/&gt;&lt;w:i/&gt;&lt;w:sz w:val=&quot;24&quot;/&gt;&lt;w:sz-cs w:val=&quot;24&quot;/&gt;&lt;/w:rPr&gt;&lt;m:t&gt;n-1&lt;/m:t&gt;&lt;/m:r&gt;&lt;/m:e&gt;&lt;/m:d&gt;&lt;m:d&gt;&lt;m:dPr&gt;&lt;m:ctrlPr&gt;&lt;w:rPr&gt;&lt;w:rFonts w:ascii=&quot;Cambria Math&quot; w:h-ansi=&quot;Cambria Math&quot;/&gt;&lt;wx:font wx:val=&quot;Cambria Math&quot;/&gt;&lt;w:sz w:val=&quot;24&quot;/&gt;&lt;w:sz-cs w:val=&quot;24&quot;/&gt;&lt;/w:rPr&gt;&lt;/m:ctrlPr&gt;&lt;/m:dPr&gt;&lt;m:e&gt;&lt;m:r&gt;&lt;w:rPr&gt;&lt;w:rFonts w:ascii=&quot;Cambria Math&quot; w:h-ansi=&quot;Cambria Math&quot;/&gt;&lt;wx:font wx:val=&quot;Cambria Math&quot;/&gt;&lt;w:i/&gt;&lt;w:sz w:val=&quot;24&quot;/&gt;&lt;w:sz-cs w:val=&quot;24&quot;/&gt;&lt;/w:rPr&gt;&lt;m:t&gt;n-2&lt;/m:t&gt;&lt;/m:r&gt;&lt;/m:e&gt;&lt;/m:d&gt;&lt;/m:den&gt;&lt;/m:f&gt;&lt;m:nary&gt;&lt;m:naryPr&gt;&lt;m:chr m:val=&quot;в€‘&quot;/&gt;&lt;m:subHide m:val=&quot;1&quot;/&gt;&lt;m:supHide m:val=&quot;1&quot;/&gt;&lt;m:ctrlPr&gt;&lt;w:rPr&gt;&lt;w:rFonts w:ascii=&quot;Cambria Math&quot; w:h-ansi=&quot;Cambria Math&quot;/&gt;&lt;wx:font wx:val=&quot;Cambria Math&quot;/&gt;&lt;w:sz w:val=&quot;24&quot;/&gt;&lt;w:sz-cs w:val=&quot;24&quot;/&gt;&lt;/w:rPr&gt;&lt;/m:ctrlPr&gt;&lt;/m:naryPr&gt;&lt;m:sub/&gt;&lt;m:sup/&gt;&lt;m:e&gt;&lt;m:sSup&gt;&lt;m:sSupPr&gt;&lt;m:ctrlPr&gt;&lt;w:rPr&gt;&lt;w:rFonts w:ascii=&quot;Cambria Math&quot; w:h-ansi=&quot;Cambria Math&quot;/&gt;&lt;wx:font wx:val=&quot;Cambria Math&quot;/&gt;&lt;w:sz w:val=&quot;24&quot;/&gt;&lt;w:sz-cs w:val=&quot;24&quot;/&gt;&lt;/w:rPr&gt;&lt;/m:ctrlPr&gt;&lt;/m:sSupPr&gt;&lt;m:e&gt;&lt;m:d&gt;&lt;m:dPr&gt;&lt;m:ctrlPr&gt;&lt;w:rPr&gt;&lt;w:rFonts w:ascii=&quot;Cambria Math&quot; w:h-ansi=&quot;Cambria Math&quot;/&gt;&lt;wx:font wx:val=&quot;Cambria Math&quot;/&gt;&lt;w:sz w:val=&quot;24&quot;/&gt;&lt;w:sz-cs w:val=&quot;24&quot;/&gt;&lt;/w:rPr&gt;&lt;/m:ctrlPr&gt;&lt;/m:dPr&gt;&lt;m:e&gt;&lt;m:f&gt;&lt;m:fPr&gt;&lt;m:ctrlPr&gt;&lt;w:rPr&gt;&lt;w:rFonts w:ascii=&quot;Cambria Math&quot; w:h-ansi=&quot;Cambria Math&quot;/&gt;&lt;wx:font wx:val=&quot;Cambria Math&quot;/&gt;&lt;w:sz w:val=&quot;24&quot;/&gt;&lt;w:sz-cs w:val=&quot;24&quot;/&gt;&lt;/w:rPr&gt;&lt;/m:ctrlPr&gt;&lt;/m:fPr&gt;&lt;m:num&gt;&lt;m:sSub&gt;&lt;m:sSubPr&gt;&lt;m:ctrlPr&gt;&lt;w:rPr&gt;&lt;w:rFonts w:ascii=&quot;Cambria Math&quot; w:h-ansi=&quot;Cambria Math&quot;/&gt;&lt;wx:font wx:val=&quot;Cambria Math&quot;/&gt;&lt;w:sz w:val=&quot;24&quot;/&gt;&lt;w:sz-cs w:val=&quot;24&quot;/&gt;&lt;/w:rPr&gt;&lt;/m:ctrlPr&gt;&lt;/m:sSubPr&gt;&lt;m:e&gt;&lt;m:r&gt;&lt;w:rPr&gt;&lt;w:rFonts w:ascii=&quot;Cambria Math&quot; w:h-ansi=&quot;Cambria Math&quot;/&gt;&lt;wx:font wx:val=&quot;Cambria Math&quot;/&gt;&lt;w:i/&gt;&lt;w:sz w:val=&quot;24&quot;/&gt;&lt;w:sz-cs w:val=&quot;24&quot;/&gt;&lt;/w:rPr&gt;&lt;m:t&gt;П‡&lt;/m:t&gt;&lt;/m:r&gt;&lt;/m:e&gt;&lt;m:sub&gt;&lt;m:r&gt;&lt;w:rPr&gt;&lt;w:rFonts w:ascii=&quot;Cambria Math&quot; w:h-ansi=&quot;Cambria Math&quot;/&gt;&lt;wx:font wx:val=&quot;Cambria Math&quot;/&gt;&lt;w:i/&gt;&lt;w:sz w:val=&quot;24&quot;/&gt;&lt;w:sz-cs w:val=&quot;24&quot;/&gt;&lt;/w:rPr&gt;&lt;m:t&gt;i&lt;/m:t&gt;&lt;/m:r&gt;&lt;/m:sub&gt;&lt;/m:sSub&gt;&lt;m:r&gt;&lt;w:rPr&gt;&lt;w:rFonts w:ascii=&quot;Cambria Math&quot; w:h-ansi=&quot;Cambria Math&quot;/&gt;&lt;wx:font wx:val=&quot;Cambria Math&quot;/&gt;&lt;w:i/&gt;&lt;w:sz w:val=&quot;24&quot;/&gt;&lt;w:sz-cs w:val=&quot;24&quot;/&gt;&lt;/w:rPr&gt;&lt;m:t&gt;-П‡&lt;/m:t&gt;&lt;/m:r&gt;&lt;/m:num&gt;&lt;m:den&gt;&lt;m:r&gt;&lt;w:rPr&gt;&lt;w:rFonts w:ascii=&quot;Cambria Math&quot; w:h-ansi=&quot;Cambria Math&quot;/&gt;&lt;wx:font wx:val=&quot;Cambria Math&quot;/&gt;&lt;w:i/&gt;&lt;w:sz w:val=&quot;24&quot;/&gt;&lt;w:sz-cs w:val=&quot;24&quot;/&gt;&lt;/w:rPr&gt;&lt;m:t&gt;Пѓ&lt;/m:t&gt;&lt;/m:r&gt;&lt;/m:den&gt;&lt;/m:f&gt;&lt;/m:e&gt;&lt;/m:d&gt;&lt;/m:e&gt;&lt;m:sup&gt;&lt;m:r&gt;&lt;w:rPr&gt;&lt;w:rFonts w:ascii=&quot;Cambria Math&quot; w:h-ansi=&quot;Cambria Math&quot;/&gt;&lt;wx:font wx:val=&quot;Cambria Math&quot;/&gt;&lt;w:i/&gt;&lt;w:sz w:val=&quot;24&quot;/&gt;&lt;w:sz-cs w:val=&quot;24&quot;/&gt;&lt;/w:rPr&gt;&lt;m:t&gt;3&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002D341E" w:rsidRPr="003B10E2">
        <w:rPr>
          <w:rFonts w:ascii="Times New Roman" w:hAnsi="Times New Roman"/>
          <w:color w:val="000000"/>
          <w:sz w:val="24"/>
          <w:szCs w:val="24"/>
        </w:rPr>
        <w:instrText xml:space="preserve"> </w:instrText>
      </w:r>
      <w:r w:rsidR="002D341E" w:rsidRPr="003B10E2">
        <w:rPr>
          <w:rFonts w:ascii="Times New Roman" w:hAnsi="Times New Roman"/>
          <w:color w:val="000000"/>
          <w:sz w:val="24"/>
          <w:szCs w:val="24"/>
        </w:rPr>
        <w:fldChar w:fldCharType="separate"/>
      </w:r>
      <w:r w:rsidR="00F276E9">
        <w:rPr>
          <w:noProof/>
          <w:position w:val="-17"/>
        </w:rPr>
      </w:r>
      <w:r w:rsidR="00F276E9">
        <w:rPr>
          <w:noProof/>
          <w:position w:val="-17"/>
        </w:rPr>
        <w:pict w14:anchorId="4AFD734E">
          <v:shape id="_x0000_i1028" type="#_x0000_t75" style="width:98.05pt;height:26.0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4DC6&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F14DC6&quot; wsp:rsidP=&quot;00F14DC6&quot;&gt;&lt;m:oMathPara&gt;&lt;m:oMath&gt;&lt;m:f&gt;&lt;m:fPr&gt;&lt;m:ctrlPr&gt;&lt;w:rPr&gt;&lt;w:rFonts w:ascii=&quot;Cambria Math&quot; w:h-ansi=&quot;Cambria Math&quot;/&gt;&lt;wx:font wx:val=&quot;Cambria Math&quot;/&gt;&lt;w:sz w:val=&quot;24&quot;/&gt;&lt;w:sz-cs w:val=&quot;24&quot;/&gt;&lt;/w:rPr&gt;&lt;/m:ctrlPr&gt;&lt;/m:fPr&gt;&lt;m:num&gt;&lt;m:r&gt;&lt;w:rPr&gt;&lt;w:rFonts w:ascii=&quot;Cambria Math&quot; w:h-ansi=&quot;Cambria Math&quot;/&gt;&lt;wx:font wx:val=&quot;Cambria Math&quot;/&gt;&lt;w:i/&gt;&lt;w:sz w:val=&quot;24&quot;/&gt;&lt;w:sz-cs w:val=&quot;24&quot;/&gt;&lt;/w:rPr&gt;&lt;m:t&gt;n&lt;/m:t&gt;&lt;/m:r&gt;&lt;/m:num&gt;&lt;m:den&gt;&lt;m:d&gt;&lt;m:dPr&gt;&lt;m:ctrlPr&gt;&lt;w:rPr&gt;&lt;w:rFonts w:ascii=&quot;Cambria Math&quot; w:h-ansi=&quot;Cambria Math&quot;/&gt;&lt;wx:font wx:val=&quot;Cambria Math&quot;/&gt;&lt;w:sz w:val=&quot;24&quot;/&gt;&lt;w:sz-cs w:val=&quot;24&quot;/&gt;&lt;/w:rPr&gt;&lt;/m:ctrlPr&gt;&lt;/m:dPr&gt;&lt;m:e&gt;&lt;m:r&gt;&lt;w:rPr&gt;&lt;w:rFonts w:ascii=&quot;Cambria Math&quot; w:h-ansi=&quot;Cambria Math&quot;/&gt;&lt;wx:font wx:val=&quot;Cambria Math&quot;/&gt;&lt;w:i/&gt;&lt;w:sz w:val=&quot;24&quot;/&gt;&lt;w:sz-cs w:val=&quot;24&quot;/&gt;&lt;/w:rPr&gt;&lt;m:t&gt;n-1&lt;/m:t&gt;&lt;/m:r&gt;&lt;/m:e&gt;&lt;/m:d&gt;&lt;m:d&gt;&lt;m:dPr&gt;&lt;m:ctrlPr&gt;&lt;w:rPr&gt;&lt;w:rFonts w:ascii=&quot;Cambria Math&quot; w:h-ansi=&quot;Cambria Math&quot;/&gt;&lt;wx:font wx:val=&quot;Cambria Math&quot;/&gt;&lt;w:sz w:val=&quot;24&quot;/&gt;&lt;w:sz-cs w:val=&quot;24&quot;/&gt;&lt;/w:rPr&gt;&lt;/m:ctrlPr&gt;&lt;/m:dPr&gt;&lt;m:e&gt;&lt;m:r&gt;&lt;w:rPr&gt;&lt;w:rFonts w:ascii=&quot;Cambria Math&quot; w:h-ansi=&quot;Cambria Math&quot;/&gt;&lt;wx:font wx:val=&quot;Cambria Math&quot;/&gt;&lt;w:i/&gt;&lt;w:sz w:val=&quot;24&quot;/&gt;&lt;w:sz-cs w:val=&quot;24&quot;/&gt;&lt;/w:rPr&gt;&lt;m:t&gt;n-2&lt;/m:t&gt;&lt;/m:r&gt;&lt;/m:e&gt;&lt;/m:d&gt;&lt;/m:den&gt;&lt;/m:f&gt;&lt;m:nary&gt;&lt;m:naryPr&gt;&lt;m:chr m:val=&quot;в€‘&quot;/&gt;&lt;m:subHide m:val=&quot;1&quot;/&gt;&lt;m:supHide m:val=&quot;1&quot;/&gt;&lt;m:ctrlPr&gt;&lt;w:rPr&gt;&lt;w:rFonts w:ascii=&quot;Cambria Math&quot; w:h-ansi=&quot;Cambria Math&quot;/&gt;&lt;wx:font wx:val=&quot;Cambria Math&quot;/&gt;&lt;w:sz w:val=&quot;24&quot;/&gt;&lt;w:sz-cs w:val=&quot;24&quot;/&gt;&lt;/w:rPr&gt;&lt;/m:ctrlPr&gt;&lt;/m:naryPr&gt;&lt;m:sub/&gt;&lt;m:sup/&gt;&lt;m:e&gt;&lt;m:sSup&gt;&lt;m:sSupPr&gt;&lt;m:ctrlPr&gt;&lt;w:rPr&gt;&lt;w:rFonts w:ascii=&quot;Cambria Math&quot; w:h-ansi=&quot;Cambria Math&quot;/&gt;&lt;wx:font wx:val=&quot;Cambria Math&quot;/&gt;&lt;w:sz w:val=&quot;24&quot;/&gt;&lt;w:sz-cs w:val=&quot;24&quot;/&gt;&lt;/w:rPr&gt;&lt;/m:ctrlPr&gt;&lt;/m:sSupPr&gt;&lt;m:e&gt;&lt;m:d&gt;&lt;m:dPr&gt;&lt;m:ctrlPr&gt;&lt;w:rPr&gt;&lt;w:rFonts w:ascii=&quot;Cambria Math&quot; w:h-ansi=&quot;Cambria Math&quot;/&gt;&lt;wx:font wx:val=&quot;Cambria Math&quot;/&gt;&lt;w:sz w:val=&quot;24&quot;/&gt;&lt;w:sz-cs w:val=&quot;24&quot;/&gt;&lt;/w:rPr&gt;&lt;/m:ctrlPr&gt;&lt;/m:dPr&gt;&lt;m:e&gt;&lt;m:f&gt;&lt;m:fPr&gt;&lt;m:ctrlPr&gt;&lt;w:rPr&gt;&lt;w:rFonts w:ascii=&quot;Cambria Math&quot; w:h-ansi=&quot;Cambria Math&quot;/&gt;&lt;wx:font wx:val=&quot;Cambria Math&quot;/&gt;&lt;w:sz w:val=&quot;24&quot;/&gt;&lt;w:sz-cs w:val=&quot;24&quot;/&gt;&lt;/w:rPr&gt;&lt;/m:ctrlPr&gt;&lt;/m:fPr&gt;&lt;m:num&gt;&lt;m:sSub&gt;&lt;m:sSubPr&gt;&lt;m:ctrlPr&gt;&lt;w:rPr&gt;&lt;w:rFonts w:ascii=&quot;Cambria Math&quot; w:h-ansi=&quot;Cambria Math&quot;/&gt;&lt;wx:font wx:val=&quot;Cambria Math&quot;/&gt;&lt;w:sz w:val=&quot;24&quot;/&gt;&lt;w:sz-cs w:val=&quot;24&quot;/&gt;&lt;/w:rPr&gt;&lt;/m:ctrlPr&gt;&lt;/m:sSubPr&gt;&lt;m:e&gt;&lt;m:r&gt;&lt;w:rPr&gt;&lt;w:rFonts w:ascii=&quot;Cambria Math&quot; w:h-ansi=&quot;Cambria Math&quot;/&gt;&lt;wx:font wx:val=&quot;Cambria Math&quot;/&gt;&lt;w:i/&gt;&lt;w:sz w:val=&quot;24&quot;/&gt;&lt;w:sz-cs w:val=&quot;24&quot;/&gt;&lt;/w:rPr&gt;&lt;m:t&gt;П‡&lt;/m:t&gt;&lt;/m:r&gt;&lt;/m:e&gt;&lt;m:sub&gt;&lt;m:r&gt;&lt;w:rPr&gt;&lt;w:rFonts w:ascii=&quot;Cambria Math&quot; w:h-ansi=&quot;Cambria Math&quot;/&gt;&lt;wx:font wx:val=&quot;Cambria Math&quot;/&gt;&lt;w:i/&gt;&lt;w:sz w:val=&quot;24&quot;/&gt;&lt;w:sz-cs w:val=&quot;24&quot;/&gt;&lt;/w:rPr&gt;&lt;m:t&gt;i&lt;/m:t&gt;&lt;/m:r&gt;&lt;/m:sub&gt;&lt;/m:sSub&gt;&lt;m:r&gt;&lt;w:rPr&gt;&lt;w:rFonts w:ascii=&quot;Cambria Math&quot; w:h-ansi=&quot;Cambria Math&quot;/&gt;&lt;wx:font wx:val=&quot;Cambria Math&quot;/&gt;&lt;w:i/&gt;&lt;w:sz w:val=&quot;24&quot;/&gt;&lt;w:sz-cs w:val=&quot;24&quot;/&gt;&lt;/w:rPr&gt;&lt;m:t&gt;-П‡&lt;/m:t&gt;&lt;/m:r&gt;&lt;/m:num&gt;&lt;m:den&gt;&lt;m:r&gt;&lt;w:rPr&gt;&lt;w:rFonts w:ascii=&quot;Cambria Math&quot; w:h-ansi=&quot;Cambria Math&quot;/&gt;&lt;wx:font wx:val=&quot;Cambria Math&quot;/&gt;&lt;w:i/&gt;&lt;w:sz w:val=&quot;24&quot;/&gt;&lt;w:sz-cs w:val=&quot;24&quot;/&gt;&lt;/w:rPr&gt;&lt;m:t&gt;Пѓ&lt;/m:t&gt;&lt;/m:r&gt;&lt;/m:den&gt;&lt;/m:f&gt;&lt;/m:e&gt;&lt;/m:d&gt;&lt;/m:e&gt;&lt;m:sup&gt;&lt;m:r&gt;&lt;w:rPr&gt;&lt;w:rFonts w:ascii=&quot;Cambria Math&quot; w:h-ansi=&quot;Cambria Math&quot;/&gt;&lt;wx:font wx:val=&quot;Cambria Math&quot;/&gt;&lt;w:i/&gt;&lt;w:sz w:val=&quot;24&quot;/&gt;&lt;w:sz-cs w:val=&quot;24&quot;/&gt;&lt;/w:rPr&gt;&lt;m:t&gt;3&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002D341E" w:rsidRPr="003B10E2">
        <w:rPr>
          <w:rFonts w:ascii="Times New Roman" w:hAnsi="Times New Roman"/>
          <w:color w:val="000000"/>
          <w:sz w:val="24"/>
          <w:szCs w:val="24"/>
        </w:rPr>
        <w:fldChar w:fldCharType="end"/>
      </w:r>
    </w:p>
    <w:p w14:paraId="358BE642" w14:textId="77777777" w:rsidR="00BD245A" w:rsidRPr="003B10E2" w:rsidRDefault="00BD245A" w:rsidP="00BC1DEC">
      <w:pPr>
        <w:spacing w:after="0" w:line="240" w:lineRule="auto"/>
        <w:contextualSpacing/>
        <w:jc w:val="both"/>
        <w:rPr>
          <w:rFonts w:ascii="Times New Roman" w:hAnsi="Times New Roman"/>
          <w:sz w:val="24"/>
          <w:szCs w:val="24"/>
        </w:rPr>
      </w:pPr>
      <w:r w:rsidRPr="003B10E2">
        <w:rPr>
          <w:rFonts w:ascii="Times New Roman" w:hAnsi="Times New Roman"/>
          <w:color w:val="000000"/>
          <w:sz w:val="24"/>
          <w:szCs w:val="24"/>
        </w:rPr>
        <w:t xml:space="preserve">**Эксцесс = </w:t>
      </w:r>
      <w:r w:rsidR="002D341E" w:rsidRPr="003B10E2">
        <w:rPr>
          <w:rFonts w:ascii="Times New Roman" w:hAnsi="Times New Roman"/>
          <w:sz w:val="24"/>
          <w:szCs w:val="24"/>
        </w:rPr>
        <w:fldChar w:fldCharType="begin"/>
      </w:r>
      <w:r w:rsidR="002D341E" w:rsidRPr="003B10E2">
        <w:rPr>
          <w:rFonts w:ascii="Times New Roman" w:hAnsi="Times New Roman"/>
          <w:sz w:val="24"/>
          <w:szCs w:val="24"/>
        </w:rPr>
        <w:instrText xml:space="preserve"> QUOTE </w:instrText>
      </w:r>
      <w:r w:rsidR="00F276E9">
        <w:rPr>
          <w:noProof/>
          <w:position w:val="-18"/>
        </w:rPr>
      </w:r>
      <w:r w:rsidR="00F276E9">
        <w:rPr>
          <w:noProof/>
          <w:position w:val="-18"/>
        </w:rPr>
        <w:pict w14:anchorId="783D5E5C">
          <v:shape id="_x0000_i1029" type="#_x0000_t75" style="width:195.7pt;height:27.4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06F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EA06F7&quot; wsp:rsidP=&quot;00EA06F7&quot;&gt;&lt;m:oMathPara&gt;&lt;m:oMath&gt;&lt;m:d&gt;&lt;m:dPr&gt;&lt;m:ctrlPr&gt;&lt;w:rPr&gt;&lt;w:rFonts w:ascii=&quot;Cambria Math&quot; w:h-ansi=&quot;Cambria Math&quot;/&gt;&lt;wx:font wx:val=&quot;Cambria Math&quot;/&gt;&lt;w:sz w:val=&quot;24&quot;/&gt;&lt;w:sz-cs w:val=&quot;24&quot;/&gt;&lt;/w:rPr&gt;&lt;/m:ctrlPr&gt;&lt;/m:dPr&gt;&lt;m:e&gt;&lt;m:f&gt;&lt;m:fPr&gt;&lt;m:ctrlPr&gt;&lt;w:rPr&gt;&lt;w:rFonts w:ascii=&quot;Cambria Math&quot; w:h-ansi=&quot;Cambria Math&quot;/&gt;&lt;wx:font wx:val=&quot;Cambria Math&quot;/&gt;&lt;w:sz w:val=&quot;24&quot;/&gt;&lt;w:sz-cs w:val=&quot;24&quot;/&gt;&lt;/w:rPr&gt;&lt;/m:ctrlPr&gt;&lt;/m:fPr&gt;&lt;m:num&gt;&lt;m:r&gt;&lt;w:rPr&gt;&lt;w:rFonts w:ascii=&quot;Cambria Math&quot; w:h-ansi=&quot;Cambria Math&quot;/&gt;&lt;wx:font wx:val=&quot;Cambria Math&quot;/&gt;&lt;w:i/&gt;&lt;w:sz w:val=&quot;24&quot;/&gt;&lt;w:sz-cs w:val=&quot;24&quot;/&gt;&lt;/w:rPr&gt;&lt;m:t&gt;n&lt;/m:t&gt;&lt;/m:r&gt;&lt;m:d&gt;&lt;m:dPr&gt;&lt;m:ctrlPr&gt;&lt;w:rPr&gt;&lt;w:rFonts w:ascii=&quot;Cambria Math&quot; w:h-ansi=&quot;Cambria Math&quot;/&gt;&lt;wx:font wx:val=&quot;Cambria Math&quot;/&gt;&lt;w:sz w:val=&quot;24&quot;/&gt;&lt;w:sz-cs w:val=&quot;24&quot;/&gt;&lt;/w:rPr&gt;&lt;/m:ctrlPr&gt;&lt;/m:dPr&gt;&lt;m:e&gt;&lt;m:r&gt;&lt;w:rPr&gt;&lt;w:rFonts w:ascii=&quot;Cambria Math&quot; w:h-ansi=&quot;Cambria Math&quot;/&gt;&lt;wx:font wx:val=&quot;Cambria Math&quot;/&gt;&lt;w:i/&gt;&lt;w:sz w:val=&quot;24&quot;/&gt;&lt;w:sz-cs w:val=&quot;24&quot;/&gt;&lt;/w:rPr&gt;&lt;m:t&gt;n+1&lt;/m:t&gt;&lt;/m:r&gt;&lt;/m:e&gt;&lt;/m:d&gt;&lt;/m:num&gt;&lt;m:den&gt;&lt;m:d&gt;&lt;m:dPr&gt;&lt;m:ctrlPr&gt;&lt;w:rPr&gt;&lt;w:rFonts w:ascii=&quot;Cambria Math&quot; w:h-ansi=&quot;Cambria Math&quot;/&gt;&lt;wx:font wx:val=&quot;Cambria Math&quot;/&gt;&lt;w:sz w:val=&quot;24&quot;/&gt;&lt;w:sz-cs w:val=&quot;24&quot;/&gt;&lt;/w:rPr&gt;&lt;/m:ctrlPr&gt;&lt;/m:dPr&gt;&lt;m:e&gt;&lt;m:r&gt;&lt;w:rPr&gt;&lt;w:rFonts w:ascii=&quot;Cambria Math&quot; w:h-ansi=&quot;Cambria Math&quot;/&gt;&lt;wx:font wx:val=&quot;Cambria Math&quot;/&gt;&lt;w:i/&gt;&lt;w:sz w:val=&quot;24&quot;/&gt;&lt;w:sz-cs w:val=&quot;24&quot;/&gt;&lt;/w:rPr&gt;&lt;m:t&gt;n-1&lt;/m:t&gt;&lt;/m:r&gt;&lt;/m:e&gt;&lt;/m:d&gt;&lt;m:d&gt;&lt;m:dPr&gt;&lt;m:ctrlPr&gt;&lt;w:rPr&gt;&lt;w:rFonts w:ascii=&quot;Cambria Math&quot; w:h-ansi=&quot;Cambria Math&quot;/&gt;&lt;wx:font wx:val=&quot;Cambria Math&quot;/&gt;&lt;w:sz w:val=&quot;24&quot;/&gt;&lt;w:sz-cs w:val=&quot;24&quot;/&gt;&lt;/w:rPr&gt;&lt;/m:ctrlPr&gt;&lt;/m:dPr&gt;&lt;m:e&gt;&lt;m:r&gt;&lt;w:rPr&gt;&lt;w:rFonts w:ascii=&quot;Cambria Math&quot; w:h-ansi=&quot;Cambria Math&quot;/&gt;&lt;wx:font wx:val=&quot;Cambria Math&quot;/&gt;&lt;w:i/&gt;&lt;w:sz w:val=&quot;24&quot;/&gt;&lt;w:sz-cs w:val=&quot;24&quot;/&gt;&lt;/w:rPr&gt;&lt;m:t&gt;n-2&lt;/m:t&gt;&lt;/m:r&gt;&lt;/m:e&gt;&lt;/m:d&gt;&lt;m:d&gt;&lt;m:dPr&gt;&lt;m:ctrlPr&gt;&lt;w:rPr&gt;&lt;w:rFonts w:ascii=&quot;Cambria Math&quot; w:h-ansi=&quot;Cambria Math&quot;/&gt;&lt;wx:font wx:val=&quot;Cambria Math&quot;/&gt;&lt;w:sz w:val=&quot;24&quot;/&gt;&lt;w:sz-cs w:val=&quot;24&quot;/&gt;&lt;/w:rPr&gt;&lt;/m:ctrlPr&gt;&lt;/m:dPr&gt;&lt;m:e&gt;&lt;m:r&gt;&lt;w:rPr&gt;&lt;w:rFonts w:ascii=&quot;Cambria Math&quot; w:h-ansi=&quot;Cambria Math&quot;/&gt;&lt;wx:font wx:val=&quot;Cambria Math&quot;/&gt;&lt;w:i/&gt;&lt;w:sz w:val=&quot;24&quot;/&gt;&lt;w:sz-cs w:val=&quot;24&quot;/&gt;&lt;/w:rPr&gt;&lt;m:t&gt;n-3&lt;/m:t&gt;&lt;/m:r&gt;&lt;/m:e&gt;&lt;/m:d&gt;&lt;/m:den&gt;&lt;/m:f&gt;&lt;m:nary&gt;&lt;m:naryPr&gt;&lt;m:chr m:val=&quot;в€‘&quot;/&gt;&lt;m:subHide m:val=&quot;1&quot;/&gt;&lt;m:supHide m:val=&quot;1&quot;/&gt;&lt;m:ctrlPr&gt;&lt;w:rPr&gt;&lt;w:rFonts w:ascii=&quot;Cambria Math&quot; w:h-ansi=&quot;Cambria Math&quot;/&gt;&lt;wx:font wx:val=&quot;Cambria Math&quot;/&gt;&lt;w:sz w:val=&quot;24&quot;/&gt;&lt;w:sz-cs w:val=&quot;24&quot;/&gt;&lt;/w:rPr&gt;&lt;/m:ctrlPr&gt;&lt;/m:naryPr&gt;&lt;m:sub/&gt;&lt;m:sup/&gt;&lt;m:e&gt;&lt;m:sSup&gt;&lt;m:sSupPr&gt;&lt;m:ctrlPr&gt;&lt;w:rPr&gt;&lt;w:rFonts w:ascii=&quot;Cambria Math&quot; w:h-ansi=&quot;Cambria Math&quot;/&gt;&lt;wx:font wx:val=&quot;Cambria Math&quot;/&gt;&lt;w:sz w:val=&quot;24&quot;/&gt;&lt;w:sz-cs w:val=&quot;24&quot;/&gt;&lt;/w:rPr&gt;&lt;/m:ctrlPr&gt;&lt;/m:sSupPr&gt;&lt;m:e&gt;&lt;m:d&gt;&lt;m:dPr&gt;&lt;m:ctrlPr&gt;&lt;w:rPr&gt;&lt;w:rFonts w:ascii=&quot;Cambria Math&quot; w:h-ansi=&quot;Cambria Math&quot;/&gt;&lt;wx:font wx:val=&quot;Cambria Math&quot;/&gt;&lt;w:sz w:val=&quot;24&quot;/&gt;&lt;w:sz-cs w:val=&quot;24&quot;/&gt;&lt;/w:rPr&gt;&lt;/m:ctrlPr&gt;&lt;/m:dPr&gt;&lt;m:e&gt;&lt;m:f&gt;&lt;m:fPr&gt;&lt;m:ctrlPr&gt;&lt;w:rPr&gt;&lt;w:rFonts w:ascii=&quot;Cambria Math&quot; w:h-ansi=&quot;Cambria Math&quot;/&gt;&lt;wx:font wx:val=&quot;Cambria Math&quot;/&gt;&lt;w:sz w:val=&quot;24&quot;/&gt;&lt;w:sz-cs w:val=&quot;24&quot;/&gt;&lt;/w:rPr&gt;&lt;/m:ctrlPr&gt;&lt;/m:fPr&gt;&lt;m:num&gt;&lt;m:sSub&gt;&lt;m:sSubPr&gt;&lt;m:ctrlPr&gt;&lt;w:rPr&gt;&lt;w:rFonts w:ascii=&quot;Cambria Math&quot; w:h-ansi=&quot;Cambria Math&quot;/&gt;&lt;wx:font wx:val=&quot;Cambria Math&quot;/&gt;&lt;w:sz w:val=&quot;24&quot;/&gt;&lt;w:sz-cs w:val=&quot;24&quot;/&gt;&lt;/w:rPr&gt;&lt;/m:ctrlPr&gt;&lt;/m:sSubPr&gt;&lt;m:e&gt;&lt;m:r&gt;&lt;w:rPr&gt;&lt;w:rFonts w:ascii=&quot;Cambria Math&quot; w:h-ansi=&quot;Cambria Math&quot;/&gt;&lt;wx:font wx:val=&quot;Cambria Math&quot;/&gt;&lt;w:i/&gt;&lt;w:sz w:val=&quot;24&quot;/&gt;&lt;w:sz-cs w:val=&quot;24&quot;/&gt;&lt;/w:rPr&gt;&lt;m:t&gt;П‡&lt;/m:t&gt;&lt;/m:r&gt;&lt;/m:e&gt;&lt;m:sub&gt;&lt;m:r&gt;&lt;w:rPr&gt;&lt;w:rFonts w:ascii=&quot;Cambria Math&quot; w:h-ansi=&quot;Cambria Math&quot;/&gt;&lt;wx:font wx:val=&quot;Cambria Math&quot;/&gt;&lt;w:i/&gt;&lt;w:sz w:val=&quot;24&quot;/&gt;&lt;w:sz-cs w:val=&quot;24&quot;/&gt;&lt;/w:rPr&gt;&lt;m:t&gt;i&lt;/m:t&gt;&lt;/m:r&gt;&lt;/m:sub&gt;&lt;/m:sSub&gt;&lt;m:r&gt;&lt;w:rPr&gt;&lt;w:rFonts w:ascii=&quot;Cambria Math&quot; w:h-ansi=&quot;Cambria Math&quot;/&gt;&lt;wx:font wx:val=&quot;Cambria Math&quot;/&gt;&lt;w:i/&gt;&lt;w:sz w:val=&quot;24&quot;/&gt;&lt;w:sz-cs w:val=&quot;24&quot;/&gt;&lt;/w:rPr&gt;&lt;m:t&gt;-П‡&lt;/m:t&gt;&lt;/m:r&gt;&lt;/m:num&gt;&lt;m:den&gt;&lt;m:r&gt;&lt;w:rPr&gt;&lt;w:rFonts w:ascii=&quot;Cambria Math&quot; w:h-ansi=&quot;Cambria Math&quot;/&gt;&lt;wx:font wx:val=&quot;Cambria Math&quot;/&gt;&lt;w:i/&gt;&lt;w:sz w:val=&quot;24&quot;/&gt;&lt;w:sz-cs w:val=&quot;24&quot;/&gt;&lt;/w:rPr&gt;&lt;m:t&gt;Пѓ&lt;/m:t&gt;&lt;/m:r&gt;&lt;/m:den&gt;&lt;/m:f&gt;&lt;/m:e&gt;&lt;/m:d&gt;&lt;/m:e&gt;&lt;m:sup&gt;&lt;m:r&gt;&lt;w:rPr&gt;&lt;w:rFonts w:ascii=&quot;Cambria Math&quot; w:h-ansi=&quot;Cambria Math&quot;/&gt;&lt;wx:font wx:val=&quot;Cambria Math&quot;/&gt;&lt;w:i/&gt;&lt;w:sz w:val=&quot;24&quot;/&gt;&lt;w:sz-cs w:val=&quot;24&quot;/&gt;&lt;/w:rPr&gt;&lt;m:t&gt;4&lt;/m:t&gt;&lt;/m:r&gt;&lt;/m:sup&gt;&lt;/m:sSup&gt;&lt;/m:e&gt;&lt;/m:nary&gt;&lt;/m:e&gt;&lt;/m:d&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sz w:val=&quot;24&quot;/&gt;&lt;w:sz-cs w:val=&quot;24&quot;/&gt;&lt;/w:rPr&gt;&lt;/m:ctrlPr&gt;&lt;/m:fPr&gt;&lt;m:num&gt;&lt;m:r&gt;&lt;w:rPr&gt;&lt;w:rFonts w:ascii=&quot;Cambria Math&quot; w:h-ansi=&quot;Cambria Math&quot;/&gt;&lt;wx:font wx:val=&quot;Cambria Math&quot;/&gt;&lt;w:i/&gt;&lt;w:sz w:val=&quot;24&quot;/&gt;&lt;w:sz-cs w:val=&quot;24&quot;/&gt;&lt;/w:rPr&gt;&lt;m:t&gt;3&lt;/m:t&gt;&lt;/m:r&gt;&lt;m:sSup&gt;&lt;m:sSupPr&gt;&lt;m:ctrlPr&gt;&lt;w:rPr&gt;&lt;w:rFonts w:ascii=&quot;Cambria Math&quot; w:h-ansi=&quot;Cambria Math&quot;/&gt;&lt;wx:font wx:val=&quot;Cambria Math&quot;/&gt;&lt;w:sz w:val=&quot;24&quot;/&gt;&lt;w:sz-cs w:val=&quot;24&quot;/&gt;&lt;/w:rPr&gt;&lt;/m:ctrlPr&gt;&lt;/m:sSupPr&gt;&lt;m:e&gt;&lt;m:d&gt;&lt;m:dPr&gt;&lt;m:ctrlPr&gt;&lt;w:rPr&gt;&lt;w:rFonts w:ascii=&quot;Cambria Math&quot; w:h-ansi=&quot;Cambria Math&quot;/&gt;&lt;wx:font wx:val=&quot;Cambria Math&quot;/&gt;&lt;w:sz w:val=&quot;24&quot;/&gt;&lt;w:sz-cs w:val=&quot;24&quot;/&gt;&lt;/w:rPr&gt;&lt;/m:ctrlPr&gt;&lt;/m:dPr&gt;&lt;m:e&gt;&lt;m:r&gt;&lt;w:rPr&gt;&lt;w:rFonts w:ascii=&quot;Cambria Math&quot; w:h-ansi=&quot;Cambria Math&quot;/&gt;&lt;wx:font wx:val=&quot;Cambria Math&quot;/&gt;&lt;w:i/&gt;&lt;w:sz w:val=&quot;24&quot;/&gt;&lt;w:sz-cs w:val=&quot;24&quot;/&gt;&lt;/w:rPr&gt;&lt;m:t&gt;n-1&lt;/m:t&gt;&lt;/m:r&gt;&lt;/m:e&gt;&lt;/m:d&gt;&lt;/m:e&gt;&lt;m:sup&gt;&lt;m:r&gt;&lt;w:rPr&gt;&lt;w:rFonts w:ascii=&quot;Cambria Math&quot; w:h-ansi=&quot;Cambria Math&quot;/&gt;&lt;wx:font wx:val=&quot;Cambria Math&quot;/&gt;&lt;w:i/&gt;&lt;w:sz w:val=&quot;24&quot;/&gt;&lt;w:sz-cs w:val=&quot;24&quot;/&gt;&lt;/w:rPr&gt;&lt;m:t&gt;2&lt;/m:t&gt;&lt;/m:r&gt;&lt;/m:sup&gt;&lt;/m:sSup&gt;&lt;/m:num&gt;&lt;m:den&gt;&lt;m:d&gt;&lt;m:dPr&gt;&lt;m:ctrlPr&gt;&lt;w:rPr&gt;&lt;w:rFonts w:ascii=&quot;Cambria Math&quot; w:h-ansi=&quot;Cambria Math&quot;/&gt;&lt;wx:font wx:val=&quot;Cambria Math&quot;/&gt;&lt;w:sz w:val=&quot;24&quot;/&gt;&lt;w:sz-cs w:val=&quot;24&quot;/&gt;&lt;/w:rPr&gt;&lt;/m:ctrlPr&gt;&lt;/m:dPr&gt;&lt;m:e&gt;&lt;m:r&gt;&lt;w:rPr&gt;&lt;w:rFonts w:ascii=&quot;Cambria Math&quot; w:h-ansi=&quot;Cambria Math&quot;/&gt;&lt;wx:font wx:val=&quot;Cambria Math&quot;/&gt;&lt;w:i/&gt;&lt;w:sz w:val=&quot;24&quot;/&gt;&lt;w:sz-cs w:val=&quot;24&quot;/&gt;&lt;/w:rPr&gt;&lt;m:t&gt;n-2&lt;/m:t&gt;&lt;/m:r&gt;&lt;/m:e&gt;&lt;/m:d&gt;&lt;m:d&gt;&lt;m:dPr&gt;&lt;m:ctrlPr&gt;&lt;w:rPr&gt;&lt;w:rFonts w:ascii=&quot;Cambria Math&quot; w:h-ansi=&quot;Cambria Math&quot;/&gt;&lt;wx:font wx:val=&quot;Cambria Math&quot;/&gt;&lt;w:sz w:val=&quot;24&quot;/&gt;&lt;w:sz-cs w:val=&quot;24&quot;/&gt;&lt;/w:rPr&gt;&lt;/m:ctrlPr&gt;&lt;/m:dPr&gt;&lt;m:e&gt;&lt;m:r&gt;&lt;w:rPr&gt;&lt;w:rFonts w:ascii=&quot;Cambria Math&quot; w:h-ansi=&quot;Cambria Math&quot;/&gt;&lt;wx:font wx:val=&quot;Cambria Math&quot;/&gt;&lt;w:i/&gt;&lt;w:sz w:val=&quot;24&quot;/&gt;&lt;w:sz-cs w:val=&quot;24&quot;/&gt;&lt;/w:rPr&gt;&lt;m:t&gt;n-3&lt;/m:t&gt;&lt;/m:r&gt;&lt;/m:e&gt;&lt;/m:d&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 o:title="" chromakey="white"/>
          </v:shape>
        </w:pict>
      </w:r>
      <w:r w:rsidR="002D341E" w:rsidRPr="003B10E2">
        <w:rPr>
          <w:rFonts w:ascii="Times New Roman" w:hAnsi="Times New Roman"/>
          <w:sz w:val="24"/>
          <w:szCs w:val="24"/>
        </w:rPr>
        <w:instrText xml:space="preserve"> </w:instrText>
      </w:r>
      <w:r w:rsidR="002D341E" w:rsidRPr="003B10E2">
        <w:rPr>
          <w:rFonts w:ascii="Times New Roman" w:hAnsi="Times New Roman"/>
          <w:sz w:val="24"/>
          <w:szCs w:val="24"/>
        </w:rPr>
        <w:fldChar w:fldCharType="separate"/>
      </w:r>
      <w:r w:rsidR="00F276E9">
        <w:rPr>
          <w:noProof/>
          <w:position w:val="-18"/>
        </w:rPr>
      </w:r>
      <w:r w:rsidR="00F276E9">
        <w:rPr>
          <w:noProof/>
          <w:position w:val="-18"/>
        </w:rPr>
        <w:pict w14:anchorId="6559E642">
          <v:shape id="_x0000_i1030" type="#_x0000_t75" style="width:195.7pt;height:27.4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06F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EA06F7&quot; wsp:rsidP=&quot;00EA06F7&quot;&gt;&lt;m:oMathPara&gt;&lt;m:oMath&gt;&lt;m:d&gt;&lt;m:dPr&gt;&lt;m:ctrlPr&gt;&lt;w:rPr&gt;&lt;w:rFonts w:ascii=&quot;Cambria Math&quot; w:h-ansi=&quot;Cambria Math&quot;/&gt;&lt;wx:font wx:val=&quot;Cambria Math&quot;/&gt;&lt;w:sz w:val=&quot;24&quot;/&gt;&lt;w:sz-cs w:val=&quot;24&quot;/&gt;&lt;/w:rPr&gt;&lt;/m:ctrlPr&gt;&lt;/m:dPr&gt;&lt;m:e&gt;&lt;m:f&gt;&lt;m:fPr&gt;&lt;m:ctrlPr&gt;&lt;w:rPr&gt;&lt;w:rFonts w:ascii=&quot;Cambria Math&quot; w:h-ansi=&quot;Cambria Math&quot;/&gt;&lt;wx:font wx:val=&quot;Cambria Math&quot;/&gt;&lt;w:sz w:val=&quot;24&quot;/&gt;&lt;w:sz-cs w:val=&quot;24&quot;/&gt;&lt;/w:rPr&gt;&lt;/m:ctrlPr&gt;&lt;/m:fPr&gt;&lt;m:num&gt;&lt;m:r&gt;&lt;w:rPr&gt;&lt;w:rFonts w:ascii=&quot;Cambria Math&quot; w:h-ansi=&quot;Cambria Math&quot;/&gt;&lt;wx:font wx:val=&quot;Cambria Math&quot;/&gt;&lt;w:i/&gt;&lt;w:sz w:val=&quot;24&quot;/&gt;&lt;w:sz-cs w:val=&quot;24&quot;/&gt;&lt;/w:rPr&gt;&lt;m:t&gt;n&lt;/m:t&gt;&lt;/m:r&gt;&lt;m:d&gt;&lt;m:dPr&gt;&lt;m:ctrlPr&gt;&lt;w:rPr&gt;&lt;w:rFonts w:ascii=&quot;Cambria Math&quot; w:h-ansi=&quot;Cambria Math&quot;/&gt;&lt;wx:font wx:val=&quot;Cambria Math&quot;/&gt;&lt;w:sz w:val=&quot;24&quot;/&gt;&lt;w:sz-cs w:val=&quot;24&quot;/&gt;&lt;/w:rPr&gt;&lt;/m:ctrlPr&gt;&lt;/m:dPr&gt;&lt;m:e&gt;&lt;m:r&gt;&lt;w:rPr&gt;&lt;w:rFonts w:ascii=&quot;Cambria Math&quot; w:h-ansi=&quot;Cambria Math&quot;/&gt;&lt;wx:font wx:val=&quot;Cambria Math&quot;/&gt;&lt;w:i/&gt;&lt;w:sz w:val=&quot;24&quot;/&gt;&lt;w:sz-cs w:val=&quot;24&quot;/&gt;&lt;/w:rPr&gt;&lt;m:t&gt;n+1&lt;/m:t&gt;&lt;/m:r&gt;&lt;/m:e&gt;&lt;/m:d&gt;&lt;/m:num&gt;&lt;m:den&gt;&lt;m:d&gt;&lt;m:dPr&gt;&lt;m:ctrlPr&gt;&lt;w:rPr&gt;&lt;w:rFonts w:ascii=&quot;Cambria Math&quot; w:h-ansi=&quot;Cambria Math&quot;/&gt;&lt;wx:font wx:val=&quot;Cambria Math&quot;/&gt;&lt;w:sz w:val=&quot;24&quot;/&gt;&lt;w:sz-cs w:val=&quot;24&quot;/&gt;&lt;/w:rPr&gt;&lt;/m:ctrlPr&gt;&lt;/m:dPr&gt;&lt;m:e&gt;&lt;m:r&gt;&lt;w:rPr&gt;&lt;w:rFonts w:ascii=&quot;Cambria Math&quot; w:h-ansi=&quot;Cambria Math&quot;/&gt;&lt;wx:font wx:val=&quot;Cambria Math&quot;/&gt;&lt;w:i/&gt;&lt;w:sz w:val=&quot;24&quot;/&gt;&lt;w:sz-cs w:val=&quot;24&quot;/&gt;&lt;/w:rPr&gt;&lt;m:t&gt;n-1&lt;/m:t&gt;&lt;/m:r&gt;&lt;/m:e&gt;&lt;/m:d&gt;&lt;m:d&gt;&lt;m:dPr&gt;&lt;m:ctrlPr&gt;&lt;w:rPr&gt;&lt;w:rFonts w:ascii=&quot;Cambria Math&quot; w:h-ansi=&quot;Cambria Math&quot;/&gt;&lt;wx:font wx:val=&quot;Cambria Math&quot;/&gt;&lt;w:sz w:val=&quot;24&quot;/&gt;&lt;w:sz-cs w:val=&quot;24&quot;/&gt;&lt;/w:rPr&gt;&lt;/m:ctrlPr&gt;&lt;/m:dPr&gt;&lt;m:e&gt;&lt;m:r&gt;&lt;w:rPr&gt;&lt;w:rFonts w:ascii=&quot;Cambria Math&quot; w:h-ansi=&quot;Cambria Math&quot;/&gt;&lt;wx:font wx:val=&quot;Cambria Math&quot;/&gt;&lt;w:i/&gt;&lt;w:sz w:val=&quot;24&quot;/&gt;&lt;w:sz-cs w:val=&quot;24&quot;/&gt;&lt;/w:rPr&gt;&lt;m:t&gt;n-2&lt;/m:t&gt;&lt;/m:r&gt;&lt;/m:e&gt;&lt;/m:d&gt;&lt;m:d&gt;&lt;m:dPr&gt;&lt;m:ctrlPr&gt;&lt;w:rPr&gt;&lt;w:rFonts w:ascii=&quot;Cambria Math&quot; w:h-ansi=&quot;Cambria Math&quot;/&gt;&lt;wx:font wx:val=&quot;Cambria Math&quot;/&gt;&lt;w:sz w:val=&quot;24&quot;/&gt;&lt;w:sz-cs w:val=&quot;24&quot;/&gt;&lt;/w:rPr&gt;&lt;/m:ctrlPr&gt;&lt;/m:dPr&gt;&lt;m:e&gt;&lt;m:r&gt;&lt;w:rPr&gt;&lt;w:rFonts w:ascii=&quot;Cambria Math&quot; w:h-ansi=&quot;Cambria Math&quot;/&gt;&lt;wx:font wx:val=&quot;Cambria Math&quot;/&gt;&lt;w:i/&gt;&lt;w:sz w:val=&quot;24&quot;/&gt;&lt;w:sz-cs w:val=&quot;24&quot;/&gt;&lt;/w:rPr&gt;&lt;m:t&gt;n-3&lt;/m:t&gt;&lt;/m:r&gt;&lt;/m:e&gt;&lt;/m:d&gt;&lt;/m:den&gt;&lt;/m:f&gt;&lt;m:nary&gt;&lt;m:naryPr&gt;&lt;m:chr m:val=&quot;в€‘&quot;/&gt;&lt;m:subHide m:val=&quot;1&quot;/&gt;&lt;m:supHide m:val=&quot;1&quot;/&gt;&lt;m:ctrlPr&gt;&lt;w:rPr&gt;&lt;w:rFonts w:ascii=&quot;Cambria Math&quot; w:h-ansi=&quot;Cambria Math&quot;/&gt;&lt;wx:font wx:val=&quot;Cambria Math&quot;/&gt;&lt;w:sz w:val=&quot;24&quot;/&gt;&lt;w:sz-cs w:val=&quot;24&quot;/&gt;&lt;/w:rPr&gt;&lt;/m:ctrlPr&gt;&lt;/m:naryPr&gt;&lt;m:sub/&gt;&lt;m:sup/&gt;&lt;m:e&gt;&lt;m:sSup&gt;&lt;m:sSupPr&gt;&lt;m:ctrlPr&gt;&lt;w:rPr&gt;&lt;w:rFonts w:ascii=&quot;Cambria Math&quot; w:h-ansi=&quot;Cambria Math&quot;/&gt;&lt;wx:font wx:val=&quot;Cambria Math&quot;/&gt;&lt;w:sz w:val=&quot;24&quot;/&gt;&lt;w:sz-cs w:val=&quot;24&quot;/&gt;&lt;/w:rPr&gt;&lt;/m:ctrlPr&gt;&lt;/m:sSupPr&gt;&lt;m:e&gt;&lt;m:d&gt;&lt;m:dPr&gt;&lt;m:ctrlPr&gt;&lt;w:rPr&gt;&lt;w:rFonts w:ascii=&quot;Cambria Math&quot; w:h-ansi=&quot;Cambria Math&quot;/&gt;&lt;wx:font wx:val=&quot;Cambria Math&quot;/&gt;&lt;w:sz w:val=&quot;24&quot;/&gt;&lt;w:sz-cs w:val=&quot;24&quot;/&gt;&lt;/w:rPr&gt;&lt;/m:ctrlPr&gt;&lt;/m:dPr&gt;&lt;m:e&gt;&lt;m:f&gt;&lt;m:fPr&gt;&lt;m:ctrlPr&gt;&lt;w:rPr&gt;&lt;w:rFonts w:ascii=&quot;Cambria Math&quot; w:h-ansi=&quot;Cambria Math&quot;/&gt;&lt;wx:font wx:val=&quot;Cambria Math&quot;/&gt;&lt;w:sz w:val=&quot;24&quot;/&gt;&lt;w:sz-cs w:val=&quot;24&quot;/&gt;&lt;/w:rPr&gt;&lt;/m:ctrlPr&gt;&lt;/m:fPr&gt;&lt;m:num&gt;&lt;m:sSub&gt;&lt;m:sSubPr&gt;&lt;m:ctrlPr&gt;&lt;w:rPr&gt;&lt;w:rFonts w:ascii=&quot;Cambria Math&quot; w:h-ansi=&quot;Cambria Math&quot;/&gt;&lt;wx:font wx:val=&quot;Cambria Math&quot;/&gt;&lt;w:sz w:val=&quot;24&quot;/&gt;&lt;w:sz-cs w:val=&quot;24&quot;/&gt;&lt;/w:rPr&gt;&lt;/m:ctrlPr&gt;&lt;/m:sSubPr&gt;&lt;m:e&gt;&lt;m:r&gt;&lt;w:rPr&gt;&lt;w:rFonts w:ascii=&quot;Cambria Math&quot; w:h-ansi=&quot;Cambria Math&quot;/&gt;&lt;wx:font wx:val=&quot;Cambria Math&quot;/&gt;&lt;w:i/&gt;&lt;w:sz w:val=&quot;24&quot;/&gt;&lt;w:sz-cs w:val=&quot;24&quot;/&gt;&lt;/w:rPr&gt;&lt;m:t&gt;П‡&lt;/m:t&gt;&lt;/m:r&gt;&lt;/m:e&gt;&lt;m:sub&gt;&lt;m:r&gt;&lt;w:rPr&gt;&lt;w:rFonts w:ascii=&quot;Cambria Math&quot; w:h-ansi=&quot;Cambria Math&quot;/&gt;&lt;wx:font wx:val=&quot;Cambria Math&quot;/&gt;&lt;w:i/&gt;&lt;w:sz w:val=&quot;24&quot;/&gt;&lt;w:sz-cs w:val=&quot;24&quot;/&gt;&lt;/w:rPr&gt;&lt;m:t&gt;i&lt;/m:t&gt;&lt;/m:r&gt;&lt;/m:sub&gt;&lt;/m:sSub&gt;&lt;m:r&gt;&lt;w:rPr&gt;&lt;w:rFonts w:ascii=&quot;Cambria Math&quot; w:h-ansi=&quot;Cambria Math&quot;/&gt;&lt;wx:font wx:val=&quot;Cambria Math&quot;/&gt;&lt;w:i/&gt;&lt;w:sz w:val=&quot;24&quot;/&gt;&lt;w:sz-cs w:val=&quot;24&quot;/&gt;&lt;/w:rPr&gt;&lt;m:t&gt;-П‡&lt;/m:t&gt;&lt;/m:r&gt;&lt;/m:num&gt;&lt;m:den&gt;&lt;m:r&gt;&lt;w:rPr&gt;&lt;w:rFonts w:ascii=&quot;Cambria Math&quot; w:h-ansi=&quot;Cambria Math&quot;/&gt;&lt;wx:font wx:val=&quot;Cambria Math&quot;/&gt;&lt;w:i/&gt;&lt;w:sz w:val=&quot;24&quot;/&gt;&lt;w:sz-cs w:val=&quot;24&quot;/&gt;&lt;/w:rPr&gt;&lt;m:t&gt;Пѓ&lt;/m:t&gt;&lt;/m:r&gt;&lt;/m:den&gt;&lt;/m:f&gt;&lt;/m:e&gt;&lt;/m:d&gt;&lt;/m:e&gt;&lt;m:sup&gt;&lt;m:r&gt;&lt;w:rPr&gt;&lt;w:rFonts w:ascii=&quot;Cambria Math&quot; w:h-ansi=&quot;Cambria Math&quot;/&gt;&lt;wx:font wx:val=&quot;Cambria Math&quot;/&gt;&lt;w:i/&gt;&lt;w:sz w:val=&quot;24&quot;/&gt;&lt;w:sz-cs w:val=&quot;24&quot;/&gt;&lt;/w:rPr&gt;&lt;m:t&gt;4&lt;/m:t&gt;&lt;/m:r&gt;&lt;/m:sup&gt;&lt;/m:sSup&gt;&lt;/m:e&gt;&lt;/m:nary&gt;&lt;/m:e&gt;&lt;/m:d&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sz w:val=&quot;24&quot;/&gt;&lt;w:sz-cs w:val=&quot;24&quot;/&gt;&lt;/w:rPr&gt;&lt;/m:ctrlPr&gt;&lt;/m:fPr&gt;&lt;m:num&gt;&lt;m:r&gt;&lt;w:rPr&gt;&lt;w:rFonts w:ascii=&quot;Cambria Math&quot; w:h-ansi=&quot;Cambria Math&quot;/&gt;&lt;wx:font wx:val=&quot;Cambria Math&quot;/&gt;&lt;w:i/&gt;&lt;w:sz w:val=&quot;24&quot;/&gt;&lt;w:sz-cs w:val=&quot;24&quot;/&gt;&lt;/w:rPr&gt;&lt;m:t&gt;3&lt;/m:t&gt;&lt;/m:r&gt;&lt;m:sSup&gt;&lt;m:sSupPr&gt;&lt;m:ctrlPr&gt;&lt;w:rPr&gt;&lt;w:rFonts w:ascii=&quot;Cambria Math&quot; w:h-ansi=&quot;Cambria Math&quot;/&gt;&lt;wx:font wx:val=&quot;Cambria Math&quot;/&gt;&lt;w:sz w:val=&quot;24&quot;/&gt;&lt;w:sz-cs w:val=&quot;24&quot;/&gt;&lt;/w:rPr&gt;&lt;/m:ctrlPr&gt;&lt;/m:sSupPr&gt;&lt;m:e&gt;&lt;m:d&gt;&lt;m:dPr&gt;&lt;m:ctrlPr&gt;&lt;w:rPr&gt;&lt;w:rFonts w:ascii=&quot;Cambria Math&quot; w:h-ansi=&quot;Cambria Math&quot;/&gt;&lt;wx:font wx:val=&quot;Cambria Math&quot;/&gt;&lt;w:sz w:val=&quot;24&quot;/&gt;&lt;w:sz-cs w:val=&quot;24&quot;/&gt;&lt;/w:rPr&gt;&lt;/m:ctrlPr&gt;&lt;/m:dPr&gt;&lt;m:e&gt;&lt;m:r&gt;&lt;w:rPr&gt;&lt;w:rFonts w:ascii=&quot;Cambria Math&quot; w:h-ansi=&quot;Cambria Math&quot;/&gt;&lt;wx:font wx:val=&quot;Cambria Math&quot;/&gt;&lt;w:i/&gt;&lt;w:sz w:val=&quot;24&quot;/&gt;&lt;w:sz-cs w:val=&quot;24&quot;/&gt;&lt;/w:rPr&gt;&lt;m:t&gt;n-1&lt;/m:t&gt;&lt;/m:r&gt;&lt;/m:e&gt;&lt;/m:d&gt;&lt;/m:e&gt;&lt;m:sup&gt;&lt;m:r&gt;&lt;w:rPr&gt;&lt;w:rFonts w:ascii=&quot;Cambria Math&quot; w:h-ansi=&quot;Cambria Math&quot;/&gt;&lt;wx:font wx:val=&quot;Cambria Math&quot;/&gt;&lt;w:i/&gt;&lt;w:sz w:val=&quot;24&quot;/&gt;&lt;w:sz-cs w:val=&quot;24&quot;/&gt;&lt;/w:rPr&gt;&lt;m:t&gt;2&lt;/m:t&gt;&lt;/m:r&gt;&lt;/m:sup&gt;&lt;/m:sSup&gt;&lt;/m:num&gt;&lt;m:den&gt;&lt;m:d&gt;&lt;m:dPr&gt;&lt;m:ctrlPr&gt;&lt;w:rPr&gt;&lt;w:rFonts w:ascii=&quot;Cambria Math&quot; w:h-ansi=&quot;Cambria Math&quot;/&gt;&lt;wx:font wx:val=&quot;Cambria Math&quot;/&gt;&lt;w:sz w:val=&quot;24&quot;/&gt;&lt;w:sz-cs w:val=&quot;24&quot;/&gt;&lt;/w:rPr&gt;&lt;/m:ctrlPr&gt;&lt;/m:dPr&gt;&lt;m:e&gt;&lt;m:r&gt;&lt;w:rPr&gt;&lt;w:rFonts w:ascii=&quot;Cambria Math&quot; w:h-ansi=&quot;Cambria Math&quot;/&gt;&lt;wx:font wx:val=&quot;Cambria Math&quot;/&gt;&lt;w:i/&gt;&lt;w:sz w:val=&quot;24&quot;/&gt;&lt;w:sz-cs w:val=&quot;24&quot;/&gt;&lt;/w:rPr&gt;&lt;m:t&gt;n-2&lt;/m:t&gt;&lt;/m:r&gt;&lt;/m:e&gt;&lt;/m:d&gt;&lt;m:d&gt;&lt;m:dPr&gt;&lt;m:ctrlPr&gt;&lt;w:rPr&gt;&lt;w:rFonts w:ascii=&quot;Cambria Math&quot; w:h-ansi=&quot;Cambria Math&quot;/&gt;&lt;wx:font wx:val=&quot;Cambria Math&quot;/&gt;&lt;w:sz w:val=&quot;24&quot;/&gt;&lt;w:sz-cs w:val=&quot;24&quot;/&gt;&lt;/w:rPr&gt;&lt;/m:ctrlPr&gt;&lt;/m:dPr&gt;&lt;m:e&gt;&lt;m:r&gt;&lt;w:rPr&gt;&lt;w:rFonts w:ascii=&quot;Cambria Math&quot; w:h-ansi=&quot;Cambria Math&quot;/&gt;&lt;wx:font wx:val=&quot;Cambria Math&quot;/&gt;&lt;w:i/&gt;&lt;w:sz w:val=&quot;24&quot;/&gt;&lt;w:sz-cs w:val=&quot;24&quot;/&gt;&lt;/w:rPr&gt;&lt;m:t&gt;n-3&lt;/m:t&gt;&lt;/m:r&gt;&lt;/m:e&gt;&lt;/m:d&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 o:title="" chromakey="white"/>
          </v:shape>
        </w:pict>
      </w:r>
      <w:r w:rsidR="002D341E" w:rsidRPr="003B10E2">
        <w:rPr>
          <w:rFonts w:ascii="Times New Roman" w:hAnsi="Times New Roman"/>
          <w:sz w:val="24"/>
          <w:szCs w:val="24"/>
        </w:rPr>
        <w:fldChar w:fldCharType="end"/>
      </w:r>
    </w:p>
    <w:p w14:paraId="530D448C" w14:textId="77777777" w:rsidR="00BC1DEC" w:rsidRPr="003B10E2" w:rsidRDefault="00BC1DEC" w:rsidP="00BC1DEC">
      <w:pPr>
        <w:spacing w:after="0" w:line="240" w:lineRule="auto"/>
        <w:contextualSpacing/>
        <w:jc w:val="both"/>
        <w:rPr>
          <w:rFonts w:ascii="Times New Roman" w:hAnsi="Times New Roman"/>
          <w:color w:val="000000"/>
          <w:sz w:val="24"/>
          <w:szCs w:val="24"/>
        </w:rPr>
      </w:pPr>
    </w:p>
    <w:p w14:paraId="3F0B8F25"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Дневные колебания большинства активов начала расти с 2014 г. Возросшая неопределенность на рынках активов была вызвана совокупностью условий [26]: </w:t>
      </w:r>
    </w:p>
    <w:p w14:paraId="397F4194" w14:textId="77777777" w:rsidR="00BD245A" w:rsidRPr="003B10E2" w:rsidRDefault="00C24A0E" w:rsidP="00C24A0E">
      <w:pPr>
        <w:spacing w:after="0" w:line="360" w:lineRule="auto"/>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 </w:t>
      </w:r>
      <w:r w:rsidR="00BD245A" w:rsidRPr="003B10E2">
        <w:rPr>
          <w:rFonts w:ascii="Times New Roman" w:hAnsi="Times New Roman"/>
          <w:color w:val="000000"/>
          <w:sz w:val="28"/>
          <w:szCs w:val="28"/>
        </w:rPr>
        <w:t xml:space="preserve">эскалацией конфликтов на Украине, в Сирии, Ливии; </w:t>
      </w:r>
    </w:p>
    <w:p w14:paraId="62039B03" w14:textId="77777777" w:rsidR="00BD245A" w:rsidRPr="003B10E2" w:rsidRDefault="00C24A0E" w:rsidP="00C24A0E">
      <w:pPr>
        <w:spacing w:after="0" w:line="360" w:lineRule="auto"/>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 </w:t>
      </w:r>
      <w:r w:rsidR="00BD245A" w:rsidRPr="003B10E2">
        <w:rPr>
          <w:rFonts w:ascii="Times New Roman" w:hAnsi="Times New Roman"/>
          <w:color w:val="000000"/>
          <w:sz w:val="28"/>
          <w:szCs w:val="28"/>
        </w:rPr>
        <w:t>экономическими кризисами на развивающихся рынках, связанными с укреплением доллара;</w:t>
      </w:r>
    </w:p>
    <w:p w14:paraId="3F5EB089" w14:textId="77777777" w:rsidR="003C09E8" w:rsidRPr="003B10E2" w:rsidRDefault="00C24A0E" w:rsidP="002A6782">
      <w:pPr>
        <w:spacing w:after="0" w:line="360" w:lineRule="auto"/>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 </w:t>
      </w:r>
      <w:r w:rsidR="00BD245A" w:rsidRPr="003B10E2">
        <w:rPr>
          <w:rFonts w:ascii="Times New Roman" w:hAnsi="Times New Roman"/>
          <w:color w:val="000000"/>
          <w:sz w:val="28"/>
          <w:szCs w:val="28"/>
        </w:rPr>
        <w:t xml:space="preserve">возросшей неопределенностью процентной политики Федеральной резервной системы США. </w:t>
      </w:r>
    </w:p>
    <w:p w14:paraId="2EA74792"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В работе используются дневные значения доходности индексов а</w:t>
      </w:r>
      <w:r w:rsidR="003C09E8" w:rsidRPr="003B10E2">
        <w:rPr>
          <w:rFonts w:ascii="Times New Roman" w:hAnsi="Times New Roman"/>
          <w:color w:val="000000"/>
          <w:sz w:val="28"/>
          <w:szCs w:val="28"/>
        </w:rPr>
        <w:t>кций стран: Германия (рисунок 5), Франция (рисунок 6), Италия (рисунок 7) и Испания (р</w:t>
      </w:r>
      <w:r w:rsidR="001F38A6" w:rsidRPr="003B10E2">
        <w:rPr>
          <w:rFonts w:ascii="Times New Roman" w:hAnsi="Times New Roman"/>
          <w:color w:val="000000"/>
          <w:sz w:val="28"/>
          <w:szCs w:val="28"/>
        </w:rPr>
        <w:t xml:space="preserve">исунок </w:t>
      </w:r>
      <w:r w:rsidRPr="003B10E2">
        <w:rPr>
          <w:rFonts w:ascii="Times New Roman" w:hAnsi="Times New Roman"/>
          <w:color w:val="000000"/>
          <w:sz w:val="28"/>
          <w:szCs w:val="28"/>
        </w:rPr>
        <w:t>8). Эти индексы представляют различные географические районы еврозоны и х</w:t>
      </w:r>
      <w:r w:rsidR="000457AD" w:rsidRPr="003B10E2">
        <w:rPr>
          <w:rFonts w:ascii="Times New Roman" w:hAnsi="Times New Roman"/>
          <w:color w:val="000000"/>
          <w:sz w:val="28"/>
          <w:szCs w:val="28"/>
        </w:rPr>
        <w:t xml:space="preserve">арактеризуют ключевые экономики </w:t>
      </w:r>
      <w:r w:rsidRPr="003B10E2">
        <w:rPr>
          <w:rFonts w:ascii="Times New Roman" w:hAnsi="Times New Roman"/>
          <w:color w:val="000000"/>
          <w:sz w:val="28"/>
          <w:szCs w:val="28"/>
        </w:rPr>
        <w:t>[226]. Анализируемый период времени: с 17 декабря 2010 года по 27 июля 2020 года.</w:t>
      </w:r>
    </w:p>
    <w:p w14:paraId="627170AC"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Можно выделить несколько этапов изменения доходности: </w:t>
      </w:r>
    </w:p>
    <w:p w14:paraId="34FC5F03" w14:textId="77777777" w:rsidR="00BD245A" w:rsidRPr="003B10E2" w:rsidRDefault="001F3E90"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1)</w:t>
      </w:r>
      <w:r w:rsidR="00BD245A" w:rsidRPr="003B10E2">
        <w:rPr>
          <w:rFonts w:ascii="Times New Roman" w:hAnsi="Times New Roman"/>
          <w:color w:val="000000"/>
          <w:sz w:val="28"/>
          <w:szCs w:val="28"/>
        </w:rPr>
        <w:t xml:space="preserve"> Долговой кризис Еврозоны с конца 2010 года, сопровождающийся ростом доходностей по итальянским и испанским облигациям. </w:t>
      </w:r>
    </w:p>
    <w:p w14:paraId="50D5B87A" w14:textId="77777777" w:rsidR="00BD245A" w:rsidRPr="003B10E2" w:rsidRDefault="001F3E90"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2)</w:t>
      </w:r>
      <w:r w:rsidR="00BD245A" w:rsidRPr="003B10E2">
        <w:rPr>
          <w:rFonts w:ascii="Times New Roman" w:hAnsi="Times New Roman"/>
          <w:color w:val="000000"/>
          <w:sz w:val="28"/>
          <w:szCs w:val="28"/>
        </w:rPr>
        <w:t xml:space="preserve"> Пик кризиса пришелся на декабрь 2011 года, когда доходность облигаций Испании и Италии (и некоторых других стран) сильно превысила ставки в остальных европейских странах.</w:t>
      </w:r>
    </w:p>
    <w:p w14:paraId="3212F79D" w14:textId="77777777" w:rsidR="001F38A6" w:rsidRPr="003B10E2" w:rsidRDefault="001F38A6" w:rsidP="001F38A6">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3</w:t>
      </w:r>
      <w:r w:rsidR="001F3E90" w:rsidRPr="003B10E2">
        <w:rPr>
          <w:rFonts w:ascii="Times New Roman" w:hAnsi="Times New Roman"/>
          <w:color w:val="000000"/>
          <w:sz w:val="28"/>
          <w:szCs w:val="28"/>
        </w:rPr>
        <w:t>)</w:t>
      </w:r>
      <w:r w:rsidR="00BD245A" w:rsidRPr="003B10E2">
        <w:rPr>
          <w:rFonts w:ascii="Times New Roman" w:hAnsi="Times New Roman"/>
          <w:color w:val="000000"/>
          <w:sz w:val="28"/>
          <w:szCs w:val="28"/>
        </w:rPr>
        <w:t xml:space="preserve"> Резкое снижение ставок в периферийных странах еврозоны во второй половине 2012 года и консолидации ставок стран Северной Европы около нулевых (или ниже) уровней.</w:t>
      </w:r>
    </w:p>
    <w:p w14:paraId="1CB20CF7" w14:textId="77777777" w:rsidR="001F38A6" w:rsidRPr="003B10E2" w:rsidRDefault="001F38A6" w:rsidP="00C24A0E">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4) Период негативных процентных ставок с середины 2015 года</w:t>
      </w:r>
      <w:r w:rsidR="00C24A0E" w:rsidRPr="003B10E2">
        <w:rPr>
          <w:rFonts w:ascii="Times New Roman" w:hAnsi="Times New Roman"/>
          <w:color w:val="000000"/>
          <w:sz w:val="28"/>
          <w:szCs w:val="28"/>
        </w:rPr>
        <w:t>.</w:t>
      </w:r>
    </w:p>
    <w:p w14:paraId="75A82BC8" w14:textId="77777777" w:rsidR="00BD245A" w:rsidRPr="003B10E2" w:rsidRDefault="00C72198" w:rsidP="00217820">
      <w:pPr>
        <w:spacing w:after="0" w:line="240" w:lineRule="auto"/>
        <w:ind w:firstLine="708"/>
        <w:contextualSpacing/>
        <w:jc w:val="center"/>
        <w:rPr>
          <w:rFonts w:ascii="Times New Roman" w:hAnsi="Times New Roman"/>
          <w:color w:val="000000"/>
          <w:sz w:val="24"/>
          <w:szCs w:val="24"/>
        </w:rPr>
      </w:pPr>
      <w:r w:rsidRPr="003B10E2">
        <w:rPr>
          <w:rFonts w:ascii="Times New Roman" w:hAnsi="Times New Roman"/>
          <w:noProof/>
          <w:color w:val="000000"/>
          <w:sz w:val="24"/>
          <w:szCs w:val="24"/>
        </w:rPr>
        <w:drawing>
          <wp:inline distT="0" distB="0" distL="0" distR="0" wp14:anchorId="44E34F1D" wp14:editId="5F5EDCE8">
            <wp:extent cx="5871210" cy="3590925"/>
            <wp:effectExtent l="0" t="0" r="0" b="0"/>
            <wp:docPr id="60" name="Рисунок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1210" cy="3590925"/>
                    </a:xfrm>
                    <a:prstGeom prst="rect">
                      <a:avLst/>
                    </a:prstGeom>
                    <a:noFill/>
                  </pic:spPr>
                </pic:pic>
              </a:graphicData>
            </a:graphic>
          </wp:inline>
        </w:drawing>
      </w:r>
      <w:r w:rsidR="00BD245A" w:rsidRPr="003B10E2">
        <w:rPr>
          <w:rFonts w:ascii="Times New Roman" w:hAnsi="Times New Roman"/>
          <w:color w:val="000000"/>
          <w:sz w:val="24"/>
          <w:szCs w:val="24"/>
        </w:rPr>
        <w:t>Источник: Thomson Reuters.</w:t>
      </w:r>
    </w:p>
    <w:p w14:paraId="4FA47F82" w14:textId="77777777" w:rsidR="00005F68" w:rsidRPr="003B10E2" w:rsidRDefault="00005F68" w:rsidP="001F38A6">
      <w:pPr>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5 – Динамика немецкого </w:t>
      </w:r>
      <w:r w:rsidRPr="003B10E2">
        <w:rPr>
          <w:rFonts w:ascii="Times New Roman" w:hAnsi="Times New Roman"/>
          <w:color w:val="000000"/>
          <w:sz w:val="24"/>
          <w:szCs w:val="24"/>
          <w:lang w:val="en-US"/>
        </w:rPr>
        <w:t>DAX</w:t>
      </w:r>
      <w:r w:rsidRPr="003B10E2">
        <w:rPr>
          <w:rFonts w:ascii="Times New Roman" w:hAnsi="Times New Roman"/>
          <w:color w:val="000000"/>
          <w:sz w:val="24"/>
          <w:szCs w:val="24"/>
        </w:rPr>
        <w:t>, пункты</w:t>
      </w:r>
    </w:p>
    <w:p w14:paraId="74BC6EC6" w14:textId="77777777" w:rsidR="00BD245A" w:rsidRPr="003B10E2" w:rsidRDefault="00C72198" w:rsidP="00217820">
      <w:pPr>
        <w:spacing w:after="0" w:line="240" w:lineRule="auto"/>
        <w:ind w:firstLine="708"/>
        <w:contextualSpacing/>
        <w:jc w:val="center"/>
        <w:rPr>
          <w:rFonts w:ascii="Times New Roman" w:hAnsi="Times New Roman"/>
          <w:color w:val="000000"/>
          <w:sz w:val="24"/>
          <w:szCs w:val="24"/>
        </w:rPr>
      </w:pPr>
      <w:r w:rsidRPr="003B10E2">
        <w:rPr>
          <w:rFonts w:ascii="Times New Roman" w:hAnsi="Times New Roman"/>
          <w:noProof/>
          <w:color w:val="000000"/>
          <w:sz w:val="24"/>
          <w:szCs w:val="24"/>
        </w:rPr>
        <w:drawing>
          <wp:inline distT="0" distB="0" distL="0" distR="0" wp14:anchorId="554D9429" wp14:editId="1C39C79B">
            <wp:extent cx="5791835" cy="3602990"/>
            <wp:effectExtent l="0" t="0" r="0" b="0"/>
            <wp:docPr id="445281305" name="Рисунок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2"/>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1835" cy="3602990"/>
                    </a:xfrm>
                    <a:prstGeom prst="rect">
                      <a:avLst/>
                    </a:prstGeom>
                    <a:noFill/>
                  </pic:spPr>
                </pic:pic>
              </a:graphicData>
            </a:graphic>
          </wp:inline>
        </w:drawing>
      </w:r>
      <w:r w:rsidR="00BD245A" w:rsidRPr="003B10E2">
        <w:rPr>
          <w:rFonts w:ascii="Times New Roman" w:hAnsi="Times New Roman"/>
          <w:color w:val="000000"/>
          <w:sz w:val="24"/>
          <w:szCs w:val="24"/>
        </w:rPr>
        <w:t>Источник: Thomson Reuters.</w:t>
      </w:r>
    </w:p>
    <w:p w14:paraId="7BF285E1" w14:textId="77777777" w:rsidR="00005F68" w:rsidRPr="003B10E2" w:rsidRDefault="00005F68" w:rsidP="00C24A0E">
      <w:pPr>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Рисунок 6 – Динамика французского CAC 40, пункты</w:t>
      </w:r>
    </w:p>
    <w:p w14:paraId="220714EE" w14:textId="77777777" w:rsidR="00005F68" w:rsidRPr="003B10E2" w:rsidRDefault="00005F68" w:rsidP="000F46ED">
      <w:pPr>
        <w:spacing w:after="0" w:line="240" w:lineRule="auto"/>
        <w:ind w:firstLine="851"/>
        <w:contextualSpacing/>
        <w:jc w:val="center"/>
        <w:rPr>
          <w:rFonts w:ascii="Times New Roman" w:hAnsi="Times New Roman"/>
          <w:color w:val="000000"/>
          <w:sz w:val="28"/>
          <w:szCs w:val="28"/>
        </w:rPr>
      </w:pPr>
    </w:p>
    <w:p w14:paraId="04BAC29C" w14:textId="77777777" w:rsidR="00BD245A" w:rsidRPr="003B10E2" w:rsidRDefault="00C72198" w:rsidP="00217820">
      <w:pPr>
        <w:spacing w:after="0" w:line="240" w:lineRule="auto"/>
        <w:ind w:firstLine="708"/>
        <w:contextualSpacing/>
        <w:jc w:val="center"/>
        <w:rPr>
          <w:rFonts w:ascii="Times New Roman" w:hAnsi="Times New Roman"/>
          <w:color w:val="000000"/>
          <w:sz w:val="24"/>
          <w:szCs w:val="24"/>
        </w:rPr>
      </w:pPr>
      <w:r w:rsidRPr="003B10E2">
        <w:rPr>
          <w:rFonts w:ascii="Times New Roman" w:hAnsi="Times New Roman"/>
          <w:noProof/>
          <w:color w:val="000000"/>
          <w:sz w:val="24"/>
          <w:szCs w:val="24"/>
        </w:rPr>
        <w:drawing>
          <wp:inline distT="0" distB="0" distL="0" distR="0" wp14:anchorId="6FAB4F8F" wp14:editId="1A182161">
            <wp:extent cx="5730875" cy="3584575"/>
            <wp:effectExtent l="0" t="0" r="0" b="0"/>
            <wp:docPr id="63" name="Рисунок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875" cy="3584575"/>
                    </a:xfrm>
                    <a:prstGeom prst="rect">
                      <a:avLst/>
                    </a:prstGeom>
                    <a:noFill/>
                  </pic:spPr>
                </pic:pic>
              </a:graphicData>
            </a:graphic>
          </wp:inline>
        </w:drawing>
      </w:r>
      <w:r w:rsidR="00BD245A" w:rsidRPr="003B10E2">
        <w:rPr>
          <w:rFonts w:ascii="Times New Roman" w:hAnsi="Times New Roman"/>
          <w:color w:val="000000"/>
          <w:sz w:val="24"/>
          <w:szCs w:val="24"/>
        </w:rPr>
        <w:t>Источник: Thomson Reuters.</w:t>
      </w:r>
    </w:p>
    <w:p w14:paraId="0BC88D7A" w14:textId="77777777" w:rsidR="00005F68" w:rsidRPr="003B10E2" w:rsidRDefault="00005F68" w:rsidP="000F46ED">
      <w:pPr>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Рисунок 7 – Динамика итальянского FTSE MIB, пункты</w:t>
      </w:r>
    </w:p>
    <w:p w14:paraId="27E83AA4" w14:textId="77777777" w:rsidR="000F46ED" w:rsidRPr="003B10E2" w:rsidRDefault="000F46ED" w:rsidP="00217820">
      <w:pPr>
        <w:spacing w:after="0" w:line="360" w:lineRule="auto"/>
        <w:contextualSpacing/>
        <w:rPr>
          <w:rFonts w:ascii="Times New Roman" w:hAnsi="Times New Roman"/>
          <w:color w:val="000000"/>
          <w:sz w:val="28"/>
          <w:szCs w:val="28"/>
        </w:rPr>
      </w:pPr>
    </w:p>
    <w:p w14:paraId="131E7DB2" w14:textId="77777777" w:rsidR="00005F68" w:rsidRPr="003B10E2" w:rsidRDefault="00C72198" w:rsidP="00BD245A">
      <w:pPr>
        <w:spacing w:after="0" w:line="360" w:lineRule="auto"/>
        <w:ind w:firstLine="851"/>
        <w:contextualSpacing/>
        <w:jc w:val="center"/>
        <w:rPr>
          <w:rFonts w:ascii="Times New Roman" w:hAnsi="Times New Roman"/>
          <w:color w:val="000000"/>
          <w:sz w:val="28"/>
          <w:szCs w:val="28"/>
        </w:rPr>
      </w:pPr>
      <w:r w:rsidRPr="003B10E2">
        <w:rPr>
          <w:rFonts w:ascii="Times New Roman" w:hAnsi="Times New Roman"/>
          <w:noProof/>
          <w:color w:val="000000"/>
          <w:sz w:val="28"/>
          <w:szCs w:val="28"/>
        </w:rPr>
        <w:drawing>
          <wp:inline distT="0" distB="0" distL="0" distR="0" wp14:anchorId="2AC5469A" wp14:editId="6D325CE8">
            <wp:extent cx="5913755" cy="3444240"/>
            <wp:effectExtent l="0" t="0" r="0" b="0"/>
            <wp:docPr id="64" name="Рисунок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4"/>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3755" cy="3444240"/>
                    </a:xfrm>
                    <a:prstGeom prst="rect">
                      <a:avLst/>
                    </a:prstGeom>
                    <a:noFill/>
                  </pic:spPr>
                </pic:pic>
              </a:graphicData>
            </a:graphic>
          </wp:inline>
        </w:drawing>
      </w:r>
    </w:p>
    <w:p w14:paraId="13C8E085" w14:textId="77777777" w:rsidR="00BD245A" w:rsidRPr="003B10E2" w:rsidRDefault="00BD245A" w:rsidP="0066380D">
      <w:pPr>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Источник: Thomson Reuters.</w:t>
      </w:r>
    </w:p>
    <w:p w14:paraId="1C5A1367" w14:textId="77777777" w:rsidR="00005F68" w:rsidRPr="003B10E2" w:rsidRDefault="00005F68" w:rsidP="0066380D">
      <w:pPr>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66380D" w:rsidRPr="003B10E2">
        <w:rPr>
          <w:rFonts w:ascii="Times New Roman" w:hAnsi="Times New Roman"/>
          <w:color w:val="000000"/>
          <w:sz w:val="24"/>
          <w:szCs w:val="24"/>
        </w:rPr>
        <w:t xml:space="preserve">8 – </w:t>
      </w:r>
      <w:r w:rsidRPr="003B10E2">
        <w:rPr>
          <w:rFonts w:ascii="Times New Roman" w:hAnsi="Times New Roman"/>
          <w:color w:val="000000"/>
          <w:sz w:val="24"/>
          <w:szCs w:val="24"/>
        </w:rPr>
        <w:t>Динамика испанского IBEX 35, пункты</w:t>
      </w:r>
    </w:p>
    <w:p w14:paraId="46A71C07" w14:textId="77777777" w:rsidR="00BD245A" w:rsidRPr="003B10E2" w:rsidRDefault="00BD245A" w:rsidP="00BD245A">
      <w:pPr>
        <w:spacing w:after="0" w:line="360" w:lineRule="auto"/>
        <w:ind w:firstLine="851"/>
        <w:contextualSpacing/>
        <w:jc w:val="center"/>
        <w:rPr>
          <w:rFonts w:ascii="Times New Roman" w:hAnsi="Times New Roman"/>
          <w:color w:val="000000"/>
          <w:sz w:val="28"/>
          <w:szCs w:val="28"/>
        </w:rPr>
      </w:pPr>
    </w:p>
    <w:p w14:paraId="13EB0892"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Для оценки параметров модели исполь</w:t>
      </w:r>
      <w:r w:rsidR="00CE6182" w:rsidRPr="003B10E2">
        <w:rPr>
          <w:rFonts w:ascii="Times New Roman" w:hAnsi="Times New Roman"/>
          <w:color w:val="000000"/>
          <w:sz w:val="28"/>
          <w:szCs w:val="28"/>
        </w:rPr>
        <w:t>зуется временное окно для каждого</w:t>
      </w:r>
      <w:r w:rsidRPr="003B10E2">
        <w:rPr>
          <w:rFonts w:ascii="Times New Roman" w:hAnsi="Times New Roman"/>
          <w:color w:val="000000"/>
          <w:sz w:val="28"/>
          <w:szCs w:val="28"/>
        </w:rPr>
        <w:t xml:space="preserve"> из пяти рядов данных. В частности, параметры модели калибруются каждый месяц в течение года, т.е. </w:t>
      </w:r>
      <w:r w:rsidR="002D341E" w:rsidRPr="003B10E2">
        <w:rPr>
          <w:rFonts w:ascii="Times New Roman" w:hAnsi="Times New Roman"/>
          <w:color w:val="000000"/>
          <w:sz w:val="28"/>
          <w:szCs w:val="28"/>
        </w:rPr>
        <w:fldChar w:fldCharType="begin"/>
      </w:r>
      <w:r w:rsidR="002D341E" w:rsidRPr="003B10E2">
        <w:rPr>
          <w:rFonts w:ascii="Times New Roman" w:hAnsi="Times New Roman"/>
          <w:color w:val="000000"/>
          <w:sz w:val="28"/>
          <w:szCs w:val="28"/>
        </w:rPr>
        <w:instrText xml:space="preserve"> QUOTE </w:instrText>
      </w:r>
      <w:r w:rsidR="00F276E9">
        <w:rPr>
          <w:noProof/>
          <w:position w:val="-9"/>
        </w:rPr>
      </w:r>
      <w:r w:rsidR="00F276E9">
        <w:rPr>
          <w:noProof/>
          <w:position w:val="-9"/>
        </w:rPr>
        <w:pict w14:anchorId="40231DC0">
          <v:shape id="_x0000_i1031" type="#_x0000_t75" style="width:29.6pt;height:18.1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07494&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A07494&quot; wsp:rsidP=&quot;00A07494&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obs&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002D341E" w:rsidRPr="003B10E2">
        <w:rPr>
          <w:rFonts w:ascii="Times New Roman" w:hAnsi="Times New Roman"/>
          <w:color w:val="000000"/>
          <w:sz w:val="28"/>
          <w:szCs w:val="28"/>
        </w:rPr>
        <w:instrText xml:space="preserve"> </w:instrText>
      </w:r>
      <w:r w:rsidR="002D341E" w:rsidRPr="003B10E2">
        <w:rPr>
          <w:rFonts w:ascii="Times New Roman" w:hAnsi="Times New Roman"/>
          <w:color w:val="000000"/>
          <w:sz w:val="28"/>
          <w:szCs w:val="28"/>
        </w:rPr>
        <w:fldChar w:fldCharType="separate"/>
      </w:r>
      <w:r w:rsidR="00F276E9">
        <w:rPr>
          <w:noProof/>
          <w:position w:val="-9"/>
        </w:rPr>
      </w:r>
      <w:r w:rsidR="00F276E9">
        <w:rPr>
          <w:noProof/>
          <w:position w:val="-9"/>
        </w:rPr>
        <w:pict w14:anchorId="1E393721">
          <v:shape id="_x0000_i1032" type="#_x0000_t75" style="width:29.6pt;height:18.1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07494&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A07494&quot; wsp:rsidP=&quot;00A07494&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obs&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002D341E" w:rsidRPr="003B10E2">
        <w:rPr>
          <w:rFonts w:ascii="Times New Roman" w:hAnsi="Times New Roman"/>
          <w:color w:val="000000"/>
          <w:sz w:val="28"/>
          <w:szCs w:val="28"/>
        </w:rPr>
        <w:fldChar w:fldCharType="end"/>
      </w:r>
      <w:r w:rsidRPr="003B10E2">
        <w:rPr>
          <w:rFonts w:ascii="Times New Roman" w:hAnsi="Times New Roman"/>
          <w:color w:val="000000"/>
          <w:sz w:val="28"/>
          <w:szCs w:val="28"/>
        </w:rPr>
        <w:t xml:space="preserve"> = 260. </w:t>
      </w:r>
    </w:p>
    <w:p w14:paraId="3AB47C37"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После создания единой европейской валюты в научной литературе проанализирована реакция доходностей по облигациям в различных странах еврозоны. Большинство исследований были направлены на конвергенцию (дивергенцию) доходностей государственных облигаций в Европе, особенно в странах зоны евро [138].</w:t>
      </w:r>
    </w:p>
    <w:p w14:paraId="390E2625" w14:textId="77777777" w:rsidR="00BD245A" w:rsidRPr="003B10E2" w:rsidRDefault="00BD245A" w:rsidP="00005F68">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Особенности применения поведенческого инструментария для исследования структурных изменений </w:t>
      </w:r>
      <w:r w:rsidR="005D427A" w:rsidRPr="003B10E2">
        <w:rPr>
          <w:rFonts w:ascii="Times New Roman" w:hAnsi="Times New Roman"/>
          <w:color w:val="000000"/>
          <w:sz w:val="28"/>
          <w:szCs w:val="28"/>
        </w:rPr>
        <w:t>мирового рынка капитала</w:t>
      </w:r>
      <w:r w:rsidRPr="003B10E2">
        <w:rPr>
          <w:rFonts w:ascii="Times New Roman" w:hAnsi="Times New Roman"/>
          <w:color w:val="000000"/>
          <w:sz w:val="28"/>
          <w:szCs w:val="28"/>
        </w:rPr>
        <w:t xml:space="preserve"> состоят в том, что обычно эффект перетока волатильности между национальными фондовыми индексами и национальным обменным курсом наблюдается в обоих направлениях. Как шок на валютном рынке может вызвать изменение курса национальной валюты, так и наоборот, резкая девальвация валюты наход</w:t>
      </w:r>
      <w:r w:rsidR="00005F68" w:rsidRPr="003B10E2">
        <w:rPr>
          <w:rFonts w:ascii="Times New Roman" w:hAnsi="Times New Roman"/>
          <w:color w:val="000000"/>
          <w:sz w:val="28"/>
          <w:szCs w:val="28"/>
        </w:rPr>
        <w:t>ит отражение на фондовом рынке.</w:t>
      </w:r>
    </w:p>
    <w:p w14:paraId="6EDA1CF3"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Структура </w:t>
      </w:r>
      <w:r w:rsidR="005D427A" w:rsidRPr="003B10E2">
        <w:rPr>
          <w:rFonts w:ascii="Times New Roman" w:hAnsi="Times New Roman"/>
          <w:color w:val="000000"/>
          <w:sz w:val="28"/>
          <w:szCs w:val="28"/>
        </w:rPr>
        <w:t>мирового рынка капитала</w:t>
      </w:r>
      <w:r w:rsidRPr="003B10E2">
        <w:rPr>
          <w:rFonts w:ascii="Times New Roman" w:hAnsi="Times New Roman"/>
          <w:color w:val="000000"/>
          <w:sz w:val="28"/>
          <w:szCs w:val="28"/>
        </w:rPr>
        <w:t xml:space="preserve"> и потенциальные структурные изменения напрямую зависят от изменений инвестиционного поведения крупных участников рынка. Инвестиционное поведение оказывает влияние на характеристики изменения цен финансовых активов, в том числе это проявляется в периоды кризисов, когда существенно меняется инвестиционное поведение инвесторов, происходят резкие скачки волатильности цен на активы и изменения ликвидности. Такие резкие изменения волатильности приводят к ценовым шокам, которые часто случаются в одно и то же время на различных сегментах финансового рынка или с временным лагом в результате эффекта перетока волатильности. После чего ценовые шоки трансформируют структуру </w:t>
      </w:r>
      <w:r w:rsidR="005D427A" w:rsidRPr="003B10E2">
        <w:rPr>
          <w:rFonts w:ascii="Times New Roman" w:hAnsi="Times New Roman"/>
          <w:color w:val="000000"/>
          <w:sz w:val="28"/>
          <w:szCs w:val="28"/>
        </w:rPr>
        <w:t>мирового рынка капитала</w:t>
      </w:r>
      <w:r w:rsidRPr="003B10E2">
        <w:rPr>
          <w:rFonts w:ascii="Times New Roman" w:hAnsi="Times New Roman"/>
          <w:color w:val="000000"/>
          <w:sz w:val="28"/>
          <w:szCs w:val="28"/>
        </w:rPr>
        <w:t xml:space="preserve">. Именно поэтому после мирового финансового кризиса структура как глобального </w:t>
      </w:r>
      <w:r w:rsidR="005D427A" w:rsidRPr="003B10E2">
        <w:rPr>
          <w:rFonts w:ascii="Times New Roman" w:hAnsi="Times New Roman"/>
          <w:color w:val="000000"/>
          <w:sz w:val="28"/>
          <w:szCs w:val="28"/>
        </w:rPr>
        <w:t>мирового рынка капитала</w:t>
      </w:r>
      <w:r w:rsidRPr="003B10E2">
        <w:rPr>
          <w:rFonts w:ascii="Times New Roman" w:hAnsi="Times New Roman"/>
          <w:color w:val="000000"/>
          <w:sz w:val="28"/>
          <w:szCs w:val="28"/>
        </w:rPr>
        <w:t>, так и российского рынка испытала глубокие изменения.</w:t>
      </w:r>
    </w:p>
    <w:p w14:paraId="4095895E"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Теоретические основы исследования инвестиционного поведения должны включа</w:t>
      </w:r>
      <w:r w:rsidR="00CE6182" w:rsidRPr="003B10E2">
        <w:rPr>
          <w:rFonts w:ascii="Times New Roman" w:hAnsi="Times New Roman"/>
          <w:color w:val="000000"/>
          <w:sz w:val="28"/>
          <w:szCs w:val="28"/>
        </w:rPr>
        <w:t xml:space="preserve">ть методы поведенческой теории </w:t>
      </w:r>
      <w:r w:rsidRPr="003B10E2">
        <w:rPr>
          <w:rFonts w:ascii="Times New Roman" w:hAnsi="Times New Roman"/>
          <w:color w:val="000000"/>
          <w:sz w:val="28"/>
          <w:szCs w:val="28"/>
        </w:rPr>
        <w:t xml:space="preserve">как наиболее перспективной полной концепции для изучения структурных изменений и инвестиционных стратегий. Рынки капитала связаны между собой перетоками волатильности (анализ приведен в следующей главе) и ликвидности (не рассматриваются в рамках данной работы), поэтому модели долгой памяти могут быть использованы для поиска структурных сдвигов. </w:t>
      </w:r>
    </w:p>
    <w:p w14:paraId="43C3B4FD" w14:textId="77777777"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Далее в работе рассмотрены современные тренды в структуре российского </w:t>
      </w:r>
      <w:r w:rsidR="005D427A" w:rsidRPr="003B10E2">
        <w:rPr>
          <w:rFonts w:ascii="Times New Roman" w:hAnsi="Times New Roman"/>
          <w:color w:val="000000"/>
          <w:sz w:val="28"/>
          <w:szCs w:val="28"/>
        </w:rPr>
        <w:t>мирового рынка капитала</w:t>
      </w:r>
      <w:r w:rsidRPr="003B10E2">
        <w:rPr>
          <w:rFonts w:ascii="Times New Roman" w:hAnsi="Times New Roman"/>
          <w:color w:val="000000"/>
          <w:sz w:val="28"/>
          <w:szCs w:val="28"/>
        </w:rPr>
        <w:t>, чтобы собрать доказательства в поддержку тезиса, что структурные изменения возникают в связи с резкими ценовыми шоками на рынке.</w:t>
      </w:r>
    </w:p>
    <w:p w14:paraId="46031F95" w14:textId="77777777" w:rsidR="00651284" w:rsidRPr="003B10E2" w:rsidRDefault="00651284" w:rsidP="00BD245A">
      <w:pPr>
        <w:spacing w:after="0" w:line="360" w:lineRule="auto"/>
        <w:ind w:firstLine="851"/>
        <w:contextualSpacing/>
        <w:jc w:val="both"/>
        <w:rPr>
          <w:rFonts w:ascii="Times New Roman" w:hAnsi="Times New Roman"/>
          <w:color w:val="000000"/>
          <w:sz w:val="28"/>
          <w:szCs w:val="28"/>
        </w:rPr>
      </w:pPr>
    </w:p>
    <w:p w14:paraId="00DF7086" w14:textId="77777777" w:rsidR="00651284" w:rsidRPr="003B10E2" w:rsidRDefault="00651284" w:rsidP="00BD245A">
      <w:pPr>
        <w:spacing w:after="0" w:line="360" w:lineRule="auto"/>
        <w:ind w:firstLine="851"/>
        <w:contextualSpacing/>
        <w:jc w:val="both"/>
        <w:rPr>
          <w:rFonts w:ascii="Times New Roman" w:hAnsi="Times New Roman"/>
          <w:color w:val="000000"/>
          <w:sz w:val="28"/>
          <w:szCs w:val="28"/>
        </w:rPr>
      </w:pPr>
    </w:p>
    <w:p w14:paraId="16EC6C8B" w14:textId="77777777" w:rsidR="00651284" w:rsidRPr="003B10E2" w:rsidRDefault="00651284" w:rsidP="00BD245A">
      <w:pPr>
        <w:spacing w:after="0" w:line="360" w:lineRule="auto"/>
        <w:ind w:firstLine="851"/>
        <w:contextualSpacing/>
        <w:jc w:val="both"/>
        <w:rPr>
          <w:rFonts w:ascii="Times New Roman" w:hAnsi="Times New Roman"/>
          <w:color w:val="000000"/>
          <w:sz w:val="28"/>
          <w:szCs w:val="28"/>
        </w:rPr>
      </w:pPr>
    </w:p>
    <w:p w14:paraId="070CDC41" w14:textId="77777777" w:rsidR="003C09E8" w:rsidRPr="003B10E2" w:rsidRDefault="003C09E8" w:rsidP="00BD245A">
      <w:pPr>
        <w:spacing w:after="0" w:line="360" w:lineRule="auto"/>
        <w:ind w:firstLine="851"/>
        <w:contextualSpacing/>
        <w:jc w:val="both"/>
        <w:rPr>
          <w:rFonts w:ascii="Times New Roman" w:hAnsi="Times New Roman"/>
          <w:color w:val="000000"/>
          <w:sz w:val="28"/>
          <w:szCs w:val="28"/>
        </w:rPr>
      </w:pPr>
    </w:p>
    <w:p w14:paraId="136A5ABB" w14:textId="77777777" w:rsidR="00651284" w:rsidRPr="003B10E2" w:rsidRDefault="00651284" w:rsidP="00BD245A">
      <w:pPr>
        <w:spacing w:after="0" w:line="360" w:lineRule="auto"/>
        <w:ind w:firstLine="851"/>
        <w:contextualSpacing/>
        <w:jc w:val="both"/>
        <w:rPr>
          <w:rFonts w:ascii="Times New Roman" w:hAnsi="Times New Roman"/>
          <w:color w:val="000000"/>
          <w:sz w:val="28"/>
          <w:szCs w:val="28"/>
        </w:rPr>
      </w:pPr>
    </w:p>
    <w:p w14:paraId="72278119" w14:textId="77777777" w:rsidR="0037487E" w:rsidRPr="003B10E2" w:rsidRDefault="0037487E">
      <w:pPr>
        <w:suppressAutoHyphens w:val="0"/>
        <w:rPr>
          <w:rFonts w:ascii="Times New Roman" w:eastAsia="Times New Roman" w:hAnsi="Times New Roman"/>
          <w:b/>
          <w:bCs/>
          <w:color w:val="000000"/>
          <w:sz w:val="32"/>
          <w:szCs w:val="32"/>
        </w:rPr>
      </w:pPr>
      <w:bookmarkStart w:id="87" w:name="_Toc497226347"/>
      <w:bookmarkStart w:id="88" w:name="_Toc497226914"/>
      <w:bookmarkStart w:id="89" w:name="_Toc497227191"/>
      <w:bookmarkStart w:id="90" w:name="_Toc497237372"/>
      <w:bookmarkStart w:id="91" w:name="_Toc500085718"/>
      <w:bookmarkStart w:id="92" w:name="_Toc502763363"/>
      <w:bookmarkStart w:id="93" w:name="_Toc503179437"/>
      <w:bookmarkStart w:id="94" w:name="_Toc523499802"/>
      <w:bookmarkStart w:id="95" w:name="_Toc530742360"/>
      <w:bookmarkStart w:id="96" w:name="_Toc497226243"/>
      <w:r w:rsidRPr="003B10E2">
        <w:rPr>
          <w:rFonts w:ascii="Times New Roman" w:eastAsia="Times New Roman" w:hAnsi="Times New Roman"/>
          <w:b/>
          <w:bCs/>
          <w:color w:val="000000"/>
          <w:sz w:val="32"/>
          <w:szCs w:val="32"/>
        </w:rPr>
        <w:br w:type="page"/>
      </w:r>
    </w:p>
    <w:p w14:paraId="70909760" w14:textId="77777777" w:rsidR="000E0FE8" w:rsidRPr="003B10E2" w:rsidRDefault="000E0FE8" w:rsidP="00B13660">
      <w:pPr>
        <w:pStyle w:val="1"/>
        <w:spacing w:before="0" w:line="360" w:lineRule="auto"/>
        <w:contextualSpacing/>
        <w:jc w:val="center"/>
        <w:rPr>
          <w:rFonts w:ascii="Times New Roman" w:hAnsi="Times New Roman"/>
          <w:b/>
          <w:color w:val="000000"/>
          <w:lang w:eastAsia="ar-SA"/>
        </w:rPr>
      </w:pPr>
      <w:bookmarkStart w:id="97" w:name="_Toc145164373"/>
      <w:bookmarkStart w:id="98" w:name="_Hlk137564054"/>
      <w:r w:rsidRPr="003B10E2">
        <w:rPr>
          <w:rFonts w:ascii="Times New Roman" w:hAnsi="Times New Roman"/>
          <w:b/>
          <w:color w:val="000000"/>
          <w:lang w:eastAsia="ar-SA"/>
        </w:rPr>
        <w:t>Гл</w:t>
      </w:r>
      <w:bookmarkStart w:id="99" w:name="_Toc497226927"/>
      <w:bookmarkStart w:id="100" w:name="_Toc497227204"/>
      <w:bookmarkStart w:id="101" w:name="_Toc497237385"/>
      <w:bookmarkStart w:id="102" w:name="_Toc500085731"/>
      <w:bookmarkStart w:id="103" w:name="_Toc502763377"/>
      <w:bookmarkStart w:id="104" w:name="_Toc503179450"/>
      <w:bookmarkStart w:id="105" w:name="_Toc523499815"/>
      <w:r w:rsidRPr="003B10E2">
        <w:rPr>
          <w:rFonts w:ascii="Times New Roman" w:hAnsi="Times New Roman"/>
          <w:b/>
          <w:color w:val="000000"/>
          <w:lang w:eastAsia="ar-SA"/>
        </w:rPr>
        <w:t>ава 2</w:t>
      </w:r>
      <w:bookmarkStart w:id="106" w:name="_Toc497226928"/>
      <w:bookmarkStart w:id="107" w:name="_Toc497227205"/>
      <w:bookmarkStart w:id="108" w:name="_Toc497237386"/>
      <w:bookmarkEnd w:id="99"/>
      <w:bookmarkEnd w:id="100"/>
      <w:bookmarkEnd w:id="101"/>
      <w:bookmarkEnd w:id="102"/>
      <w:bookmarkEnd w:id="103"/>
      <w:bookmarkEnd w:id="104"/>
      <w:bookmarkEnd w:id="105"/>
      <w:r w:rsidRPr="003B10E2">
        <w:rPr>
          <w:rFonts w:ascii="Times New Roman" w:hAnsi="Times New Roman"/>
          <w:b/>
          <w:color w:val="000000"/>
          <w:lang w:eastAsia="ar-SA"/>
        </w:rPr>
        <w:t xml:space="preserve"> Трансформация инвестиционных стратегий глобальных институциональных инвесторов</w:t>
      </w:r>
      <w:bookmarkEnd w:id="97"/>
    </w:p>
    <w:p w14:paraId="760C26B2" w14:textId="77777777" w:rsidR="000E0FE8" w:rsidRPr="003B10E2" w:rsidRDefault="000E0FE8" w:rsidP="000E0FE8">
      <w:pPr>
        <w:spacing w:after="0" w:line="360" w:lineRule="auto"/>
        <w:jc w:val="both"/>
      </w:pPr>
    </w:p>
    <w:p w14:paraId="4B357F5D" w14:textId="77777777" w:rsidR="000E0FE8" w:rsidRPr="003B10E2" w:rsidRDefault="000E0FE8" w:rsidP="000E0FE8">
      <w:pPr>
        <w:keepNext/>
        <w:keepLines/>
        <w:spacing w:before="40" w:after="0" w:line="360" w:lineRule="auto"/>
        <w:ind w:firstLine="708"/>
        <w:jc w:val="both"/>
        <w:outlineLvl w:val="1"/>
      </w:pPr>
      <w:bookmarkStart w:id="109" w:name="_Toc145164374"/>
      <w:bookmarkStart w:id="110" w:name="_Toc530742365"/>
      <w:bookmarkStart w:id="111" w:name="_Toc76819128"/>
      <w:r w:rsidRPr="003B10E2">
        <w:rPr>
          <w:rFonts w:ascii="Times New Roman" w:hAnsi="Times New Roman"/>
          <w:b/>
          <w:bCs/>
          <w:iCs/>
          <w:color w:val="000000"/>
          <w:sz w:val="28"/>
          <w:szCs w:val="26"/>
        </w:rPr>
        <w:t xml:space="preserve">2.1 </w:t>
      </w:r>
      <w:r w:rsidRPr="003B10E2">
        <w:rPr>
          <w:rFonts w:ascii="Times New Roman" w:eastAsia="Times New Roman" w:hAnsi="Times New Roman"/>
          <w:b/>
          <w:color w:val="000000"/>
          <w:sz w:val="28"/>
          <w:szCs w:val="26"/>
        </w:rPr>
        <w:t>Механизм передачи шоков и трансформация традиционных моделей поведения глобальных институциональных инвесторов</w:t>
      </w:r>
      <w:bookmarkEnd w:id="109"/>
    </w:p>
    <w:p w14:paraId="5E63E0A2" w14:textId="77777777" w:rsidR="000E0FE8" w:rsidRPr="003B10E2" w:rsidRDefault="000E0FE8" w:rsidP="000E0FE8">
      <w:pPr>
        <w:spacing w:after="0" w:line="360" w:lineRule="auto"/>
        <w:ind w:firstLine="851"/>
        <w:jc w:val="both"/>
        <w:rPr>
          <w:rFonts w:ascii="Times New Roman" w:hAnsi="Times New Roman"/>
          <w:sz w:val="28"/>
          <w:szCs w:val="28"/>
        </w:rPr>
      </w:pPr>
    </w:p>
    <w:p w14:paraId="38AD9C7D" w14:textId="77777777" w:rsidR="000E0FE8" w:rsidRPr="003B10E2" w:rsidRDefault="000E0FE8" w:rsidP="000E0FE8">
      <w:pPr>
        <w:spacing w:after="0" w:line="360" w:lineRule="auto"/>
        <w:ind w:firstLine="851"/>
        <w:jc w:val="both"/>
        <w:rPr>
          <w:rFonts w:ascii="Times New Roman" w:hAnsi="Times New Roman"/>
          <w:sz w:val="28"/>
          <w:szCs w:val="28"/>
        </w:rPr>
      </w:pPr>
      <w:r w:rsidRPr="003B10E2">
        <w:rPr>
          <w:rFonts w:ascii="Times New Roman" w:hAnsi="Times New Roman"/>
          <w:sz w:val="28"/>
          <w:szCs w:val="28"/>
        </w:rPr>
        <w:t>Данный параграф решает задачу изучения механизма передачи между новыми шоками и структурными изменениями на рынках капитала, используя поведенческий механизм структурных изменений. Шоки волатильности передаются на рынок капитала под воздействием следующих факторов:</w:t>
      </w:r>
    </w:p>
    <w:p w14:paraId="775947FD" w14:textId="77777777" w:rsidR="000E0FE8" w:rsidRPr="003B10E2" w:rsidRDefault="000E0FE8" w:rsidP="000E0FE8">
      <w:pPr>
        <w:spacing w:after="0" w:line="360" w:lineRule="auto"/>
        <w:ind w:firstLine="851"/>
        <w:jc w:val="both"/>
        <w:rPr>
          <w:rFonts w:ascii="Times New Roman" w:hAnsi="Times New Roman"/>
          <w:sz w:val="28"/>
          <w:szCs w:val="28"/>
        </w:rPr>
      </w:pPr>
      <w:r w:rsidRPr="003B10E2">
        <w:rPr>
          <w:rFonts w:ascii="Times New Roman" w:hAnsi="Times New Roman"/>
          <w:sz w:val="28"/>
          <w:szCs w:val="28"/>
        </w:rPr>
        <w:t>1)</w:t>
      </w:r>
      <w:r w:rsidRPr="003B10E2">
        <w:rPr>
          <w:rFonts w:ascii="Times New Roman" w:hAnsi="Times New Roman"/>
          <w:sz w:val="28"/>
          <w:szCs w:val="28"/>
        </w:rPr>
        <w:tab/>
        <w:t>предложение ликвидности со стороны центральных банков и индексных фондов;</w:t>
      </w:r>
    </w:p>
    <w:p w14:paraId="372BBA49" w14:textId="77777777" w:rsidR="000E0FE8" w:rsidRPr="003B10E2" w:rsidRDefault="000E0FE8" w:rsidP="000E0FE8">
      <w:pPr>
        <w:spacing w:after="0" w:line="360" w:lineRule="auto"/>
        <w:ind w:firstLine="851"/>
        <w:jc w:val="both"/>
        <w:rPr>
          <w:rFonts w:ascii="Times New Roman" w:hAnsi="Times New Roman"/>
          <w:sz w:val="28"/>
          <w:szCs w:val="28"/>
        </w:rPr>
      </w:pPr>
      <w:r w:rsidRPr="003B10E2">
        <w:rPr>
          <w:rFonts w:ascii="Times New Roman" w:hAnsi="Times New Roman"/>
          <w:sz w:val="28"/>
          <w:szCs w:val="28"/>
        </w:rPr>
        <w:t>2)</w:t>
      </w:r>
      <w:r w:rsidRPr="003B10E2">
        <w:rPr>
          <w:rFonts w:ascii="Times New Roman" w:hAnsi="Times New Roman"/>
          <w:sz w:val="28"/>
          <w:szCs w:val="28"/>
        </w:rPr>
        <w:tab/>
        <w:t>риск-аппетит глобальных инвесторов;</w:t>
      </w:r>
    </w:p>
    <w:p w14:paraId="23964249" w14:textId="77777777" w:rsidR="000E0FE8" w:rsidRPr="003B10E2" w:rsidRDefault="000E0FE8" w:rsidP="000E0FE8">
      <w:pPr>
        <w:spacing w:after="0" w:line="360" w:lineRule="auto"/>
        <w:ind w:firstLine="851"/>
        <w:jc w:val="both"/>
        <w:rPr>
          <w:rFonts w:ascii="Times New Roman" w:hAnsi="Times New Roman"/>
          <w:sz w:val="28"/>
          <w:szCs w:val="28"/>
        </w:rPr>
      </w:pPr>
      <w:r w:rsidRPr="003B10E2">
        <w:rPr>
          <w:rFonts w:ascii="Times New Roman" w:hAnsi="Times New Roman"/>
          <w:sz w:val="28"/>
          <w:szCs w:val="28"/>
        </w:rPr>
        <w:t>3)</w:t>
      </w:r>
      <w:r w:rsidRPr="003B10E2">
        <w:rPr>
          <w:rFonts w:ascii="Times New Roman" w:hAnsi="Times New Roman"/>
          <w:sz w:val="28"/>
          <w:szCs w:val="28"/>
        </w:rPr>
        <w:tab/>
        <w:t>регуляторные и политические риски.</w:t>
      </w:r>
    </w:p>
    <w:p w14:paraId="5679B419"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sz w:val="28"/>
          <w:szCs w:val="28"/>
        </w:rPr>
        <w:t>После кризиса 2008 г. глобализация мирового рынка капитала достигла нового уровня, благодаря повышению мобильности капитала. Капитализация акций развивающихся рынков за счет распределения средств институциональных инвесторов на развивающихся рынках в глобальные инвестиционные портфели заметно повысилась</w:t>
      </w:r>
      <w:r w:rsidRPr="003B10E2">
        <w:rPr>
          <w:rFonts w:ascii="Times New Roman" w:hAnsi="Times New Roman"/>
          <w:color w:val="000000"/>
          <w:sz w:val="28"/>
          <w:szCs w:val="28"/>
        </w:rPr>
        <w:t>. Доля капитализации акций развивающихся рынков увеличилась с 1% от мировой рыночной капитализации в 1987 г. до 5,5 % в 2021 г.</w:t>
      </w:r>
      <w:r w:rsidRPr="003B10E2">
        <w:rPr>
          <w:rFonts w:ascii="Times New Roman" w:hAnsi="Times New Roman"/>
          <w:color w:val="ED7D31"/>
          <w:sz w:val="28"/>
          <w:szCs w:val="28"/>
        </w:rPr>
        <w:t xml:space="preserve"> </w:t>
      </w:r>
      <w:r w:rsidRPr="003B10E2">
        <w:rPr>
          <w:rFonts w:ascii="Times New Roman" w:hAnsi="Times New Roman"/>
          <w:color w:val="000000"/>
          <w:sz w:val="28"/>
          <w:szCs w:val="28"/>
        </w:rPr>
        <w:t>Интеграция мирового рынка капитала связана с повышением объемов перетока волатильности между различными финансовыми рынками (товарным рынком и рынком акций, например) [87-89].</w:t>
      </w:r>
    </w:p>
    <w:p w14:paraId="15FF0B29"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Структурные изменения глобального мирового рынка капитала в период 2007 – 2008 г., период 2010 – 2012 гг. и с начала пандемического кризиса 2020 г. отражаются на среднегодовой долларовой доходности российского рынка капиталов.   Шоки волатильности могут приводить к сдвигам в поведении инвесторов и создавать побочные эффекты в краткосрочной перспективе [177 – 179]. Поэтому инвесторы, стремящиеся улучшить доходность своих портфелей с поправкой на риск, обычно корректируют распределение активов с учетом влияния таких шоков [180-183].</w:t>
      </w:r>
      <w:r w:rsidRPr="003B10E2">
        <w:rPr>
          <w:lang w:eastAsia="en-US"/>
        </w:rPr>
        <w:t xml:space="preserve"> </w:t>
      </w:r>
    </w:p>
    <w:p w14:paraId="745BE2D5" w14:textId="77777777" w:rsidR="000E0FE8" w:rsidRPr="003B10E2" w:rsidRDefault="000E0FE8" w:rsidP="000E0FE8">
      <w:pPr>
        <w:spacing w:after="0" w:line="360" w:lineRule="auto"/>
        <w:ind w:firstLine="720"/>
        <w:jc w:val="both"/>
        <w:rPr>
          <w:rFonts w:ascii="Times New Roman" w:hAnsi="Times New Roman"/>
          <w:color w:val="000000"/>
          <w:sz w:val="28"/>
          <w:szCs w:val="28"/>
        </w:rPr>
      </w:pPr>
      <w:r w:rsidRPr="003B10E2">
        <w:rPr>
          <w:rFonts w:ascii="Times New Roman" w:hAnsi="Times New Roman"/>
          <w:color w:val="000000"/>
          <w:sz w:val="28"/>
          <w:szCs w:val="28"/>
        </w:rPr>
        <w:t>В эпоху глобализации рынки связаны друг с другом, чтобы страны могли конкурировать торговыми потоками для повышения экономической конкурентоспособности и для повышения экспорта необходимой продукции. В последние годы рынки стали более динамичными и прозрачными для интеграции друг с другом [234 – 237].</w:t>
      </w:r>
    </w:p>
    <w:p w14:paraId="0419F567" w14:textId="77777777" w:rsidR="000E0FE8" w:rsidRPr="003B10E2" w:rsidRDefault="000E0FE8" w:rsidP="000E0FE8">
      <w:pPr>
        <w:spacing w:after="0" w:line="360" w:lineRule="auto"/>
        <w:ind w:firstLine="720"/>
        <w:jc w:val="both"/>
        <w:rPr>
          <w:rFonts w:ascii="Times New Roman" w:hAnsi="Times New Roman"/>
          <w:color w:val="000000"/>
          <w:sz w:val="28"/>
          <w:szCs w:val="28"/>
        </w:rPr>
      </w:pPr>
      <w:r w:rsidRPr="003B10E2">
        <w:rPr>
          <w:rFonts w:ascii="Times New Roman" w:hAnsi="Times New Roman"/>
          <w:color w:val="000000"/>
          <w:sz w:val="28"/>
          <w:szCs w:val="28"/>
        </w:rPr>
        <w:t xml:space="preserve">Цены на сырьевые товары выросли и оставались очень волатильными на международном рынке. Исследования показали [256 – 259], что существует как краткосрочная, так и долгосрочная взаимосвязь между ценами на внутренний индекс сырьевых товаров (индекс товаров, индекс энергии и индекс металлов) и международный индекс сырьевых товаров (индекс товаров, индекс энергии и индекс металлов). </w:t>
      </w:r>
    </w:p>
    <w:p w14:paraId="72E812CF" w14:textId="77777777" w:rsidR="000E0FE8" w:rsidRPr="003B10E2" w:rsidRDefault="000E0FE8" w:rsidP="000E0FE8">
      <w:pPr>
        <w:spacing w:after="0" w:line="360" w:lineRule="auto"/>
        <w:ind w:firstLine="720"/>
        <w:jc w:val="both"/>
        <w:rPr>
          <w:rFonts w:ascii="Times New Roman" w:hAnsi="Times New Roman"/>
          <w:color w:val="000000"/>
          <w:sz w:val="28"/>
          <w:szCs w:val="28"/>
        </w:rPr>
      </w:pPr>
      <w:r w:rsidRPr="003B10E2">
        <w:rPr>
          <w:rFonts w:ascii="Times New Roman" w:hAnsi="Times New Roman"/>
          <w:color w:val="000000"/>
          <w:sz w:val="28"/>
          <w:szCs w:val="28"/>
        </w:rPr>
        <w:t>Исследования [234 – 239] также показывают, что изменение цен на внутренние индексы сырьевых товаров (индекс товаров, индекс энергии и индекс металлов) обусловлено изменением цен на международные индексы сырьевых товаров (индекс товаров, индекс энергии и индекс металлов).</w:t>
      </w:r>
    </w:p>
    <w:p w14:paraId="4C267759" w14:textId="77777777" w:rsidR="000E0FE8" w:rsidRPr="003B10E2" w:rsidRDefault="000E0FE8" w:rsidP="000E0FE8">
      <w:pPr>
        <w:spacing w:after="0" w:line="360" w:lineRule="auto"/>
        <w:ind w:firstLine="720"/>
        <w:jc w:val="both"/>
        <w:rPr>
          <w:rFonts w:ascii="Times New Roman" w:hAnsi="Times New Roman"/>
          <w:color w:val="000000"/>
          <w:sz w:val="28"/>
          <w:szCs w:val="28"/>
        </w:rPr>
      </w:pPr>
      <w:r w:rsidRPr="003B10E2">
        <w:rPr>
          <w:rFonts w:ascii="Times New Roman" w:hAnsi="Times New Roman"/>
          <w:color w:val="000000"/>
          <w:sz w:val="28"/>
          <w:szCs w:val="28"/>
        </w:rPr>
        <w:t xml:space="preserve">Исходя из вышеописанных идей, в данной главе рост интеграции рынков капитала доказывается авторским анализом взаимосвязи шоков цен на нефть марки Brent и курсов национальных валют нефтедобывающих стран. </w:t>
      </w:r>
    </w:p>
    <w:p w14:paraId="7ABD7DC0"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Методология: обоснование и описание.</w:t>
      </w:r>
    </w:p>
    <w:p w14:paraId="528E2895"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Недавние исследования показывают, что побочный эффект на обменные курсы валют в странах-экспортерах нефти связан с инновационными процессами, экономическим ростом и энергетическими рынками.</w:t>
      </w:r>
    </w:p>
    <w:p w14:paraId="32B7C375"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Волатильность обменного курса, определяемая как постоянные колебания обменного курса, получила более широкое распространение в недавних исследованиях из-за ее значительного влияния на развивающиеся экономики. Развивающиеся страны наряду с развитыми экономиками сталкиваются с волатильностью обменных курсов и ее значительным влиянием на экспорт, объем инвестиций в страну. Рост занятости в стране, приводит к росту инфляции, повышению производства международной торговли [131 – 133].</w:t>
      </w:r>
    </w:p>
    <w:p w14:paraId="4ED2257D"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Доступная литература по волатильности обменного курса и ценам на нефть не дает четких выводов о том, является ли влияние волатильности обменного курса положительным, отрицательным или и тем, и другим. Во многих исследованиях рассматриваются краткосрочные, среднесрочные и долгосрочные побочные эффекты волатильности между развитыми (Австралия, Канада, Франция, Германия, Япония, Великобритания и США), развивающимися рынками БРИКС (Бразилия, Россия, Китай, Индия и Южная Африка) и рынком стратегических фьючерсов на нефть [121 – 124].</w:t>
      </w:r>
    </w:p>
    <w:p w14:paraId="6EF4F8E9"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Согласно эмпирическим выводам предыдущих исследований, чистое влияние цен на нефть на волатильность обменного курса является противоречивым. В первом разделе сообщается о положительном влиянии цен на нефть на волатильность обменного курса [123 – 127]. Во-вторых, сообщается о значительном негативном влиянии цен на нефть на волатильность обменного курса [157 – 159]. В-третьих, делается вывод об отсутствии связи между волатильностью обменного курса и ценами на нефть. Таким образом, связь волатильности валютных курсов стран-экспортеров нефти с ценами на нефть все еще остается неубедительной [168 – 171]. </w:t>
      </w:r>
    </w:p>
    <w:p w14:paraId="46FDEDF1"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Теоретически безрезультатность объясняется различным отношением международных трейдеров к риску. Некоторые не склонны к риску, в то время как некоторые любят риск. Трейдеры, не склонные к риску, заменяют международную торговлю внутренней торговлей, чтобы избежать волатильности обменного курса. Более высокая волатильность обменных курсов создает возможности для получения более высокой прибыли для инвесторов нейтральных к риску в период высокой волатильности. Форвардные рынки уменьшают влияние волатильности, но не делают его более доступным или доступным для небольших фирм. В некоторых недавних исследованиях делается вывод о том, что неопределенные результаты прошлых исследований обусловлены чрезмерной зависимостью от агрегированных торговых потоков и слабых эконометрических методов [151 – 153]. Влияние волатильности обменного курса на торговлю не является полностью однонаправленным и отличается в зависимости от горизонта исследования и интересующего рынка, что требует более детализированных торговых данных для будущих исследований. Взаимосвязь между волатильностью обменного курса и волатильностью цен на нефть между странами была изучена с помощью различных подходов эмпирическим путем. </w:t>
      </w:r>
    </w:p>
    <w:p w14:paraId="169E1497"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С эконометрической точки зрения в предыдущих исследованиях использовались различные методы анализа, которые недавние исследования считают неуместными. В этих исследованиях использовались методы, которые не учитывают случаи смешанной интеграции. В модели торгового спроса является известной нормой, что волатильность обменного курса соответствует стационарному уровню I (0).  Из-за неоднозначных и несоответствующих выводов предыдущих исследований в исследовательских работах использовались агрегированные торговые данные по каждому торговому партнеру и отраслевому уровню для получения более точных результатов и рекомендаций по политике для каждого торгового партнера и соответствующей отрасли [141-144].</w:t>
      </w:r>
    </w:p>
    <w:p w14:paraId="498896C2"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данной главе делается вывод о том, что экспорт развивающихся экономик более чувствителен к волатильности обменного курса. Цены на нефть влияют на волатильность обменного курса симметричным образом, что означает, что если единичное увеличение волатильности обменного курса уменьшает объем торговли на </w:t>
      </w:r>
      <w:r w:rsidRPr="003B10E2">
        <w:rPr>
          <w:rFonts w:ascii="Times New Roman" w:hAnsi="Times New Roman"/>
          <w:i/>
          <w:iCs/>
          <w:color w:val="000000"/>
          <w:sz w:val="28"/>
          <w:szCs w:val="28"/>
        </w:rPr>
        <w:t>x</w:t>
      </w:r>
      <w:r w:rsidRPr="003B10E2">
        <w:rPr>
          <w:rFonts w:ascii="Times New Roman" w:hAnsi="Times New Roman"/>
          <w:color w:val="000000"/>
          <w:sz w:val="28"/>
          <w:szCs w:val="28"/>
        </w:rPr>
        <w:t xml:space="preserve"> процентов, то единичное снижение волатильности обменного курса увеличит объем торговли на ту же </w:t>
      </w:r>
      <w:r w:rsidRPr="003B10E2">
        <w:rPr>
          <w:rFonts w:ascii="Times New Roman" w:hAnsi="Times New Roman"/>
          <w:i/>
          <w:iCs/>
          <w:color w:val="000000"/>
          <w:sz w:val="28"/>
          <w:szCs w:val="28"/>
        </w:rPr>
        <w:t>x</w:t>
      </w:r>
      <w:r w:rsidRPr="003B10E2">
        <w:rPr>
          <w:rFonts w:ascii="Times New Roman" w:hAnsi="Times New Roman"/>
          <w:color w:val="000000"/>
          <w:sz w:val="28"/>
          <w:szCs w:val="28"/>
        </w:rPr>
        <w:t xml:space="preserve">-пропорцию и наоборот. Поэтому в данном исследовании утверждается, что волатильность обменного курса асимметрично реагирует на торговые потоки как импорта, так и экспорта. Обменный курс представляет интерес для многих исследователей, особенно в развивающихся странах, поскольку он соединяет страну с остальным миром, поскольку определяет относительные цены и конкурентное положение страны на международном рынке [126-129]. Тема обменных курсов представляет первостепенный интерес для тех стран, которые изменили свой режим с фиксированного на плавающий обменный курс. </w:t>
      </w:r>
    </w:p>
    <w:p w14:paraId="180C6945"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этих исследованиях используются такие методы, как регрессия наименьших квадратов, панельная регрессия и простая совместная интеграция. Кроме того, почти во всех проведенных исследованиях предполагалось, что цены на нефть симметрично влияют на волатильность обменного курса. Используются данные </w:t>
      </w:r>
      <w:r w:rsidRPr="003B10E2">
        <w:rPr>
          <w:rFonts w:ascii="Times New Roman" w:hAnsi="Times New Roman"/>
          <w:color w:val="000000"/>
          <w:sz w:val="28"/>
          <w:szCs w:val="28"/>
          <w:lang w:val="en-US"/>
        </w:rPr>
        <w:t>Thomson</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Reuters</w:t>
      </w:r>
      <w:r w:rsidRPr="003B10E2">
        <w:rPr>
          <w:rFonts w:ascii="Times New Roman" w:hAnsi="Times New Roman"/>
          <w:color w:val="000000"/>
          <w:sz w:val="28"/>
          <w:szCs w:val="28"/>
        </w:rPr>
        <w:t xml:space="preserve"> о 12-ти различных национальных валютах основных стран-экспортеров нефти: риал Саудовской Аравии, иракский динар, дирхам ОАЭ, кувейтский динар, иранский динар, алжирский динар, нигерийская найра и российский рубль, доллар США, канадский доллар, китайский юань, бразильский реал. </w:t>
      </w:r>
    </w:p>
    <w:p w14:paraId="2F2F38E9" w14:textId="77777777" w:rsidR="000E0FE8" w:rsidRPr="003B10E2" w:rsidRDefault="000E0FE8" w:rsidP="000E0FE8">
      <w:pPr>
        <w:spacing w:after="0" w:line="360" w:lineRule="auto"/>
        <w:jc w:val="both"/>
        <w:rPr>
          <w:rFonts w:ascii="Times New Roman" w:hAnsi="Times New Roman"/>
          <w:color w:val="000000"/>
          <w:sz w:val="28"/>
          <w:szCs w:val="28"/>
        </w:rPr>
      </w:pPr>
    </w:p>
    <w:p w14:paraId="41A70901" w14:textId="77777777" w:rsidR="000E0FE8" w:rsidRPr="003B10E2" w:rsidRDefault="000E0FE8" w:rsidP="000E0FE8">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 xml:space="preserve">Таблица </w:t>
      </w:r>
      <w:r w:rsidR="00683F14" w:rsidRPr="003B10E2">
        <w:rPr>
          <w:rFonts w:ascii="Times New Roman" w:hAnsi="Times New Roman"/>
          <w:color w:val="000000"/>
          <w:sz w:val="24"/>
          <w:szCs w:val="24"/>
        </w:rPr>
        <w:t>2</w:t>
      </w:r>
      <w:r w:rsidRPr="003B10E2">
        <w:rPr>
          <w:rFonts w:ascii="Times New Roman" w:hAnsi="Times New Roman"/>
          <w:color w:val="000000"/>
          <w:sz w:val="24"/>
          <w:szCs w:val="24"/>
        </w:rPr>
        <w:t xml:space="preserve"> – Ведущие страны-производители нефти (ОПЕК и страны, не входящие в ОПЕК)</w:t>
      </w:r>
    </w:p>
    <w:p w14:paraId="40113458" w14:textId="77777777" w:rsidR="000E0FE8" w:rsidRPr="003B10E2" w:rsidRDefault="000E0FE8" w:rsidP="000E0FE8">
      <w:pPr>
        <w:spacing w:after="0" w:line="240" w:lineRule="auto"/>
        <w:jc w:val="both"/>
        <w:rPr>
          <w:rFonts w:ascii="Times New Roman" w:hAnsi="Times New Roman"/>
          <w:color w:val="000000"/>
          <w:sz w:val="24"/>
          <w:szCs w:val="24"/>
        </w:rPr>
      </w:pPr>
    </w:p>
    <w:tbl>
      <w:tblPr>
        <w:tblW w:w="9220" w:type="dxa"/>
        <w:jc w:val="center"/>
        <w:tblLayout w:type="fixed"/>
        <w:tblLook w:val="04A0" w:firstRow="1" w:lastRow="0" w:firstColumn="1" w:lastColumn="0" w:noHBand="0" w:noVBand="1"/>
      </w:tblPr>
      <w:tblGrid>
        <w:gridCol w:w="1301"/>
        <w:gridCol w:w="5073"/>
        <w:gridCol w:w="2846"/>
      </w:tblGrid>
      <w:tr w:rsidR="000E0FE8" w:rsidRPr="003B10E2" w14:paraId="1D64354E" w14:textId="77777777" w:rsidTr="005D28E0">
        <w:trPr>
          <w:trHeight w:val="269"/>
          <w:jc w:val="center"/>
        </w:trPr>
        <w:tc>
          <w:tcPr>
            <w:tcW w:w="9220"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6F11EAA9" w14:textId="77777777" w:rsidR="000E0FE8" w:rsidRPr="003B10E2" w:rsidRDefault="000E0FE8" w:rsidP="005D28E0">
            <w:pPr>
              <w:widowControl w:val="0"/>
              <w:spacing w:after="0" w:line="240" w:lineRule="auto"/>
              <w:jc w:val="center"/>
              <w:rPr>
                <w:rFonts w:ascii="Times New Roman" w:hAnsi="Times New Roman"/>
                <w:sz w:val="24"/>
                <w:szCs w:val="24"/>
              </w:rPr>
            </w:pPr>
            <w:r w:rsidRPr="003B10E2">
              <w:rPr>
                <w:rFonts w:ascii="Times New Roman" w:hAnsi="Times New Roman"/>
                <w:sz w:val="24"/>
                <w:szCs w:val="24"/>
              </w:rPr>
              <w:t>Ведущие страны производители нефти (</w:t>
            </w:r>
            <w:r w:rsidRPr="003B10E2">
              <w:rPr>
                <w:rFonts w:ascii="Times New Roman" w:hAnsi="Times New Roman"/>
                <w:sz w:val="24"/>
                <w:szCs w:val="24"/>
                <w:lang w:val="en-US"/>
              </w:rPr>
              <w:t>OPEC</w:t>
            </w:r>
            <w:r w:rsidRPr="003B10E2">
              <w:rPr>
                <w:rFonts w:ascii="Times New Roman" w:hAnsi="Times New Roman"/>
                <w:sz w:val="24"/>
                <w:szCs w:val="24"/>
              </w:rPr>
              <w:t>)</w:t>
            </w:r>
          </w:p>
        </w:tc>
      </w:tr>
      <w:tr w:rsidR="000E0FE8" w:rsidRPr="003B10E2" w14:paraId="2C842793" w14:textId="77777777" w:rsidTr="005D28E0">
        <w:trPr>
          <w:trHeight w:val="592"/>
          <w:jc w:val="center"/>
        </w:trPr>
        <w:tc>
          <w:tcPr>
            <w:tcW w:w="1301" w:type="dxa"/>
            <w:tcBorders>
              <w:top w:val="double" w:sz="4" w:space="0" w:color="000000"/>
              <w:left w:val="single" w:sz="4" w:space="0" w:color="000000"/>
              <w:bottom w:val="double" w:sz="4" w:space="0" w:color="000000"/>
              <w:right w:val="single" w:sz="4" w:space="0" w:color="000000"/>
            </w:tcBorders>
            <w:shd w:val="clear" w:color="auto" w:fill="auto"/>
            <w:vAlign w:val="center"/>
          </w:tcPr>
          <w:p w14:paraId="285DB7FF" w14:textId="77777777" w:rsidR="000E0FE8" w:rsidRPr="003B10E2" w:rsidRDefault="000E0FE8" w:rsidP="005D28E0">
            <w:pPr>
              <w:widowControl w:val="0"/>
              <w:spacing w:after="0" w:line="240" w:lineRule="auto"/>
              <w:jc w:val="center"/>
              <w:rPr>
                <w:rFonts w:ascii="Times New Roman" w:hAnsi="Times New Roman"/>
                <w:sz w:val="24"/>
                <w:szCs w:val="24"/>
              </w:rPr>
            </w:pPr>
            <w:r w:rsidRPr="003B10E2">
              <w:rPr>
                <w:rFonts w:ascii="Times New Roman" w:hAnsi="Times New Roman"/>
                <w:sz w:val="24"/>
                <w:szCs w:val="24"/>
              </w:rPr>
              <w:t>Ранг</w:t>
            </w:r>
          </w:p>
        </w:tc>
        <w:tc>
          <w:tcPr>
            <w:tcW w:w="5073" w:type="dxa"/>
            <w:tcBorders>
              <w:top w:val="double" w:sz="4" w:space="0" w:color="000000"/>
              <w:left w:val="single" w:sz="4" w:space="0" w:color="000000"/>
              <w:bottom w:val="double" w:sz="4" w:space="0" w:color="000000"/>
              <w:right w:val="single" w:sz="4" w:space="0" w:color="000000"/>
            </w:tcBorders>
            <w:shd w:val="clear" w:color="auto" w:fill="auto"/>
            <w:vAlign w:val="center"/>
          </w:tcPr>
          <w:p w14:paraId="2E687021" w14:textId="77777777" w:rsidR="000E0FE8" w:rsidRPr="003B10E2" w:rsidRDefault="000E0FE8" w:rsidP="005D28E0">
            <w:pPr>
              <w:widowControl w:val="0"/>
              <w:jc w:val="center"/>
              <w:rPr>
                <w:rFonts w:ascii="Times New Roman" w:hAnsi="Times New Roman"/>
                <w:sz w:val="24"/>
                <w:szCs w:val="24"/>
              </w:rPr>
            </w:pPr>
            <w:r w:rsidRPr="003B10E2">
              <w:rPr>
                <w:rFonts w:ascii="Times New Roman" w:hAnsi="Times New Roman"/>
                <w:sz w:val="24"/>
                <w:szCs w:val="24"/>
              </w:rPr>
              <w:t>Страна</w:t>
            </w:r>
          </w:p>
        </w:tc>
        <w:tc>
          <w:tcPr>
            <w:tcW w:w="2846" w:type="dxa"/>
            <w:tcBorders>
              <w:top w:val="double" w:sz="4" w:space="0" w:color="000000"/>
              <w:left w:val="single" w:sz="4" w:space="0" w:color="000000"/>
              <w:bottom w:val="double" w:sz="4" w:space="0" w:color="000000"/>
              <w:right w:val="single" w:sz="4" w:space="0" w:color="000000"/>
            </w:tcBorders>
            <w:shd w:val="clear" w:color="auto" w:fill="auto"/>
            <w:vAlign w:val="center"/>
          </w:tcPr>
          <w:p w14:paraId="77A26831" w14:textId="77777777" w:rsidR="000E0FE8" w:rsidRPr="003B10E2" w:rsidRDefault="000E0FE8" w:rsidP="005D28E0">
            <w:pPr>
              <w:widowControl w:val="0"/>
              <w:spacing w:after="0" w:line="240" w:lineRule="auto"/>
              <w:jc w:val="center"/>
              <w:rPr>
                <w:rFonts w:ascii="Times New Roman" w:hAnsi="Times New Roman"/>
                <w:sz w:val="24"/>
                <w:szCs w:val="24"/>
              </w:rPr>
            </w:pPr>
            <w:r w:rsidRPr="003B10E2">
              <w:rPr>
                <w:rFonts w:ascii="Times New Roman" w:hAnsi="Times New Roman"/>
                <w:sz w:val="24"/>
                <w:szCs w:val="24"/>
              </w:rPr>
              <w:t>Ноябрь, 2021 (</w:t>
            </w:r>
            <w:r w:rsidRPr="003B10E2">
              <w:rPr>
                <w:rFonts w:ascii="Times New Roman" w:hAnsi="Times New Roman"/>
                <w:sz w:val="24"/>
                <w:szCs w:val="24"/>
                <w:lang w:val="en-US"/>
              </w:rPr>
              <w:t>mbpd</w:t>
            </w:r>
            <w:r w:rsidRPr="003B10E2">
              <w:rPr>
                <w:rFonts w:ascii="Times New Roman" w:hAnsi="Times New Roman"/>
                <w:sz w:val="24"/>
                <w:szCs w:val="24"/>
              </w:rPr>
              <w:t>)</w:t>
            </w:r>
          </w:p>
        </w:tc>
      </w:tr>
      <w:tr w:rsidR="000E0FE8" w:rsidRPr="003B10E2" w14:paraId="5727CEC8" w14:textId="77777777" w:rsidTr="005D28E0">
        <w:trPr>
          <w:trHeight w:val="269"/>
          <w:jc w:val="center"/>
        </w:trPr>
        <w:tc>
          <w:tcPr>
            <w:tcW w:w="1301" w:type="dxa"/>
            <w:tcBorders>
              <w:top w:val="double" w:sz="4" w:space="0" w:color="000000"/>
              <w:left w:val="single" w:sz="4" w:space="0" w:color="000000"/>
              <w:bottom w:val="single" w:sz="4" w:space="0" w:color="000000"/>
              <w:right w:val="single" w:sz="4" w:space="0" w:color="000000"/>
            </w:tcBorders>
            <w:shd w:val="clear" w:color="auto" w:fill="auto"/>
            <w:vAlign w:val="bottom"/>
          </w:tcPr>
          <w:p w14:paraId="64EEEAF9" w14:textId="77777777" w:rsidR="000E0FE8" w:rsidRPr="003B10E2" w:rsidRDefault="000E0FE8" w:rsidP="005D28E0">
            <w:pPr>
              <w:widowControl w:val="0"/>
              <w:rPr>
                <w:rFonts w:ascii="Times New Roman" w:hAnsi="Times New Roman"/>
                <w:sz w:val="24"/>
                <w:szCs w:val="24"/>
              </w:rPr>
            </w:pPr>
            <w:r w:rsidRPr="003B10E2">
              <w:rPr>
                <w:rFonts w:ascii="Times New Roman" w:hAnsi="Times New Roman"/>
                <w:sz w:val="24"/>
                <w:szCs w:val="24"/>
              </w:rPr>
              <w:t xml:space="preserve">1 </w:t>
            </w:r>
          </w:p>
        </w:tc>
        <w:tc>
          <w:tcPr>
            <w:tcW w:w="5073" w:type="dxa"/>
            <w:tcBorders>
              <w:top w:val="double" w:sz="4" w:space="0" w:color="000000"/>
              <w:left w:val="single" w:sz="4" w:space="0" w:color="000000"/>
              <w:bottom w:val="single" w:sz="4" w:space="0" w:color="000000"/>
              <w:right w:val="single" w:sz="4" w:space="0" w:color="000000"/>
            </w:tcBorders>
            <w:shd w:val="clear" w:color="auto" w:fill="auto"/>
          </w:tcPr>
          <w:p w14:paraId="3CB9319E" w14:textId="77777777" w:rsidR="000E0FE8" w:rsidRPr="003B10E2" w:rsidRDefault="000E0FE8" w:rsidP="005D28E0">
            <w:pPr>
              <w:widowControl w:val="0"/>
              <w:rPr>
                <w:rFonts w:ascii="Times New Roman" w:hAnsi="Times New Roman"/>
                <w:sz w:val="24"/>
                <w:szCs w:val="24"/>
              </w:rPr>
            </w:pPr>
            <w:r w:rsidRPr="003B10E2">
              <w:rPr>
                <w:rFonts w:ascii="Times New Roman" w:hAnsi="Times New Roman"/>
                <w:sz w:val="24"/>
                <w:szCs w:val="24"/>
              </w:rPr>
              <w:t>Саудовская Аравия</w:t>
            </w:r>
          </w:p>
        </w:tc>
        <w:tc>
          <w:tcPr>
            <w:tcW w:w="2846" w:type="dxa"/>
            <w:tcBorders>
              <w:top w:val="double" w:sz="4" w:space="0" w:color="000000"/>
              <w:left w:val="single" w:sz="4" w:space="0" w:color="000000"/>
              <w:bottom w:val="single" w:sz="4" w:space="0" w:color="000000"/>
              <w:right w:val="single" w:sz="4" w:space="0" w:color="000000"/>
            </w:tcBorders>
            <w:shd w:val="clear" w:color="auto" w:fill="auto"/>
            <w:vAlign w:val="bottom"/>
          </w:tcPr>
          <w:p w14:paraId="27B1481A" w14:textId="77777777" w:rsidR="000E0FE8" w:rsidRPr="003B10E2" w:rsidRDefault="000E0FE8" w:rsidP="005D28E0">
            <w:pPr>
              <w:widowControl w:val="0"/>
              <w:jc w:val="center"/>
              <w:rPr>
                <w:rFonts w:ascii="Times New Roman" w:hAnsi="Times New Roman"/>
                <w:sz w:val="24"/>
                <w:szCs w:val="24"/>
              </w:rPr>
            </w:pPr>
            <w:r w:rsidRPr="003B10E2">
              <w:rPr>
                <w:rFonts w:ascii="Times New Roman" w:hAnsi="Times New Roman"/>
                <w:sz w:val="24"/>
                <w:szCs w:val="24"/>
              </w:rPr>
              <w:t>9.01</w:t>
            </w:r>
          </w:p>
        </w:tc>
      </w:tr>
      <w:tr w:rsidR="000E0FE8" w:rsidRPr="003B10E2" w14:paraId="442366A2" w14:textId="77777777" w:rsidTr="005D28E0">
        <w:trPr>
          <w:trHeight w:val="269"/>
          <w:jc w:val="center"/>
        </w:trPr>
        <w:tc>
          <w:tcPr>
            <w:tcW w:w="13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34B77B" w14:textId="77777777" w:rsidR="000E0FE8" w:rsidRPr="003B10E2" w:rsidRDefault="000E0FE8" w:rsidP="005D28E0">
            <w:pPr>
              <w:widowControl w:val="0"/>
              <w:rPr>
                <w:rFonts w:ascii="Times New Roman" w:hAnsi="Times New Roman"/>
                <w:sz w:val="24"/>
                <w:szCs w:val="24"/>
              </w:rPr>
            </w:pPr>
            <w:r w:rsidRPr="003B10E2">
              <w:rPr>
                <w:rFonts w:ascii="Times New Roman" w:hAnsi="Times New Roman"/>
                <w:sz w:val="24"/>
                <w:szCs w:val="24"/>
              </w:rPr>
              <w:t xml:space="preserve">2 </w:t>
            </w:r>
          </w:p>
        </w:tc>
        <w:tc>
          <w:tcPr>
            <w:tcW w:w="5073" w:type="dxa"/>
            <w:tcBorders>
              <w:top w:val="single" w:sz="4" w:space="0" w:color="000000"/>
              <w:left w:val="single" w:sz="4" w:space="0" w:color="000000"/>
              <w:bottom w:val="single" w:sz="4" w:space="0" w:color="000000"/>
              <w:right w:val="single" w:sz="4" w:space="0" w:color="000000"/>
            </w:tcBorders>
            <w:shd w:val="clear" w:color="auto" w:fill="auto"/>
          </w:tcPr>
          <w:p w14:paraId="5A6FC7F1" w14:textId="77777777" w:rsidR="000E0FE8" w:rsidRPr="003B10E2" w:rsidRDefault="000E0FE8" w:rsidP="005D28E0">
            <w:pPr>
              <w:widowControl w:val="0"/>
              <w:rPr>
                <w:rFonts w:ascii="Times New Roman" w:hAnsi="Times New Roman"/>
                <w:sz w:val="24"/>
                <w:szCs w:val="24"/>
              </w:rPr>
            </w:pPr>
            <w:r w:rsidRPr="003B10E2">
              <w:rPr>
                <w:rFonts w:ascii="Times New Roman" w:hAnsi="Times New Roman"/>
                <w:sz w:val="24"/>
                <w:szCs w:val="24"/>
              </w:rPr>
              <w:t>Ирак</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5655BA" w14:textId="77777777" w:rsidR="000E0FE8" w:rsidRPr="003B10E2" w:rsidRDefault="000E0FE8" w:rsidP="005D28E0">
            <w:pPr>
              <w:widowControl w:val="0"/>
              <w:jc w:val="center"/>
              <w:rPr>
                <w:rFonts w:ascii="Times New Roman" w:hAnsi="Times New Roman"/>
                <w:sz w:val="24"/>
                <w:szCs w:val="24"/>
              </w:rPr>
            </w:pPr>
            <w:r w:rsidRPr="003B10E2">
              <w:rPr>
                <w:rFonts w:ascii="Times New Roman" w:hAnsi="Times New Roman"/>
                <w:sz w:val="24"/>
                <w:szCs w:val="24"/>
              </w:rPr>
              <w:t>3.82</w:t>
            </w:r>
          </w:p>
        </w:tc>
      </w:tr>
      <w:tr w:rsidR="000E0FE8" w:rsidRPr="003B10E2" w14:paraId="0A004973" w14:textId="77777777" w:rsidTr="005D28E0">
        <w:trPr>
          <w:trHeight w:val="269"/>
          <w:jc w:val="center"/>
        </w:trPr>
        <w:tc>
          <w:tcPr>
            <w:tcW w:w="13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25392F" w14:textId="77777777" w:rsidR="000E0FE8" w:rsidRPr="003B10E2" w:rsidRDefault="000E0FE8" w:rsidP="005D28E0">
            <w:pPr>
              <w:widowControl w:val="0"/>
              <w:rPr>
                <w:rFonts w:ascii="Times New Roman" w:hAnsi="Times New Roman"/>
                <w:sz w:val="24"/>
                <w:szCs w:val="24"/>
                <w:lang w:val="en-US"/>
              </w:rPr>
            </w:pPr>
            <w:r w:rsidRPr="003B10E2">
              <w:rPr>
                <w:rFonts w:ascii="Times New Roman" w:hAnsi="Times New Roman"/>
                <w:sz w:val="24"/>
                <w:szCs w:val="24"/>
                <w:lang w:val="en-US"/>
              </w:rPr>
              <w:t xml:space="preserve">3 </w:t>
            </w:r>
          </w:p>
        </w:tc>
        <w:tc>
          <w:tcPr>
            <w:tcW w:w="5073" w:type="dxa"/>
            <w:tcBorders>
              <w:top w:val="single" w:sz="4" w:space="0" w:color="000000"/>
              <w:left w:val="single" w:sz="4" w:space="0" w:color="000000"/>
              <w:bottom w:val="single" w:sz="4" w:space="0" w:color="000000"/>
              <w:right w:val="single" w:sz="4" w:space="0" w:color="000000"/>
            </w:tcBorders>
            <w:shd w:val="clear" w:color="auto" w:fill="auto"/>
          </w:tcPr>
          <w:p w14:paraId="380F7BDE" w14:textId="77777777" w:rsidR="000E0FE8" w:rsidRPr="003B10E2" w:rsidRDefault="000E0FE8" w:rsidP="005D28E0">
            <w:pPr>
              <w:widowControl w:val="0"/>
              <w:rPr>
                <w:rFonts w:ascii="Times New Roman" w:hAnsi="Times New Roman"/>
                <w:sz w:val="24"/>
                <w:szCs w:val="24"/>
                <w:lang w:val="en-US"/>
              </w:rPr>
            </w:pPr>
            <w:r w:rsidRPr="003B10E2">
              <w:rPr>
                <w:rFonts w:ascii="Times New Roman" w:hAnsi="Times New Roman"/>
                <w:sz w:val="24"/>
                <w:szCs w:val="24"/>
                <w:lang w:val="en-US"/>
              </w:rPr>
              <w:t>Объединенные Арабские Эмираты</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0FCB8A" w14:textId="77777777" w:rsidR="000E0FE8" w:rsidRPr="003B10E2" w:rsidRDefault="000E0FE8" w:rsidP="005D28E0">
            <w:pPr>
              <w:widowControl w:val="0"/>
              <w:jc w:val="center"/>
              <w:rPr>
                <w:rFonts w:ascii="Times New Roman" w:hAnsi="Times New Roman"/>
                <w:sz w:val="24"/>
                <w:szCs w:val="24"/>
                <w:lang w:val="en-US"/>
              </w:rPr>
            </w:pPr>
            <w:r w:rsidRPr="003B10E2">
              <w:rPr>
                <w:rFonts w:ascii="Times New Roman" w:hAnsi="Times New Roman"/>
                <w:sz w:val="24"/>
                <w:szCs w:val="24"/>
                <w:lang w:val="en-US"/>
              </w:rPr>
              <w:t>2.51</w:t>
            </w:r>
          </w:p>
        </w:tc>
      </w:tr>
      <w:tr w:rsidR="000E0FE8" w:rsidRPr="003B10E2" w14:paraId="7578323B" w14:textId="77777777" w:rsidTr="005D28E0">
        <w:trPr>
          <w:trHeight w:val="269"/>
          <w:jc w:val="center"/>
        </w:trPr>
        <w:tc>
          <w:tcPr>
            <w:tcW w:w="13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0E6BDC" w14:textId="77777777" w:rsidR="000E0FE8" w:rsidRPr="003B10E2" w:rsidRDefault="000E0FE8" w:rsidP="005D28E0">
            <w:pPr>
              <w:widowControl w:val="0"/>
              <w:rPr>
                <w:rFonts w:ascii="Times New Roman" w:hAnsi="Times New Roman"/>
                <w:sz w:val="24"/>
                <w:szCs w:val="24"/>
                <w:lang w:val="en-US"/>
              </w:rPr>
            </w:pPr>
            <w:r w:rsidRPr="003B10E2">
              <w:rPr>
                <w:rFonts w:ascii="Times New Roman" w:hAnsi="Times New Roman"/>
                <w:sz w:val="24"/>
                <w:szCs w:val="24"/>
                <w:lang w:val="en-US"/>
              </w:rPr>
              <w:t xml:space="preserve">4 </w:t>
            </w:r>
          </w:p>
        </w:tc>
        <w:tc>
          <w:tcPr>
            <w:tcW w:w="5073" w:type="dxa"/>
            <w:tcBorders>
              <w:top w:val="single" w:sz="4" w:space="0" w:color="000000"/>
              <w:left w:val="single" w:sz="4" w:space="0" w:color="000000"/>
              <w:bottom w:val="single" w:sz="4" w:space="0" w:color="000000"/>
              <w:right w:val="single" w:sz="4" w:space="0" w:color="000000"/>
            </w:tcBorders>
            <w:shd w:val="clear" w:color="auto" w:fill="auto"/>
          </w:tcPr>
          <w:p w14:paraId="6C4CC1C4" w14:textId="77777777" w:rsidR="000E0FE8" w:rsidRPr="003B10E2" w:rsidRDefault="000E0FE8" w:rsidP="005D28E0">
            <w:pPr>
              <w:widowControl w:val="0"/>
              <w:rPr>
                <w:rFonts w:ascii="Times New Roman" w:hAnsi="Times New Roman"/>
                <w:sz w:val="24"/>
                <w:szCs w:val="24"/>
                <w:lang w:val="en-US"/>
              </w:rPr>
            </w:pPr>
            <w:r w:rsidRPr="003B10E2">
              <w:rPr>
                <w:rFonts w:ascii="Times New Roman" w:hAnsi="Times New Roman"/>
                <w:sz w:val="24"/>
                <w:szCs w:val="24"/>
                <w:lang w:val="en-US"/>
              </w:rPr>
              <w:t>Кувейт</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B27D27" w14:textId="77777777" w:rsidR="000E0FE8" w:rsidRPr="003B10E2" w:rsidRDefault="000E0FE8" w:rsidP="005D28E0">
            <w:pPr>
              <w:widowControl w:val="0"/>
              <w:jc w:val="center"/>
              <w:rPr>
                <w:rFonts w:ascii="Times New Roman" w:hAnsi="Times New Roman"/>
                <w:sz w:val="24"/>
                <w:szCs w:val="24"/>
                <w:lang w:val="en-US"/>
              </w:rPr>
            </w:pPr>
            <w:r w:rsidRPr="003B10E2">
              <w:rPr>
                <w:rFonts w:ascii="Times New Roman" w:hAnsi="Times New Roman"/>
                <w:sz w:val="24"/>
                <w:szCs w:val="24"/>
                <w:lang w:val="en-US"/>
              </w:rPr>
              <w:t>2.30</w:t>
            </w:r>
          </w:p>
        </w:tc>
      </w:tr>
      <w:tr w:rsidR="000E0FE8" w:rsidRPr="003B10E2" w14:paraId="7244F5DE" w14:textId="77777777" w:rsidTr="005D28E0">
        <w:trPr>
          <w:trHeight w:val="269"/>
          <w:jc w:val="center"/>
        </w:trPr>
        <w:tc>
          <w:tcPr>
            <w:tcW w:w="13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2C054F" w14:textId="77777777" w:rsidR="000E0FE8" w:rsidRPr="003B10E2" w:rsidRDefault="000E0FE8" w:rsidP="005D28E0">
            <w:pPr>
              <w:widowControl w:val="0"/>
              <w:rPr>
                <w:rFonts w:ascii="Times New Roman" w:hAnsi="Times New Roman"/>
                <w:sz w:val="24"/>
                <w:szCs w:val="24"/>
                <w:lang w:val="en-US"/>
              </w:rPr>
            </w:pPr>
            <w:r w:rsidRPr="003B10E2">
              <w:rPr>
                <w:rFonts w:ascii="Times New Roman" w:hAnsi="Times New Roman"/>
                <w:sz w:val="24"/>
                <w:szCs w:val="24"/>
                <w:lang w:val="en-US"/>
              </w:rPr>
              <w:t xml:space="preserve">5 </w:t>
            </w:r>
          </w:p>
        </w:tc>
        <w:tc>
          <w:tcPr>
            <w:tcW w:w="5073" w:type="dxa"/>
            <w:tcBorders>
              <w:top w:val="single" w:sz="4" w:space="0" w:color="000000"/>
              <w:left w:val="single" w:sz="4" w:space="0" w:color="000000"/>
              <w:bottom w:val="single" w:sz="4" w:space="0" w:color="000000"/>
              <w:right w:val="single" w:sz="4" w:space="0" w:color="000000"/>
            </w:tcBorders>
            <w:shd w:val="clear" w:color="auto" w:fill="auto"/>
          </w:tcPr>
          <w:p w14:paraId="76D4758C" w14:textId="77777777" w:rsidR="000E0FE8" w:rsidRPr="003B10E2" w:rsidRDefault="000E0FE8" w:rsidP="005D28E0">
            <w:pPr>
              <w:widowControl w:val="0"/>
              <w:rPr>
                <w:rFonts w:ascii="Times New Roman" w:hAnsi="Times New Roman"/>
                <w:sz w:val="24"/>
                <w:szCs w:val="24"/>
                <w:lang w:val="en-US"/>
              </w:rPr>
            </w:pPr>
            <w:r w:rsidRPr="003B10E2">
              <w:rPr>
                <w:rFonts w:ascii="Times New Roman" w:hAnsi="Times New Roman"/>
                <w:sz w:val="24"/>
                <w:szCs w:val="24"/>
                <w:lang w:val="en-US"/>
              </w:rPr>
              <w:t>Иран</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AE717F" w14:textId="77777777" w:rsidR="000E0FE8" w:rsidRPr="003B10E2" w:rsidRDefault="000E0FE8" w:rsidP="005D28E0">
            <w:pPr>
              <w:widowControl w:val="0"/>
              <w:jc w:val="center"/>
              <w:rPr>
                <w:rFonts w:ascii="Times New Roman" w:hAnsi="Times New Roman"/>
                <w:sz w:val="24"/>
                <w:szCs w:val="24"/>
                <w:lang w:val="en-US"/>
              </w:rPr>
            </w:pPr>
            <w:r w:rsidRPr="003B10E2">
              <w:rPr>
                <w:rFonts w:ascii="Times New Roman" w:hAnsi="Times New Roman"/>
                <w:sz w:val="24"/>
                <w:szCs w:val="24"/>
                <w:lang w:val="en-US"/>
              </w:rPr>
              <w:t>1.90</w:t>
            </w:r>
          </w:p>
        </w:tc>
      </w:tr>
      <w:tr w:rsidR="000E0FE8" w:rsidRPr="003B10E2" w14:paraId="315C3888" w14:textId="77777777" w:rsidTr="005D28E0">
        <w:trPr>
          <w:trHeight w:val="269"/>
          <w:jc w:val="center"/>
        </w:trPr>
        <w:tc>
          <w:tcPr>
            <w:tcW w:w="13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993298" w14:textId="77777777" w:rsidR="000E0FE8" w:rsidRPr="003B10E2" w:rsidRDefault="000E0FE8" w:rsidP="005D28E0">
            <w:pPr>
              <w:widowControl w:val="0"/>
              <w:rPr>
                <w:rFonts w:ascii="Times New Roman" w:hAnsi="Times New Roman"/>
                <w:sz w:val="24"/>
                <w:szCs w:val="24"/>
                <w:lang w:val="en-US"/>
              </w:rPr>
            </w:pPr>
            <w:r w:rsidRPr="003B10E2">
              <w:rPr>
                <w:rFonts w:ascii="Times New Roman" w:hAnsi="Times New Roman"/>
                <w:sz w:val="24"/>
                <w:szCs w:val="24"/>
                <w:lang w:val="en-US"/>
              </w:rPr>
              <w:t>6</w:t>
            </w:r>
          </w:p>
        </w:tc>
        <w:tc>
          <w:tcPr>
            <w:tcW w:w="5073" w:type="dxa"/>
            <w:tcBorders>
              <w:top w:val="single" w:sz="4" w:space="0" w:color="000000"/>
              <w:left w:val="single" w:sz="4" w:space="0" w:color="000000"/>
              <w:bottom w:val="single" w:sz="4" w:space="0" w:color="000000"/>
              <w:right w:val="single" w:sz="4" w:space="0" w:color="000000"/>
            </w:tcBorders>
            <w:shd w:val="clear" w:color="auto" w:fill="auto"/>
          </w:tcPr>
          <w:p w14:paraId="4236CF41" w14:textId="77777777" w:rsidR="000E0FE8" w:rsidRPr="003B10E2" w:rsidRDefault="000E0FE8" w:rsidP="005D28E0">
            <w:pPr>
              <w:widowControl w:val="0"/>
              <w:rPr>
                <w:rFonts w:ascii="Times New Roman" w:hAnsi="Times New Roman"/>
                <w:sz w:val="24"/>
                <w:szCs w:val="24"/>
                <w:lang w:val="en-US"/>
              </w:rPr>
            </w:pPr>
            <w:r w:rsidRPr="003B10E2">
              <w:rPr>
                <w:rFonts w:ascii="Times New Roman" w:hAnsi="Times New Roman"/>
                <w:sz w:val="24"/>
                <w:szCs w:val="24"/>
                <w:lang w:val="en-US"/>
              </w:rPr>
              <w:t>Нигерия</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B9C8E1" w14:textId="77777777" w:rsidR="000E0FE8" w:rsidRPr="003B10E2" w:rsidRDefault="000E0FE8" w:rsidP="005D28E0">
            <w:pPr>
              <w:widowControl w:val="0"/>
              <w:jc w:val="center"/>
              <w:rPr>
                <w:rFonts w:ascii="Times New Roman" w:hAnsi="Times New Roman"/>
                <w:sz w:val="24"/>
                <w:szCs w:val="24"/>
                <w:lang w:val="en-US"/>
              </w:rPr>
            </w:pPr>
            <w:r w:rsidRPr="003B10E2">
              <w:rPr>
                <w:rFonts w:ascii="Times New Roman" w:hAnsi="Times New Roman"/>
                <w:sz w:val="24"/>
                <w:szCs w:val="24"/>
                <w:lang w:val="en-US"/>
              </w:rPr>
              <w:t>1.44</w:t>
            </w:r>
          </w:p>
        </w:tc>
      </w:tr>
      <w:tr w:rsidR="000E0FE8" w:rsidRPr="003B10E2" w14:paraId="077E1583" w14:textId="77777777" w:rsidTr="005D28E0">
        <w:trPr>
          <w:trHeight w:val="269"/>
          <w:jc w:val="center"/>
        </w:trPr>
        <w:tc>
          <w:tcPr>
            <w:tcW w:w="13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F17640" w14:textId="77777777" w:rsidR="000E0FE8" w:rsidRPr="003B10E2" w:rsidRDefault="000E0FE8" w:rsidP="005D28E0">
            <w:pPr>
              <w:widowControl w:val="0"/>
              <w:rPr>
                <w:rFonts w:ascii="Times New Roman" w:hAnsi="Times New Roman"/>
                <w:sz w:val="24"/>
                <w:szCs w:val="24"/>
                <w:lang w:val="en-US"/>
              </w:rPr>
            </w:pPr>
            <w:r w:rsidRPr="003B10E2">
              <w:rPr>
                <w:rFonts w:ascii="Times New Roman" w:hAnsi="Times New Roman"/>
                <w:sz w:val="24"/>
                <w:szCs w:val="24"/>
                <w:lang w:val="en-US"/>
              </w:rPr>
              <w:t>7</w:t>
            </w:r>
          </w:p>
        </w:tc>
        <w:tc>
          <w:tcPr>
            <w:tcW w:w="5073" w:type="dxa"/>
            <w:tcBorders>
              <w:top w:val="single" w:sz="4" w:space="0" w:color="000000"/>
              <w:left w:val="single" w:sz="4" w:space="0" w:color="000000"/>
              <w:bottom w:val="single" w:sz="4" w:space="0" w:color="000000"/>
              <w:right w:val="single" w:sz="4" w:space="0" w:color="000000"/>
            </w:tcBorders>
            <w:shd w:val="clear" w:color="auto" w:fill="auto"/>
          </w:tcPr>
          <w:p w14:paraId="7F523B9B" w14:textId="77777777" w:rsidR="000E0FE8" w:rsidRPr="003B10E2" w:rsidRDefault="000E0FE8" w:rsidP="005D28E0">
            <w:pPr>
              <w:widowControl w:val="0"/>
              <w:rPr>
                <w:rFonts w:ascii="Times New Roman" w:hAnsi="Times New Roman"/>
                <w:sz w:val="24"/>
                <w:szCs w:val="24"/>
                <w:lang w:val="en-US"/>
              </w:rPr>
            </w:pPr>
            <w:r w:rsidRPr="003B10E2">
              <w:rPr>
                <w:rFonts w:ascii="Times New Roman" w:hAnsi="Times New Roman"/>
                <w:sz w:val="24"/>
                <w:szCs w:val="24"/>
                <w:lang w:val="en-US"/>
              </w:rPr>
              <w:t>Алжир</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C598A8" w14:textId="77777777" w:rsidR="000E0FE8" w:rsidRPr="003B10E2" w:rsidRDefault="000E0FE8" w:rsidP="005D28E0">
            <w:pPr>
              <w:widowControl w:val="0"/>
              <w:jc w:val="center"/>
              <w:rPr>
                <w:rFonts w:ascii="Times New Roman" w:hAnsi="Times New Roman"/>
                <w:sz w:val="24"/>
                <w:szCs w:val="24"/>
                <w:lang w:val="en-US"/>
              </w:rPr>
            </w:pPr>
            <w:r w:rsidRPr="003B10E2">
              <w:rPr>
                <w:rFonts w:ascii="Times New Roman" w:hAnsi="Times New Roman"/>
                <w:sz w:val="24"/>
                <w:szCs w:val="24"/>
                <w:lang w:val="en-US"/>
              </w:rPr>
              <w:t>0.87</w:t>
            </w:r>
          </w:p>
        </w:tc>
      </w:tr>
    </w:tbl>
    <w:p w14:paraId="0B0C0A13" w14:textId="77777777" w:rsidR="000E0FE8" w:rsidRPr="003B10E2" w:rsidRDefault="000E0FE8" w:rsidP="000E0FE8">
      <w:pPr>
        <w:spacing w:after="0" w:line="360" w:lineRule="auto"/>
        <w:rPr>
          <w:rFonts w:ascii="Times New Roman" w:hAnsi="Times New Roman"/>
          <w:color w:val="000000"/>
          <w:sz w:val="24"/>
          <w:szCs w:val="24"/>
        </w:rPr>
      </w:pPr>
      <w:r w:rsidRPr="003B10E2">
        <w:rPr>
          <w:rFonts w:ascii="Times New Roman" w:hAnsi="Times New Roman"/>
          <w:color w:val="000000"/>
          <w:sz w:val="24"/>
          <w:szCs w:val="24"/>
        </w:rPr>
        <w:t>Продолжение таблицы 14</w:t>
      </w:r>
    </w:p>
    <w:tbl>
      <w:tblPr>
        <w:tblW w:w="9220" w:type="dxa"/>
        <w:jc w:val="center"/>
        <w:tblLayout w:type="fixed"/>
        <w:tblLook w:val="04A0" w:firstRow="1" w:lastRow="0" w:firstColumn="1" w:lastColumn="0" w:noHBand="0" w:noVBand="1"/>
      </w:tblPr>
      <w:tblGrid>
        <w:gridCol w:w="1301"/>
        <w:gridCol w:w="5073"/>
        <w:gridCol w:w="2846"/>
      </w:tblGrid>
      <w:tr w:rsidR="000E0FE8" w:rsidRPr="003B10E2" w14:paraId="4179A919" w14:textId="77777777" w:rsidTr="005D28E0">
        <w:trPr>
          <w:trHeight w:val="269"/>
          <w:jc w:val="center"/>
        </w:trPr>
        <w:tc>
          <w:tcPr>
            <w:tcW w:w="13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EB3951" w14:textId="77777777" w:rsidR="000E0FE8" w:rsidRPr="003B10E2" w:rsidRDefault="000E0FE8" w:rsidP="005D28E0">
            <w:pPr>
              <w:widowControl w:val="0"/>
              <w:jc w:val="center"/>
              <w:rPr>
                <w:rFonts w:ascii="Times New Roman" w:hAnsi="Times New Roman"/>
                <w:sz w:val="24"/>
                <w:szCs w:val="24"/>
              </w:rPr>
            </w:pPr>
            <w:r w:rsidRPr="003B10E2">
              <w:rPr>
                <w:rFonts w:ascii="Times New Roman" w:hAnsi="Times New Roman"/>
                <w:sz w:val="24"/>
                <w:szCs w:val="24"/>
              </w:rPr>
              <w:t>1</w:t>
            </w:r>
          </w:p>
        </w:tc>
        <w:tc>
          <w:tcPr>
            <w:tcW w:w="5073" w:type="dxa"/>
            <w:tcBorders>
              <w:top w:val="single" w:sz="4" w:space="0" w:color="000000"/>
              <w:left w:val="single" w:sz="4" w:space="0" w:color="000000"/>
              <w:bottom w:val="single" w:sz="4" w:space="0" w:color="000000"/>
              <w:right w:val="single" w:sz="4" w:space="0" w:color="000000"/>
            </w:tcBorders>
            <w:shd w:val="clear" w:color="auto" w:fill="auto"/>
          </w:tcPr>
          <w:p w14:paraId="4602BE07" w14:textId="77777777" w:rsidR="000E0FE8" w:rsidRPr="003B10E2" w:rsidRDefault="000E0FE8" w:rsidP="005D28E0">
            <w:pPr>
              <w:widowControl w:val="0"/>
              <w:jc w:val="center"/>
              <w:rPr>
                <w:rFonts w:ascii="Times New Roman" w:hAnsi="Times New Roman"/>
                <w:sz w:val="24"/>
                <w:szCs w:val="24"/>
              </w:rPr>
            </w:pPr>
            <w:r w:rsidRPr="003B10E2">
              <w:rPr>
                <w:rFonts w:ascii="Times New Roman" w:hAnsi="Times New Roman"/>
                <w:sz w:val="24"/>
                <w:szCs w:val="24"/>
              </w:rPr>
              <w:t>2</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40F811" w14:textId="77777777" w:rsidR="000E0FE8" w:rsidRPr="003B10E2" w:rsidRDefault="000E0FE8" w:rsidP="005D28E0">
            <w:pPr>
              <w:widowControl w:val="0"/>
              <w:jc w:val="center"/>
              <w:rPr>
                <w:rFonts w:ascii="Times New Roman" w:hAnsi="Times New Roman"/>
                <w:sz w:val="24"/>
                <w:szCs w:val="24"/>
              </w:rPr>
            </w:pPr>
            <w:r w:rsidRPr="003B10E2">
              <w:rPr>
                <w:rFonts w:ascii="Times New Roman" w:hAnsi="Times New Roman"/>
                <w:sz w:val="24"/>
                <w:szCs w:val="24"/>
              </w:rPr>
              <w:t>3</w:t>
            </w:r>
          </w:p>
        </w:tc>
      </w:tr>
      <w:tr w:rsidR="000E0FE8" w:rsidRPr="003B10E2" w14:paraId="0299E949" w14:textId="77777777" w:rsidTr="005D28E0">
        <w:trPr>
          <w:trHeight w:val="269"/>
          <w:jc w:val="center"/>
        </w:trPr>
        <w:tc>
          <w:tcPr>
            <w:tcW w:w="13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5906E9" w14:textId="77777777" w:rsidR="000E0FE8" w:rsidRPr="003B10E2" w:rsidRDefault="000E0FE8" w:rsidP="005D28E0">
            <w:pPr>
              <w:widowControl w:val="0"/>
              <w:rPr>
                <w:rFonts w:ascii="Times New Roman" w:hAnsi="Times New Roman"/>
                <w:sz w:val="24"/>
                <w:szCs w:val="24"/>
                <w:lang w:val="en-US"/>
              </w:rPr>
            </w:pPr>
          </w:p>
        </w:tc>
        <w:tc>
          <w:tcPr>
            <w:tcW w:w="5073" w:type="dxa"/>
            <w:tcBorders>
              <w:top w:val="single" w:sz="4" w:space="0" w:color="000000"/>
              <w:left w:val="single" w:sz="4" w:space="0" w:color="000000"/>
              <w:bottom w:val="single" w:sz="4" w:space="0" w:color="000000"/>
              <w:right w:val="single" w:sz="4" w:space="0" w:color="000000"/>
            </w:tcBorders>
            <w:shd w:val="clear" w:color="auto" w:fill="auto"/>
          </w:tcPr>
          <w:p w14:paraId="396B08E3" w14:textId="77777777" w:rsidR="000E0FE8" w:rsidRPr="003B10E2" w:rsidRDefault="000E0FE8" w:rsidP="005D28E0">
            <w:pPr>
              <w:widowControl w:val="0"/>
              <w:rPr>
                <w:rFonts w:ascii="Times New Roman" w:hAnsi="Times New Roman"/>
                <w:sz w:val="24"/>
                <w:szCs w:val="24"/>
              </w:rPr>
            </w:pPr>
            <w:r w:rsidRPr="003B10E2">
              <w:rPr>
                <w:rFonts w:ascii="Times New Roman" w:hAnsi="Times New Roman"/>
                <w:sz w:val="24"/>
                <w:szCs w:val="24"/>
              </w:rPr>
              <w:t>Общая добыча в Топ-5 стран ОПЕК</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40CA33" w14:textId="77777777" w:rsidR="000E0FE8" w:rsidRPr="003B10E2" w:rsidRDefault="000E0FE8" w:rsidP="005D28E0">
            <w:pPr>
              <w:widowControl w:val="0"/>
              <w:jc w:val="center"/>
              <w:rPr>
                <w:rFonts w:ascii="Times New Roman" w:hAnsi="Times New Roman"/>
                <w:sz w:val="24"/>
                <w:szCs w:val="24"/>
                <w:lang w:val="en-US"/>
              </w:rPr>
            </w:pPr>
            <w:r w:rsidRPr="003B10E2">
              <w:rPr>
                <w:rFonts w:ascii="Times New Roman" w:hAnsi="Times New Roman"/>
                <w:sz w:val="24"/>
                <w:szCs w:val="24"/>
                <w:lang w:val="en-US"/>
              </w:rPr>
              <w:t>19.54</w:t>
            </w:r>
          </w:p>
        </w:tc>
      </w:tr>
      <w:tr w:rsidR="000E0FE8" w:rsidRPr="003B10E2" w14:paraId="4C30E2CC" w14:textId="77777777" w:rsidTr="005D28E0">
        <w:trPr>
          <w:trHeight w:val="269"/>
          <w:jc w:val="center"/>
        </w:trPr>
        <w:tc>
          <w:tcPr>
            <w:tcW w:w="13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97586E" w14:textId="77777777" w:rsidR="000E0FE8" w:rsidRPr="003B10E2" w:rsidRDefault="000E0FE8" w:rsidP="005D28E0">
            <w:pPr>
              <w:widowControl w:val="0"/>
              <w:rPr>
                <w:rFonts w:ascii="Times New Roman" w:hAnsi="Times New Roman"/>
                <w:sz w:val="24"/>
                <w:szCs w:val="24"/>
                <w:lang w:val="en-US"/>
              </w:rPr>
            </w:pPr>
          </w:p>
        </w:tc>
        <w:tc>
          <w:tcPr>
            <w:tcW w:w="5073" w:type="dxa"/>
            <w:tcBorders>
              <w:top w:val="single" w:sz="4" w:space="0" w:color="000000"/>
              <w:left w:val="single" w:sz="4" w:space="0" w:color="000000"/>
              <w:bottom w:val="single" w:sz="4" w:space="0" w:color="000000"/>
              <w:right w:val="single" w:sz="4" w:space="0" w:color="000000"/>
            </w:tcBorders>
            <w:shd w:val="clear" w:color="auto" w:fill="auto"/>
          </w:tcPr>
          <w:p w14:paraId="7A2855AB" w14:textId="77777777" w:rsidR="000E0FE8" w:rsidRPr="003B10E2" w:rsidRDefault="000E0FE8" w:rsidP="005D28E0">
            <w:pPr>
              <w:widowControl w:val="0"/>
              <w:rPr>
                <w:rFonts w:ascii="Times New Roman" w:hAnsi="Times New Roman"/>
                <w:sz w:val="24"/>
                <w:szCs w:val="24"/>
                <w:lang w:val="en-US"/>
              </w:rPr>
            </w:pPr>
            <w:r w:rsidRPr="003B10E2">
              <w:rPr>
                <w:rFonts w:ascii="Times New Roman" w:hAnsi="Times New Roman"/>
                <w:sz w:val="24"/>
                <w:szCs w:val="24"/>
                <w:lang w:val="en-US"/>
              </w:rPr>
              <w:t>Общий объем добычи ОПЕК</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6B6C91" w14:textId="77777777" w:rsidR="000E0FE8" w:rsidRPr="003B10E2" w:rsidRDefault="000E0FE8" w:rsidP="005D28E0">
            <w:pPr>
              <w:widowControl w:val="0"/>
              <w:jc w:val="center"/>
              <w:rPr>
                <w:rFonts w:ascii="Times New Roman" w:hAnsi="Times New Roman"/>
                <w:sz w:val="24"/>
                <w:szCs w:val="24"/>
                <w:lang w:val="en-US"/>
              </w:rPr>
            </w:pPr>
            <w:r w:rsidRPr="003B10E2">
              <w:rPr>
                <w:rFonts w:ascii="Times New Roman" w:hAnsi="Times New Roman"/>
                <w:sz w:val="24"/>
                <w:szCs w:val="24"/>
                <w:lang w:val="en-US"/>
              </w:rPr>
              <w:t>29.97</w:t>
            </w:r>
          </w:p>
        </w:tc>
      </w:tr>
      <w:tr w:rsidR="000E0FE8" w:rsidRPr="003B10E2" w14:paraId="73B585B4" w14:textId="77777777" w:rsidTr="005D28E0">
        <w:trPr>
          <w:trHeight w:val="269"/>
          <w:jc w:val="center"/>
        </w:trPr>
        <w:tc>
          <w:tcPr>
            <w:tcW w:w="9220" w:type="dxa"/>
            <w:gridSpan w:val="3"/>
            <w:tcBorders>
              <w:top w:val="single" w:sz="4" w:space="0" w:color="000000"/>
              <w:left w:val="single" w:sz="4" w:space="0" w:color="000000"/>
              <w:bottom w:val="double" w:sz="4" w:space="0" w:color="000000"/>
              <w:right w:val="single" w:sz="4" w:space="0" w:color="000000"/>
            </w:tcBorders>
            <w:shd w:val="clear" w:color="auto" w:fill="auto"/>
            <w:vAlign w:val="bottom"/>
          </w:tcPr>
          <w:p w14:paraId="0A798A26" w14:textId="77777777" w:rsidR="000E0FE8" w:rsidRPr="003B10E2" w:rsidRDefault="000E0FE8" w:rsidP="005D28E0">
            <w:pPr>
              <w:widowControl w:val="0"/>
              <w:jc w:val="center"/>
              <w:rPr>
                <w:rFonts w:ascii="Times New Roman" w:hAnsi="Times New Roman"/>
                <w:sz w:val="24"/>
                <w:szCs w:val="24"/>
              </w:rPr>
            </w:pPr>
            <w:r w:rsidRPr="003B10E2">
              <w:rPr>
                <w:rFonts w:ascii="Times New Roman" w:hAnsi="Times New Roman"/>
                <w:sz w:val="24"/>
                <w:szCs w:val="24"/>
              </w:rPr>
              <w:t>Ведущие страны производители нефти (</w:t>
            </w:r>
            <w:r w:rsidRPr="003B10E2">
              <w:rPr>
                <w:rFonts w:ascii="Times New Roman" w:hAnsi="Times New Roman"/>
                <w:sz w:val="24"/>
                <w:szCs w:val="24"/>
                <w:lang w:val="en-US"/>
              </w:rPr>
              <w:t>Non</w:t>
            </w:r>
            <w:r w:rsidRPr="003B10E2">
              <w:rPr>
                <w:rFonts w:ascii="Times New Roman" w:hAnsi="Times New Roman"/>
                <w:sz w:val="24"/>
                <w:szCs w:val="24"/>
              </w:rPr>
              <w:t>-</w:t>
            </w:r>
            <w:r w:rsidRPr="003B10E2">
              <w:rPr>
                <w:rFonts w:ascii="Times New Roman" w:hAnsi="Times New Roman"/>
                <w:sz w:val="24"/>
                <w:szCs w:val="24"/>
                <w:lang w:val="en-US"/>
              </w:rPr>
              <w:t>OPEC</w:t>
            </w:r>
            <w:r w:rsidRPr="003B10E2">
              <w:rPr>
                <w:rFonts w:ascii="Times New Roman" w:hAnsi="Times New Roman"/>
                <w:sz w:val="24"/>
                <w:szCs w:val="24"/>
              </w:rPr>
              <w:t>)</w:t>
            </w:r>
          </w:p>
        </w:tc>
      </w:tr>
      <w:tr w:rsidR="000E0FE8" w:rsidRPr="003B10E2" w14:paraId="510A779F" w14:textId="77777777" w:rsidTr="005D28E0">
        <w:trPr>
          <w:trHeight w:val="592"/>
          <w:jc w:val="center"/>
        </w:trPr>
        <w:tc>
          <w:tcPr>
            <w:tcW w:w="1301" w:type="dxa"/>
            <w:tcBorders>
              <w:top w:val="double" w:sz="4" w:space="0" w:color="000000"/>
              <w:left w:val="single" w:sz="4" w:space="0" w:color="000000"/>
              <w:bottom w:val="double" w:sz="4" w:space="0" w:color="000000"/>
              <w:right w:val="single" w:sz="4" w:space="0" w:color="000000"/>
            </w:tcBorders>
            <w:shd w:val="clear" w:color="auto" w:fill="auto"/>
            <w:vAlign w:val="center"/>
          </w:tcPr>
          <w:p w14:paraId="15D7498C" w14:textId="77777777" w:rsidR="000E0FE8" w:rsidRPr="003B10E2" w:rsidRDefault="000E0FE8" w:rsidP="005D28E0">
            <w:pPr>
              <w:widowControl w:val="0"/>
              <w:jc w:val="center"/>
              <w:rPr>
                <w:rFonts w:ascii="Times New Roman" w:hAnsi="Times New Roman"/>
                <w:sz w:val="24"/>
                <w:szCs w:val="24"/>
                <w:lang w:val="en-US"/>
              </w:rPr>
            </w:pPr>
            <w:r w:rsidRPr="003B10E2">
              <w:rPr>
                <w:rFonts w:ascii="Times New Roman" w:hAnsi="Times New Roman"/>
                <w:sz w:val="24"/>
                <w:szCs w:val="24"/>
                <w:lang w:val="en-US"/>
              </w:rPr>
              <w:t>Ранг</w:t>
            </w:r>
          </w:p>
        </w:tc>
        <w:tc>
          <w:tcPr>
            <w:tcW w:w="5073" w:type="dxa"/>
            <w:tcBorders>
              <w:top w:val="double" w:sz="4" w:space="0" w:color="000000"/>
              <w:left w:val="single" w:sz="4" w:space="0" w:color="000000"/>
              <w:bottom w:val="double" w:sz="4" w:space="0" w:color="000000"/>
              <w:right w:val="single" w:sz="4" w:space="0" w:color="000000"/>
            </w:tcBorders>
            <w:shd w:val="clear" w:color="auto" w:fill="auto"/>
            <w:vAlign w:val="center"/>
          </w:tcPr>
          <w:p w14:paraId="7F2D3CC6" w14:textId="77777777" w:rsidR="000E0FE8" w:rsidRPr="003B10E2" w:rsidRDefault="000E0FE8" w:rsidP="005D28E0">
            <w:pPr>
              <w:widowControl w:val="0"/>
              <w:jc w:val="center"/>
              <w:rPr>
                <w:rFonts w:ascii="Times New Roman" w:hAnsi="Times New Roman"/>
                <w:sz w:val="24"/>
                <w:szCs w:val="24"/>
                <w:lang w:val="en-US"/>
              </w:rPr>
            </w:pPr>
            <w:r w:rsidRPr="003B10E2">
              <w:rPr>
                <w:rFonts w:ascii="Times New Roman" w:hAnsi="Times New Roman"/>
                <w:sz w:val="24"/>
                <w:szCs w:val="24"/>
                <w:lang w:val="en-US"/>
              </w:rPr>
              <w:t>Страна</w:t>
            </w:r>
          </w:p>
        </w:tc>
        <w:tc>
          <w:tcPr>
            <w:tcW w:w="2846" w:type="dxa"/>
            <w:tcBorders>
              <w:top w:val="double" w:sz="4" w:space="0" w:color="000000"/>
              <w:left w:val="single" w:sz="4" w:space="0" w:color="000000"/>
              <w:bottom w:val="double" w:sz="4" w:space="0" w:color="000000"/>
              <w:right w:val="single" w:sz="4" w:space="0" w:color="000000"/>
            </w:tcBorders>
            <w:shd w:val="clear" w:color="auto" w:fill="auto"/>
            <w:vAlign w:val="center"/>
          </w:tcPr>
          <w:p w14:paraId="05816B9F" w14:textId="77777777" w:rsidR="000E0FE8" w:rsidRPr="003B10E2" w:rsidRDefault="000E0FE8" w:rsidP="005D28E0">
            <w:pPr>
              <w:widowControl w:val="0"/>
              <w:jc w:val="center"/>
              <w:rPr>
                <w:rFonts w:ascii="Times New Roman" w:hAnsi="Times New Roman"/>
                <w:sz w:val="24"/>
                <w:szCs w:val="24"/>
                <w:lang w:val="en-US"/>
              </w:rPr>
            </w:pPr>
            <w:r w:rsidRPr="003B10E2">
              <w:rPr>
                <w:rFonts w:ascii="Times New Roman" w:hAnsi="Times New Roman"/>
                <w:sz w:val="24"/>
                <w:szCs w:val="24"/>
                <w:lang w:val="en-US"/>
              </w:rPr>
              <w:t>Ноябрь, 2021 (mbpd)</w:t>
            </w:r>
          </w:p>
        </w:tc>
      </w:tr>
      <w:tr w:rsidR="000E0FE8" w:rsidRPr="003B10E2" w14:paraId="18D77F1C" w14:textId="77777777" w:rsidTr="005D28E0">
        <w:trPr>
          <w:trHeight w:val="269"/>
          <w:jc w:val="center"/>
        </w:trPr>
        <w:tc>
          <w:tcPr>
            <w:tcW w:w="1301" w:type="dxa"/>
            <w:tcBorders>
              <w:top w:val="double" w:sz="4" w:space="0" w:color="000000"/>
              <w:left w:val="single" w:sz="4" w:space="0" w:color="000000"/>
              <w:bottom w:val="single" w:sz="4" w:space="0" w:color="000000"/>
              <w:right w:val="single" w:sz="4" w:space="0" w:color="000000"/>
            </w:tcBorders>
            <w:shd w:val="clear" w:color="auto" w:fill="auto"/>
            <w:vAlign w:val="bottom"/>
          </w:tcPr>
          <w:p w14:paraId="199BE5D5" w14:textId="77777777" w:rsidR="000E0FE8" w:rsidRPr="003B10E2" w:rsidRDefault="000E0FE8" w:rsidP="005D28E0">
            <w:pPr>
              <w:widowControl w:val="0"/>
              <w:rPr>
                <w:rFonts w:ascii="Times New Roman" w:hAnsi="Times New Roman"/>
                <w:sz w:val="24"/>
                <w:szCs w:val="24"/>
                <w:lang w:val="en-US"/>
              </w:rPr>
            </w:pPr>
            <w:r w:rsidRPr="003B10E2">
              <w:rPr>
                <w:rFonts w:ascii="Times New Roman" w:hAnsi="Times New Roman"/>
                <w:sz w:val="24"/>
                <w:szCs w:val="24"/>
                <w:lang w:val="en-US"/>
              </w:rPr>
              <w:t xml:space="preserve">1 </w:t>
            </w:r>
          </w:p>
        </w:tc>
        <w:tc>
          <w:tcPr>
            <w:tcW w:w="5073" w:type="dxa"/>
            <w:tcBorders>
              <w:top w:val="double" w:sz="4" w:space="0" w:color="000000"/>
              <w:left w:val="single" w:sz="4" w:space="0" w:color="000000"/>
              <w:bottom w:val="single" w:sz="4" w:space="0" w:color="000000"/>
              <w:right w:val="double" w:sz="4" w:space="0" w:color="000000"/>
            </w:tcBorders>
            <w:shd w:val="clear" w:color="auto" w:fill="auto"/>
          </w:tcPr>
          <w:p w14:paraId="0CCCD268" w14:textId="77777777" w:rsidR="000E0FE8" w:rsidRPr="003B10E2" w:rsidRDefault="000E0FE8" w:rsidP="005D28E0">
            <w:pPr>
              <w:widowControl w:val="0"/>
              <w:rPr>
                <w:rFonts w:ascii="Times New Roman" w:hAnsi="Times New Roman"/>
                <w:sz w:val="24"/>
                <w:szCs w:val="24"/>
                <w:lang w:val="en-US"/>
              </w:rPr>
            </w:pPr>
            <w:r w:rsidRPr="003B10E2">
              <w:rPr>
                <w:rFonts w:ascii="Times New Roman" w:hAnsi="Times New Roman"/>
                <w:sz w:val="24"/>
                <w:szCs w:val="24"/>
                <w:lang w:val="en-US"/>
              </w:rPr>
              <w:t>США (50 штатов)</w:t>
            </w:r>
          </w:p>
        </w:tc>
        <w:tc>
          <w:tcPr>
            <w:tcW w:w="2846" w:type="dxa"/>
            <w:tcBorders>
              <w:top w:val="double" w:sz="4" w:space="0" w:color="000000"/>
              <w:left w:val="double" w:sz="4" w:space="0" w:color="000000"/>
              <w:bottom w:val="single" w:sz="4" w:space="0" w:color="000000"/>
              <w:right w:val="single" w:sz="4" w:space="0" w:color="000000"/>
            </w:tcBorders>
            <w:shd w:val="clear" w:color="auto" w:fill="auto"/>
            <w:vAlign w:val="bottom"/>
          </w:tcPr>
          <w:p w14:paraId="28B091D6" w14:textId="77777777" w:rsidR="000E0FE8" w:rsidRPr="003B10E2" w:rsidRDefault="000E0FE8" w:rsidP="005D28E0">
            <w:pPr>
              <w:widowControl w:val="0"/>
              <w:jc w:val="center"/>
              <w:rPr>
                <w:rFonts w:ascii="Times New Roman" w:hAnsi="Times New Roman"/>
                <w:sz w:val="24"/>
                <w:szCs w:val="24"/>
                <w:lang w:val="en-US"/>
              </w:rPr>
            </w:pPr>
            <w:r w:rsidRPr="003B10E2">
              <w:rPr>
                <w:rFonts w:ascii="Times New Roman" w:hAnsi="Times New Roman"/>
                <w:sz w:val="24"/>
                <w:szCs w:val="24"/>
                <w:lang w:val="en-US"/>
              </w:rPr>
              <w:t>18.40</w:t>
            </w:r>
          </w:p>
        </w:tc>
      </w:tr>
      <w:tr w:rsidR="000E0FE8" w:rsidRPr="003B10E2" w14:paraId="2E3DC9E3" w14:textId="77777777" w:rsidTr="005D28E0">
        <w:trPr>
          <w:trHeight w:val="269"/>
          <w:jc w:val="center"/>
        </w:trPr>
        <w:tc>
          <w:tcPr>
            <w:tcW w:w="13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3409C6" w14:textId="77777777" w:rsidR="000E0FE8" w:rsidRPr="003B10E2" w:rsidRDefault="000E0FE8" w:rsidP="005D28E0">
            <w:pPr>
              <w:widowControl w:val="0"/>
              <w:rPr>
                <w:rFonts w:ascii="Times New Roman" w:hAnsi="Times New Roman"/>
                <w:sz w:val="24"/>
                <w:szCs w:val="24"/>
                <w:lang w:val="en-US"/>
              </w:rPr>
            </w:pPr>
            <w:r w:rsidRPr="003B10E2">
              <w:rPr>
                <w:rFonts w:ascii="Times New Roman" w:hAnsi="Times New Roman"/>
                <w:sz w:val="24"/>
                <w:szCs w:val="24"/>
                <w:lang w:val="en-US"/>
              </w:rPr>
              <w:t xml:space="preserve">2 </w:t>
            </w:r>
          </w:p>
        </w:tc>
        <w:tc>
          <w:tcPr>
            <w:tcW w:w="5073" w:type="dxa"/>
            <w:tcBorders>
              <w:top w:val="single" w:sz="4" w:space="0" w:color="000000"/>
              <w:left w:val="single" w:sz="4" w:space="0" w:color="000000"/>
              <w:bottom w:val="single" w:sz="4" w:space="0" w:color="000000"/>
              <w:right w:val="double" w:sz="4" w:space="0" w:color="000000"/>
            </w:tcBorders>
            <w:shd w:val="clear" w:color="auto" w:fill="auto"/>
          </w:tcPr>
          <w:p w14:paraId="4D67B809" w14:textId="77777777" w:rsidR="000E0FE8" w:rsidRPr="003B10E2" w:rsidRDefault="000E0FE8" w:rsidP="005D28E0">
            <w:pPr>
              <w:widowControl w:val="0"/>
              <w:rPr>
                <w:rFonts w:ascii="Times New Roman" w:hAnsi="Times New Roman"/>
                <w:sz w:val="24"/>
                <w:szCs w:val="24"/>
                <w:lang w:val="en-US"/>
              </w:rPr>
            </w:pPr>
            <w:r w:rsidRPr="003B10E2">
              <w:rPr>
                <w:rFonts w:ascii="Times New Roman" w:hAnsi="Times New Roman"/>
                <w:sz w:val="24"/>
                <w:szCs w:val="24"/>
                <w:lang w:val="en-US"/>
              </w:rPr>
              <w:t>Россия</w:t>
            </w:r>
          </w:p>
        </w:tc>
        <w:tc>
          <w:tcPr>
            <w:tcW w:w="2846" w:type="dxa"/>
            <w:tcBorders>
              <w:top w:val="single" w:sz="4" w:space="0" w:color="000000"/>
              <w:left w:val="double" w:sz="4" w:space="0" w:color="000000"/>
              <w:bottom w:val="single" w:sz="4" w:space="0" w:color="000000"/>
              <w:right w:val="single" w:sz="4" w:space="0" w:color="000000"/>
            </w:tcBorders>
            <w:shd w:val="clear" w:color="auto" w:fill="auto"/>
            <w:vAlign w:val="bottom"/>
          </w:tcPr>
          <w:p w14:paraId="1F0C1992" w14:textId="77777777" w:rsidR="000E0FE8" w:rsidRPr="003B10E2" w:rsidRDefault="000E0FE8" w:rsidP="005D28E0">
            <w:pPr>
              <w:widowControl w:val="0"/>
              <w:jc w:val="center"/>
              <w:rPr>
                <w:rFonts w:ascii="Times New Roman" w:hAnsi="Times New Roman"/>
                <w:sz w:val="24"/>
                <w:szCs w:val="24"/>
                <w:lang w:val="en-US"/>
              </w:rPr>
            </w:pPr>
            <w:r w:rsidRPr="003B10E2">
              <w:rPr>
                <w:rFonts w:ascii="Times New Roman" w:hAnsi="Times New Roman"/>
                <w:sz w:val="24"/>
                <w:szCs w:val="24"/>
                <w:lang w:val="en-US"/>
              </w:rPr>
              <w:t>10.24</w:t>
            </w:r>
          </w:p>
        </w:tc>
      </w:tr>
      <w:tr w:rsidR="000E0FE8" w:rsidRPr="003B10E2" w14:paraId="31CB3EDF" w14:textId="77777777" w:rsidTr="005D28E0">
        <w:trPr>
          <w:trHeight w:val="269"/>
          <w:jc w:val="center"/>
        </w:trPr>
        <w:tc>
          <w:tcPr>
            <w:tcW w:w="13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76C6C2" w14:textId="77777777" w:rsidR="000E0FE8" w:rsidRPr="003B10E2" w:rsidRDefault="000E0FE8" w:rsidP="005D28E0">
            <w:pPr>
              <w:widowControl w:val="0"/>
              <w:rPr>
                <w:rFonts w:ascii="Times New Roman" w:hAnsi="Times New Roman"/>
                <w:sz w:val="24"/>
                <w:szCs w:val="24"/>
                <w:lang w:val="en-US"/>
              </w:rPr>
            </w:pPr>
            <w:r w:rsidRPr="003B10E2">
              <w:rPr>
                <w:rFonts w:ascii="Times New Roman" w:hAnsi="Times New Roman"/>
                <w:sz w:val="24"/>
                <w:szCs w:val="24"/>
                <w:lang w:val="en-US"/>
              </w:rPr>
              <w:t xml:space="preserve">3 </w:t>
            </w:r>
          </w:p>
        </w:tc>
        <w:tc>
          <w:tcPr>
            <w:tcW w:w="5073" w:type="dxa"/>
            <w:tcBorders>
              <w:top w:val="single" w:sz="4" w:space="0" w:color="000000"/>
              <w:left w:val="single" w:sz="4" w:space="0" w:color="000000"/>
              <w:bottom w:val="single" w:sz="4" w:space="0" w:color="000000"/>
              <w:right w:val="single" w:sz="4" w:space="0" w:color="000000"/>
            </w:tcBorders>
            <w:shd w:val="clear" w:color="auto" w:fill="auto"/>
          </w:tcPr>
          <w:p w14:paraId="4EB3CA48" w14:textId="77777777" w:rsidR="000E0FE8" w:rsidRPr="003B10E2" w:rsidRDefault="000E0FE8" w:rsidP="005D28E0">
            <w:pPr>
              <w:widowControl w:val="0"/>
              <w:rPr>
                <w:rFonts w:ascii="Times New Roman" w:hAnsi="Times New Roman"/>
                <w:sz w:val="24"/>
                <w:szCs w:val="24"/>
                <w:lang w:val="en-US"/>
              </w:rPr>
            </w:pPr>
            <w:r w:rsidRPr="003B10E2">
              <w:rPr>
                <w:rFonts w:ascii="Times New Roman" w:hAnsi="Times New Roman"/>
                <w:sz w:val="24"/>
                <w:szCs w:val="24"/>
                <w:lang w:val="en-US"/>
              </w:rPr>
              <w:t>Канада</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6402C6" w14:textId="77777777" w:rsidR="000E0FE8" w:rsidRPr="003B10E2" w:rsidRDefault="000E0FE8" w:rsidP="005D28E0">
            <w:pPr>
              <w:widowControl w:val="0"/>
              <w:jc w:val="center"/>
              <w:rPr>
                <w:rFonts w:ascii="Times New Roman" w:hAnsi="Times New Roman"/>
                <w:sz w:val="24"/>
                <w:szCs w:val="24"/>
                <w:lang w:val="en-US"/>
              </w:rPr>
            </w:pPr>
            <w:r w:rsidRPr="003B10E2">
              <w:rPr>
                <w:rFonts w:ascii="Times New Roman" w:hAnsi="Times New Roman"/>
                <w:sz w:val="24"/>
                <w:szCs w:val="24"/>
                <w:lang w:val="en-US"/>
              </w:rPr>
              <w:t>5.46</w:t>
            </w:r>
          </w:p>
        </w:tc>
      </w:tr>
      <w:tr w:rsidR="000E0FE8" w:rsidRPr="003B10E2" w14:paraId="1181891B" w14:textId="77777777" w:rsidTr="005D28E0">
        <w:trPr>
          <w:trHeight w:val="269"/>
          <w:jc w:val="center"/>
        </w:trPr>
        <w:tc>
          <w:tcPr>
            <w:tcW w:w="13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37BBCA" w14:textId="77777777" w:rsidR="000E0FE8" w:rsidRPr="003B10E2" w:rsidRDefault="000E0FE8" w:rsidP="005D28E0">
            <w:pPr>
              <w:widowControl w:val="0"/>
              <w:rPr>
                <w:rFonts w:ascii="Times New Roman" w:hAnsi="Times New Roman"/>
                <w:sz w:val="24"/>
                <w:szCs w:val="24"/>
                <w:lang w:val="en-US"/>
              </w:rPr>
            </w:pPr>
            <w:r w:rsidRPr="003B10E2">
              <w:rPr>
                <w:rFonts w:ascii="Times New Roman" w:hAnsi="Times New Roman"/>
                <w:sz w:val="24"/>
                <w:szCs w:val="24"/>
                <w:lang w:val="en-US"/>
              </w:rPr>
              <w:t xml:space="preserve">4 </w:t>
            </w:r>
          </w:p>
        </w:tc>
        <w:tc>
          <w:tcPr>
            <w:tcW w:w="5073" w:type="dxa"/>
            <w:tcBorders>
              <w:top w:val="single" w:sz="4" w:space="0" w:color="000000"/>
              <w:left w:val="single" w:sz="4" w:space="0" w:color="000000"/>
              <w:bottom w:val="single" w:sz="4" w:space="0" w:color="000000"/>
              <w:right w:val="single" w:sz="4" w:space="0" w:color="000000"/>
            </w:tcBorders>
            <w:shd w:val="clear" w:color="auto" w:fill="auto"/>
          </w:tcPr>
          <w:p w14:paraId="3E2C18DD" w14:textId="77777777" w:rsidR="000E0FE8" w:rsidRPr="003B10E2" w:rsidRDefault="000E0FE8" w:rsidP="005D28E0">
            <w:pPr>
              <w:widowControl w:val="0"/>
              <w:rPr>
                <w:rFonts w:ascii="Times New Roman" w:hAnsi="Times New Roman"/>
                <w:sz w:val="24"/>
                <w:szCs w:val="24"/>
                <w:lang w:val="en-US"/>
              </w:rPr>
            </w:pPr>
            <w:r w:rsidRPr="003B10E2">
              <w:rPr>
                <w:rFonts w:ascii="Times New Roman" w:hAnsi="Times New Roman"/>
                <w:sz w:val="24"/>
                <w:szCs w:val="24"/>
                <w:lang w:val="en-US"/>
              </w:rPr>
              <w:t>Китай</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C2A004" w14:textId="77777777" w:rsidR="000E0FE8" w:rsidRPr="003B10E2" w:rsidRDefault="000E0FE8" w:rsidP="005D28E0">
            <w:pPr>
              <w:widowControl w:val="0"/>
              <w:jc w:val="center"/>
              <w:rPr>
                <w:rFonts w:ascii="Times New Roman" w:hAnsi="Times New Roman"/>
                <w:sz w:val="24"/>
                <w:szCs w:val="24"/>
                <w:lang w:val="en-US"/>
              </w:rPr>
            </w:pPr>
            <w:r w:rsidRPr="003B10E2">
              <w:rPr>
                <w:rFonts w:ascii="Times New Roman" w:hAnsi="Times New Roman"/>
                <w:sz w:val="24"/>
                <w:szCs w:val="24"/>
                <w:lang w:val="en-US"/>
              </w:rPr>
              <w:t>5.00</w:t>
            </w:r>
          </w:p>
        </w:tc>
      </w:tr>
      <w:tr w:rsidR="000E0FE8" w:rsidRPr="003B10E2" w14:paraId="1ECE51BF" w14:textId="77777777" w:rsidTr="005D28E0">
        <w:trPr>
          <w:trHeight w:val="269"/>
          <w:jc w:val="center"/>
        </w:trPr>
        <w:tc>
          <w:tcPr>
            <w:tcW w:w="13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758782" w14:textId="77777777" w:rsidR="000E0FE8" w:rsidRPr="003B10E2" w:rsidRDefault="000E0FE8" w:rsidP="005D28E0">
            <w:pPr>
              <w:widowControl w:val="0"/>
              <w:rPr>
                <w:rFonts w:ascii="Times New Roman" w:hAnsi="Times New Roman"/>
                <w:sz w:val="24"/>
                <w:szCs w:val="24"/>
                <w:lang w:val="en-US"/>
              </w:rPr>
            </w:pPr>
            <w:r w:rsidRPr="003B10E2">
              <w:rPr>
                <w:rFonts w:ascii="Times New Roman" w:hAnsi="Times New Roman"/>
                <w:sz w:val="24"/>
                <w:szCs w:val="24"/>
                <w:lang w:val="en-US"/>
              </w:rPr>
              <w:t xml:space="preserve">5 </w:t>
            </w:r>
          </w:p>
        </w:tc>
        <w:tc>
          <w:tcPr>
            <w:tcW w:w="5073" w:type="dxa"/>
            <w:tcBorders>
              <w:top w:val="single" w:sz="4" w:space="0" w:color="000000"/>
              <w:left w:val="single" w:sz="4" w:space="0" w:color="000000"/>
              <w:bottom w:val="single" w:sz="4" w:space="0" w:color="000000"/>
              <w:right w:val="single" w:sz="4" w:space="0" w:color="000000"/>
            </w:tcBorders>
            <w:shd w:val="clear" w:color="auto" w:fill="auto"/>
          </w:tcPr>
          <w:p w14:paraId="04DC50A2" w14:textId="77777777" w:rsidR="000E0FE8" w:rsidRPr="003B10E2" w:rsidRDefault="000E0FE8" w:rsidP="005D28E0">
            <w:pPr>
              <w:widowControl w:val="0"/>
              <w:rPr>
                <w:rFonts w:ascii="Times New Roman" w:hAnsi="Times New Roman"/>
                <w:sz w:val="24"/>
                <w:szCs w:val="24"/>
                <w:lang w:val="en-US"/>
              </w:rPr>
            </w:pPr>
            <w:r w:rsidRPr="003B10E2">
              <w:rPr>
                <w:rFonts w:ascii="Times New Roman" w:hAnsi="Times New Roman"/>
                <w:sz w:val="24"/>
                <w:szCs w:val="24"/>
                <w:lang w:val="en-US"/>
              </w:rPr>
              <w:t>Бразилия</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0E187E" w14:textId="77777777" w:rsidR="000E0FE8" w:rsidRPr="003B10E2" w:rsidRDefault="000E0FE8" w:rsidP="005D28E0">
            <w:pPr>
              <w:widowControl w:val="0"/>
              <w:jc w:val="center"/>
              <w:rPr>
                <w:rFonts w:ascii="Times New Roman" w:hAnsi="Times New Roman"/>
                <w:sz w:val="24"/>
                <w:szCs w:val="24"/>
                <w:lang w:val="en-US"/>
              </w:rPr>
            </w:pPr>
            <w:r w:rsidRPr="003B10E2">
              <w:rPr>
                <w:rFonts w:ascii="Times New Roman" w:hAnsi="Times New Roman"/>
                <w:sz w:val="24"/>
                <w:szCs w:val="24"/>
                <w:lang w:val="en-US"/>
              </w:rPr>
              <w:t>3.93</w:t>
            </w:r>
          </w:p>
        </w:tc>
      </w:tr>
      <w:tr w:rsidR="000E0FE8" w:rsidRPr="003B10E2" w14:paraId="1D8B79F6" w14:textId="77777777" w:rsidTr="005D28E0">
        <w:trPr>
          <w:trHeight w:val="269"/>
          <w:jc w:val="center"/>
        </w:trPr>
        <w:tc>
          <w:tcPr>
            <w:tcW w:w="13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22DA29" w14:textId="77777777" w:rsidR="000E0FE8" w:rsidRPr="003B10E2" w:rsidRDefault="000E0FE8" w:rsidP="005D28E0">
            <w:pPr>
              <w:widowControl w:val="0"/>
              <w:rPr>
                <w:rFonts w:ascii="Times New Roman" w:hAnsi="Times New Roman"/>
                <w:sz w:val="24"/>
                <w:szCs w:val="24"/>
                <w:lang w:val="en-US"/>
              </w:rPr>
            </w:pPr>
          </w:p>
        </w:tc>
        <w:tc>
          <w:tcPr>
            <w:tcW w:w="5073" w:type="dxa"/>
            <w:tcBorders>
              <w:top w:val="single" w:sz="4" w:space="0" w:color="000000"/>
              <w:left w:val="single" w:sz="4" w:space="0" w:color="000000"/>
              <w:bottom w:val="single" w:sz="4" w:space="0" w:color="000000"/>
              <w:right w:val="single" w:sz="4" w:space="0" w:color="000000"/>
            </w:tcBorders>
            <w:shd w:val="clear" w:color="auto" w:fill="auto"/>
          </w:tcPr>
          <w:p w14:paraId="10184591" w14:textId="77777777" w:rsidR="000E0FE8" w:rsidRPr="003B10E2" w:rsidRDefault="000E0FE8" w:rsidP="005D28E0">
            <w:pPr>
              <w:widowControl w:val="0"/>
              <w:rPr>
                <w:rFonts w:ascii="Times New Roman" w:hAnsi="Times New Roman"/>
                <w:sz w:val="24"/>
                <w:szCs w:val="24"/>
              </w:rPr>
            </w:pPr>
            <w:r w:rsidRPr="003B10E2">
              <w:rPr>
                <w:rFonts w:ascii="Times New Roman" w:hAnsi="Times New Roman"/>
                <w:sz w:val="24"/>
                <w:szCs w:val="24"/>
              </w:rPr>
              <w:t>Всего Топ-5 стран, не входящих в ОПЕК по добыче</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318A18" w14:textId="77777777" w:rsidR="000E0FE8" w:rsidRPr="003B10E2" w:rsidRDefault="000E0FE8" w:rsidP="005D28E0">
            <w:pPr>
              <w:widowControl w:val="0"/>
              <w:jc w:val="center"/>
              <w:rPr>
                <w:rFonts w:ascii="Times New Roman" w:hAnsi="Times New Roman"/>
                <w:sz w:val="24"/>
                <w:szCs w:val="24"/>
                <w:lang w:val="en-US"/>
              </w:rPr>
            </w:pPr>
            <w:r w:rsidRPr="003B10E2">
              <w:rPr>
                <w:rFonts w:ascii="Times New Roman" w:hAnsi="Times New Roman"/>
                <w:sz w:val="24"/>
                <w:szCs w:val="24"/>
                <w:lang w:val="en-US"/>
              </w:rPr>
              <w:t>43.03</w:t>
            </w:r>
          </w:p>
        </w:tc>
      </w:tr>
      <w:tr w:rsidR="000E0FE8" w:rsidRPr="003B10E2" w14:paraId="78637873" w14:textId="77777777" w:rsidTr="005D28E0">
        <w:trPr>
          <w:trHeight w:val="269"/>
          <w:jc w:val="center"/>
        </w:trPr>
        <w:tc>
          <w:tcPr>
            <w:tcW w:w="13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D29189" w14:textId="77777777" w:rsidR="000E0FE8" w:rsidRPr="003B10E2" w:rsidRDefault="000E0FE8" w:rsidP="005D28E0">
            <w:pPr>
              <w:widowControl w:val="0"/>
              <w:spacing w:after="0" w:line="240" w:lineRule="auto"/>
              <w:jc w:val="right"/>
              <w:rPr>
                <w:rFonts w:ascii="Times New Roman" w:hAnsi="Times New Roman"/>
                <w:sz w:val="24"/>
                <w:szCs w:val="24"/>
                <w:lang w:val="en-US"/>
              </w:rPr>
            </w:pPr>
            <w:r w:rsidRPr="003B10E2">
              <w:rPr>
                <w:rFonts w:ascii="Times New Roman" w:hAnsi="Times New Roman"/>
                <w:sz w:val="24"/>
                <w:szCs w:val="24"/>
                <w:lang w:val="en-US"/>
              </w:rPr>
              <w:t> </w:t>
            </w:r>
          </w:p>
        </w:tc>
        <w:tc>
          <w:tcPr>
            <w:tcW w:w="5073" w:type="dxa"/>
            <w:tcBorders>
              <w:top w:val="single" w:sz="4" w:space="0" w:color="000000"/>
              <w:left w:val="single" w:sz="4" w:space="0" w:color="000000"/>
              <w:bottom w:val="single" w:sz="4" w:space="0" w:color="000000"/>
              <w:right w:val="single" w:sz="4" w:space="0" w:color="000000"/>
            </w:tcBorders>
            <w:shd w:val="clear" w:color="auto" w:fill="auto"/>
          </w:tcPr>
          <w:p w14:paraId="4B25ECF7" w14:textId="77777777" w:rsidR="000E0FE8" w:rsidRPr="003B10E2" w:rsidRDefault="000E0FE8" w:rsidP="005D28E0">
            <w:pPr>
              <w:widowControl w:val="0"/>
              <w:rPr>
                <w:rFonts w:ascii="Times New Roman" w:hAnsi="Times New Roman"/>
                <w:sz w:val="24"/>
                <w:szCs w:val="24"/>
              </w:rPr>
            </w:pPr>
            <w:r w:rsidRPr="003B10E2">
              <w:rPr>
                <w:rFonts w:ascii="Times New Roman" w:hAnsi="Times New Roman"/>
                <w:sz w:val="24"/>
                <w:szCs w:val="24"/>
              </w:rPr>
              <w:t>Общая добыча стран, не входящих в ОПЕК</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00A26A" w14:textId="77777777" w:rsidR="000E0FE8" w:rsidRPr="003B10E2" w:rsidRDefault="000E0FE8" w:rsidP="005D28E0">
            <w:pPr>
              <w:widowControl w:val="0"/>
              <w:jc w:val="center"/>
              <w:rPr>
                <w:rFonts w:ascii="Times New Roman" w:hAnsi="Times New Roman"/>
                <w:sz w:val="24"/>
                <w:szCs w:val="24"/>
                <w:lang w:val="en-US"/>
              </w:rPr>
            </w:pPr>
            <w:r w:rsidRPr="003B10E2">
              <w:rPr>
                <w:rFonts w:ascii="Times New Roman" w:hAnsi="Times New Roman"/>
                <w:sz w:val="24"/>
                <w:szCs w:val="24"/>
                <w:lang w:val="en-US"/>
              </w:rPr>
              <w:t>63.47</w:t>
            </w:r>
          </w:p>
        </w:tc>
      </w:tr>
    </w:tbl>
    <w:p w14:paraId="1B10B99C" w14:textId="77777777" w:rsidR="000E0FE8" w:rsidRPr="003B10E2" w:rsidRDefault="000E0FE8" w:rsidP="000E0FE8">
      <w:pPr>
        <w:spacing w:after="0" w:line="360" w:lineRule="auto"/>
        <w:jc w:val="both"/>
        <w:rPr>
          <w:rFonts w:ascii="Times New Roman" w:hAnsi="Times New Roman"/>
          <w:color w:val="000000"/>
          <w:sz w:val="28"/>
          <w:szCs w:val="28"/>
        </w:rPr>
      </w:pPr>
      <w:r w:rsidRPr="003B10E2">
        <w:rPr>
          <w:rFonts w:ascii="Times New Roman" w:hAnsi="Times New Roman"/>
          <w:color w:val="000000"/>
          <w:sz w:val="24"/>
          <w:szCs w:val="24"/>
        </w:rPr>
        <w:t>Источник: Расчеты автора, Thomson Reuters.</w:t>
      </w:r>
    </w:p>
    <w:p w14:paraId="6BAD4373" w14:textId="77777777" w:rsidR="000E0FE8" w:rsidRPr="003B10E2" w:rsidRDefault="000E0FE8" w:rsidP="000E0FE8">
      <w:pPr>
        <w:spacing w:after="0" w:line="360" w:lineRule="auto"/>
        <w:jc w:val="both"/>
        <w:rPr>
          <w:rFonts w:ascii="Times New Roman" w:hAnsi="Times New Roman"/>
          <w:color w:val="000000"/>
          <w:sz w:val="28"/>
          <w:szCs w:val="28"/>
        </w:rPr>
      </w:pPr>
    </w:p>
    <w:p w14:paraId="7101924D"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таблице </w:t>
      </w:r>
      <w:r w:rsidR="00683F14" w:rsidRPr="003B10E2">
        <w:rPr>
          <w:rFonts w:ascii="Times New Roman" w:hAnsi="Times New Roman"/>
          <w:color w:val="000000"/>
          <w:sz w:val="28"/>
          <w:szCs w:val="28"/>
        </w:rPr>
        <w:t>2</w:t>
      </w:r>
      <w:r w:rsidRPr="003B10E2">
        <w:rPr>
          <w:rFonts w:ascii="Times New Roman" w:hAnsi="Times New Roman"/>
          <w:color w:val="000000"/>
          <w:sz w:val="28"/>
          <w:szCs w:val="28"/>
        </w:rPr>
        <w:t xml:space="preserve"> представлены ведущие страны-производители нефти. Большинство стран ОПЕК не имеет свободно плавающей национальной валюты (риал Саудовской Аравии, иракский динар, дирхам ОАЭ, кувейтский динар, иранский динар). Эти валюты привязаны к доллару США. </w:t>
      </w:r>
    </w:p>
    <w:p w14:paraId="64569A2B" w14:textId="77777777" w:rsidR="000E0FE8" w:rsidRPr="003B10E2" w:rsidRDefault="000E0FE8" w:rsidP="00B13660">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этом параграфе используется несколько методов анализа корреляции и регрессии с целью исследования побочного эффекта между ценами на нефть и курсами национальных валют (российский рубль, евро/доллар, канадский доллар, китайский юань, бразильский реал, нигерийская найра, алжирский динар). </w:t>
      </w:r>
    </w:p>
    <w:p w14:paraId="696549BF" w14:textId="77777777" w:rsidR="000E0FE8" w:rsidRPr="003B10E2" w:rsidRDefault="000E0FE8" w:rsidP="00683F14">
      <w:pPr>
        <w:spacing w:after="0" w:line="360" w:lineRule="auto"/>
        <w:ind w:firstLine="851"/>
        <w:jc w:val="both"/>
        <w:rPr>
          <w:rFonts w:ascii="Times New Roman" w:hAnsi="Times New Roman"/>
          <w:bCs/>
          <w:color w:val="000000"/>
          <w:sz w:val="28"/>
          <w:szCs w:val="28"/>
        </w:rPr>
      </w:pPr>
      <w:r w:rsidRPr="003B10E2">
        <w:rPr>
          <w:rFonts w:ascii="Times New Roman" w:hAnsi="Times New Roman"/>
          <w:bCs/>
          <w:color w:val="000000"/>
          <w:sz w:val="28"/>
          <w:szCs w:val="28"/>
        </w:rPr>
        <w:t>Анализ взаимосвязи шоков цен на нефть марки Brent и курсов национальных валют нефтедобывающих стран.</w:t>
      </w:r>
      <w:r w:rsidR="00683F14" w:rsidRPr="003B10E2">
        <w:rPr>
          <w:rFonts w:ascii="Times New Roman" w:hAnsi="Times New Roman"/>
          <w:bCs/>
          <w:color w:val="000000"/>
          <w:sz w:val="28"/>
          <w:szCs w:val="28"/>
        </w:rPr>
        <w:t xml:space="preserve"> </w:t>
      </w:r>
      <w:r w:rsidRPr="003B10E2">
        <w:rPr>
          <w:rFonts w:ascii="Times New Roman" w:hAnsi="Times New Roman"/>
          <w:color w:val="000000"/>
          <w:sz w:val="28"/>
          <w:szCs w:val="28"/>
        </w:rPr>
        <w:t xml:space="preserve">Модель включает анализ ежедневной доходности между ценами на нефть и колебаниями курсов национальной валюты к доллару США за период 2001-2021 гг. на дневном таймфрейме. Период данных показывает тенденцию до мирового кризиса 2008 г. (рисунки </w:t>
      </w:r>
      <w:r w:rsidR="00683F14" w:rsidRPr="003B10E2">
        <w:rPr>
          <w:rFonts w:ascii="Times New Roman" w:hAnsi="Times New Roman"/>
          <w:color w:val="000000"/>
          <w:sz w:val="28"/>
          <w:szCs w:val="28"/>
        </w:rPr>
        <w:t>9</w:t>
      </w:r>
      <w:r w:rsidRPr="003B10E2">
        <w:rPr>
          <w:rFonts w:ascii="Times New Roman" w:hAnsi="Times New Roman"/>
          <w:color w:val="000000"/>
          <w:sz w:val="28"/>
          <w:szCs w:val="28"/>
        </w:rPr>
        <w:t>-</w:t>
      </w:r>
      <w:r w:rsidR="00683F14" w:rsidRPr="003B10E2">
        <w:rPr>
          <w:rFonts w:ascii="Times New Roman" w:hAnsi="Times New Roman"/>
          <w:color w:val="000000"/>
          <w:sz w:val="28"/>
          <w:szCs w:val="28"/>
        </w:rPr>
        <w:t>17</w:t>
      </w:r>
      <w:r w:rsidRPr="003B10E2">
        <w:rPr>
          <w:rFonts w:ascii="Times New Roman" w:hAnsi="Times New Roman"/>
          <w:color w:val="000000"/>
          <w:sz w:val="28"/>
          <w:szCs w:val="28"/>
        </w:rPr>
        <w:t>).</w:t>
      </w:r>
    </w:p>
    <w:p w14:paraId="6DCB1454" w14:textId="77777777" w:rsidR="000E0FE8" w:rsidRPr="003B10E2" w:rsidRDefault="000E0FE8" w:rsidP="000E0FE8">
      <w:pPr>
        <w:spacing w:line="240" w:lineRule="auto"/>
        <w:jc w:val="both"/>
        <w:rPr>
          <w:rFonts w:ascii="Times New Roman" w:hAnsi="Times New Roman"/>
          <w:sz w:val="24"/>
          <w:szCs w:val="24"/>
        </w:rPr>
      </w:pPr>
    </w:p>
    <w:p w14:paraId="22D7C298" w14:textId="77777777" w:rsidR="000E0FE8" w:rsidRPr="003B10E2" w:rsidRDefault="00C72198" w:rsidP="000E0FE8">
      <w:pPr>
        <w:spacing w:after="0" w:line="360" w:lineRule="auto"/>
        <w:jc w:val="center"/>
        <w:rPr>
          <w:rFonts w:ascii="Times New Roman" w:hAnsi="Times New Roman"/>
          <w:color w:val="000000"/>
          <w:sz w:val="24"/>
          <w:szCs w:val="24"/>
        </w:rPr>
      </w:pPr>
      <w:r w:rsidRPr="003B10E2">
        <w:rPr>
          <w:noProof/>
        </w:rPr>
        <w:drawing>
          <wp:inline distT="0" distB="0" distL="0" distR="0" wp14:anchorId="1404A171" wp14:editId="10B22539">
            <wp:extent cx="5946140" cy="1896110"/>
            <wp:effectExtent l="0" t="0" r="0" b="0"/>
            <wp:docPr id="15" name="Рисунок 44" descr="C:\Users\AYUMihajlov\Pictures\Диссер\1.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4" descr="C:\Users\AYUMihajlov\Pictures\Диссер\1.bmp"/>
                    <pic:cNvPicPr>
                      <a:picLocks/>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5946140" cy="1896110"/>
                    </a:xfrm>
                    <a:prstGeom prst="rect">
                      <a:avLst/>
                    </a:prstGeom>
                    <a:noFill/>
                    <a:ln>
                      <a:noFill/>
                    </a:ln>
                  </pic:spPr>
                </pic:pic>
              </a:graphicData>
            </a:graphic>
          </wp:inline>
        </w:drawing>
      </w:r>
    </w:p>
    <w:p w14:paraId="4A51003C" w14:textId="77777777"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Источник: </w:t>
      </w:r>
      <w:r w:rsidRPr="003B10E2">
        <w:rPr>
          <w:rFonts w:ascii="Times New Roman" w:hAnsi="Times New Roman"/>
          <w:color w:val="000000"/>
          <w:sz w:val="24"/>
          <w:szCs w:val="24"/>
          <w:lang w:val="en-GB"/>
        </w:rPr>
        <w:t>Thomson</w:t>
      </w:r>
      <w:r w:rsidRPr="003B10E2">
        <w:rPr>
          <w:rFonts w:ascii="Times New Roman" w:hAnsi="Times New Roman"/>
          <w:color w:val="000000"/>
          <w:sz w:val="24"/>
          <w:szCs w:val="24"/>
        </w:rPr>
        <w:t xml:space="preserve"> </w:t>
      </w:r>
      <w:r w:rsidRPr="003B10E2">
        <w:rPr>
          <w:rFonts w:ascii="Times New Roman" w:hAnsi="Times New Roman"/>
          <w:color w:val="000000"/>
          <w:sz w:val="24"/>
          <w:szCs w:val="24"/>
          <w:lang w:val="en-GB"/>
        </w:rPr>
        <w:t>Reuters</w:t>
      </w:r>
      <w:r w:rsidRPr="003B10E2">
        <w:rPr>
          <w:rFonts w:ascii="Times New Roman" w:hAnsi="Times New Roman"/>
          <w:color w:val="000000"/>
          <w:sz w:val="24"/>
          <w:szCs w:val="24"/>
        </w:rPr>
        <w:t>.</w:t>
      </w:r>
    </w:p>
    <w:p w14:paraId="2082CE6C" w14:textId="77777777"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683F14" w:rsidRPr="003B10E2">
        <w:rPr>
          <w:rFonts w:ascii="Times New Roman" w:hAnsi="Times New Roman"/>
          <w:color w:val="000000"/>
          <w:sz w:val="24"/>
          <w:szCs w:val="24"/>
        </w:rPr>
        <w:t>9</w:t>
      </w:r>
      <w:r w:rsidRPr="003B10E2">
        <w:rPr>
          <w:rFonts w:ascii="Times New Roman" w:hAnsi="Times New Roman"/>
          <w:color w:val="000000"/>
          <w:sz w:val="24"/>
          <w:szCs w:val="24"/>
        </w:rPr>
        <w:t xml:space="preserve"> – Ежедневный прирост цен на нефть марки </w:t>
      </w:r>
      <w:r w:rsidRPr="003B10E2">
        <w:rPr>
          <w:rFonts w:ascii="Times New Roman" w:hAnsi="Times New Roman"/>
          <w:color w:val="000000"/>
          <w:sz w:val="24"/>
          <w:szCs w:val="24"/>
          <w:lang w:val="en-US"/>
        </w:rPr>
        <w:t>Brent</w:t>
      </w:r>
      <w:r w:rsidRPr="003B10E2">
        <w:rPr>
          <w:rFonts w:ascii="Times New Roman" w:hAnsi="Times New Roman"/>
          <w:color w:val="000000"/>
          <w:sz w:val="24"/>
          <w:szCs w:val="24"/>
        </w:rPr>
        <w:t xml:space="preserve"> (2001-2021 гг.): периоды кризисов 2007-2008 гг., 2015-2016 гг. и 2020-2021 гг. выделены линиями, %</w:t>
      </w:r>
    </w:p>
    <w:p w14:paraId="5535C9CB" w14:textId="77777777" w:rsidR="000E0FE8" w:rsidRPr="003B10E2" w:rsidRDefault="000E0FE8" w:rsidP="000E0FE8">
      <w:pPr>
        <w:spacing w:line="240" w:lineRule="auto"/>
        <w:jc w:val="both"/>
        <w:rPr>
          <w:rFonts w:ascii="Times New Roman" w:hAnsi="Times New Roman"/>
          <w:sz w:val="24"/>
          <w:szCs w:val="24"/>
        </w:rPr>
      </w:pPr>
    </w:p>
    <w:p w14:paraId="0B8B524E" w14:textId="77777777" w:rsidR="000E0FE8" w:rsidRPr="003B10E2" w:rsidRDefault="00C72198" w:rsidP="000E0FE8">
      <w:pPr>
        <w:spacing w:after="0" w:line="360" w:lineRule="auto"/>
        <w:jc w:val="center"/>
        <w:rPr>
          <w:rFonts w:ascii="Times New Roman" w:hAnsi="Times New Roman"/>
          <w:color w:val="000000"/>
          <w:sz w:val="24"/>
          <w:szCs w:val="24"/>
        </w:rPr>
      </w:pPr>
      <w:r w:rsidRPr="003B10E2">
        <w:rPr>
          <w:noProof/>
        </w:rPr>
        <w:drawing>
          <wp:inline distT="0" distB="0" distL="0" distR="0" wp14:anchorId="1D4AC5E3" wp14:editId="5896688F">
            <wp:extent cx="5890260" cy="2153920"/>
            <wp:effectExtent l="0" t="0" r="0" b="0"/>
            <wp:docPr id="16" name="Рисунок 45" descr="C:\Users\AYUMihajlov\Pictures\Диссер\2.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5" descr="C:\Users\AYUMihajlov\Pictures\Диссер\2.bmp"/>
                    <pic:cNvPicPr>
                      <a:picLocks/>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5890260" cy="2153920"/>
                    </a:xfrm>
                    <a:prstGeom prst="rect">
                      <a:avLst/>
                    </a:prstGeom>
                    <a:noFill/>
                    <a:ln>
                      <a:noFill/>
                    </a:ln>
                  </pic:spPr>
                </pic:pic>
              </a:graphicData>
            </a:graphic>
          </wp:inline>
        </w:drawing>
      </w:r>
    </w:p>
    <w:p w14:paraId="7AE140D7" w14:textId="77777777"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Источник: </w:t>
      </w:r>
      <w:r w:rsidRPr="003B10E2">
        <w:rPr>
          <w:rFonts w:ascii="Times New Roman" w:hAnsi="Times New Roman"/>
          <w:color w:val="000000"/>
          <w:sz w:val="24"/>
          <w:szCs w:val="24"/>
          <w:lang w:val="en-GB"/>
        </w:rPr>
        <w:t>Thomson</w:t>
      </w:r>
      <w:r w:rsidRPr="003B10E2">
        <w:rPr>
          <w:rFonts w:ascii="Times New Roman" w:hAnsi="Times New Roman"/>
          <w:color w:val="000000"/>
          <w:sz w:val="24"/>
          <w:szCs w:val="24"/>
        </w:rPr>
        <w:t xml:space="preserve"> </w:t>
      </w:r>
      <w:r w:rsidRPr="003B10E2">
        <w:rPr>
          <w:rFonts w:ascii="Times New Roman" w:hAnsi="Times New Roman"/>
          <w:color w:val="000000"/>
          <w:sz w:val="24"/>
          <w:szCs w:val="24"/>
          <w:lang w:val="en-GB"/>
        </w:rPr>
        <w:t>Reuters</w:t>
      </w:r>
      <w:r w:rsidRPr="003B10E2">
        <w:rPr>
          <w:rFonts w:ascii="Times New Roman" w:hAnsi="Times New Roman"/>
          <w:color w:val="000000"/>
          <w:sz w:val="24"/>
          <w:szCs w:val="24"/>
        </w:rPr>
        <w:t>.</w:t>
      </w:r>
    </w:p>
    <w:p w14:paraId="2E817563" w14:textId="77777777"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683F14" w:rsidRPr="003B10E2">
        <w:rPr>
          <w:rFonts w:ascii="Times New Roman" w:hAnsi="Times New Roman"/>
          <w:color w:val="000000"/>
          <w:sz w:val="24"/>
          <w:szCs w:val="24"/>
        </w:rPr>
        <w:t>10</w:t>
      </w:r>
      <w:r w:rsidRPr="003B10E2">
        <w:rPr>
          <w:rFonts w:ascii="Times New Roman" w:hAnsi="Times New Roman"/>
          <w:color w:val="000000"/>
          <w:sz w:val="24"/>
          <w:szCs w:val="24"/>
        </w:rPr>
        <w:t xml:space="preserve"> – Ежедневный прирост курса доллара США в рублях (2001-2021 гг.), %</w:t>
      </w:r>
    </w:p>
    <w:p w14:paraId="3781256A" w14:textId="77777777" w:rsidR="000E0FE8" w:rsidRPr="003B10E2" w:rsidRDefault="000E0FE8" w:rsidP="000E0FE8">
      <w:pPr>
        <w:spacing w:after="0" w:line="240" w:lineRule="auto"/>
        <w:jc w:val="center"/>
        <w:rPr>
          <w:rFonts w:ascii="Times New Roman" w:hAnsi="Times New Roman"/>
          <w:color w:val="000000"/>
          <w:sz w:val="24"/>
          <w:szCs w:val="24"/>
        </w:rPr>
      </w:pPr>
    </w:p>
    <w:p w14:paraId="7085342A" w14:textId="77777777" w:rsidR="000E0FE8" w:rsidRPr="003B10E2" w:rsidRDefault="00C72198" w:rsidP="000E0FE8">
      <w:pPr>
        <w:spacing w:line="240" w:lineRule="auto"/>
        <w:jc w:val="both"/>
        <w:rPr>
          <w:rFonts w:ascii="Times New Roman" w:hAnsi="Times New Roman"/>
          <w:sz w:val="24"/>
          <w:szCs w:val="24"/>
        </w:rPr>
      </w:pPr>
      <w:r w:rsidRPr="003B10E2">
        <w:rPr>
          <w:noProof/>
        </w:rPr>
        <w:drawing>
          <wp:inline distT="0" distB="0" distL="0" distR="0" wp14:anchorId="1D3620A6" wp14:editId="408F4CF5">
            <wp:extent cx="5918200" cy="2098040"/>
            <wp:effectExtent l="0" t="0" r="0" b="0"/>
            <wp:docPr id="17" name="Рисунок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9"/>
                    <pic:cNvPicPr>
                      <a:picLocks/>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5918200" cy="2098040"/>
                    </a:xfrm>
                    <a:prstGeom prst="rect">
                      <a:avLst/>
                    </a:prstGeom>
                    <a:noFill/>
                    <a:ln>
                      <a:noFill/>
                    </a:ln>
                  </pic:spPr>
                </pic:pic>
              </a:graphicData>
            </a:graphic>
          </wp:inline>
        </w:drawing>
      </w:r>
    </w:p>
    <w:p w14:paraId="412F153C" w14:textId="77777777"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Источник: </w:t>
      </w:r>
      <w:r w:rsidRPr="003B10E2">
        <w:rPr>
          <w:rFonts w:ascii="Times New Roman" w:hAnsi="Times New Roman"/>
          <w:color w:val="000000"/>
          <w:sz w:val="24"/>
          <w:szCs w:val="24"/>
          <w:lang w:val="en-GB"/>
        </w:rPr>
        <w:t>Thomson</w:t>
      </w:r>
      <w:r w:rsidRPr="003B10E2">
        <w:rPr>
          <w:rFonts w:ascii="Times New Roman" w:hAnsi="Times New Roman"/>
          <w:color w:val="000000"/>
          <w:sz w:val="24"/>
          <w:szCs w:val="24"/>
        </w:rPr>
        <w:t xml:space="preserve"> </w:t>
      </w:r>
      <w:r w:rsidRPr="003B10E2">
        <w:rPr>
          <w:rFonts w:ascii="Times New Roman" w:hAnsi="Times New Roman"/>
          <w:color w:val="000000"/>
          <w:sz w:val="24"/>
          <w:szCs w:val="24"/>
          <w:lang w:val="en-GB"/>
        </w:rPr>
        <w:t>Reuters</w:t>
      </w:r>
      <w:r w:rsidRPr="003B10E2">
        <w:rPr>
          <w:rFonts w:ascii="Times New Roman" w:hAnsi="Times New Roman"/>
          <w:color w:val="000000"/>
          <w:sz w:val="24"/>
          <w:szCs w:val="24"/>
        </w:rPr>
        <w:t>.</w:t>
      </w:r>
    </w:p>
    <w:p w14:paraId="464E80E1" w14:textId="77777777"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683F14" w:rsidRPr="003B10E2">
        <w:rPr>
          <w:rFonts w:ascii="Times New Roman" w:hAnsi="Times New Roman"/>
          <w:color w:val="000000"/>
          <w:sz w:val="24"/>
          <w:szCs w:val="24"/>
        </w:rPr>
        <w:t>11</w:t>
      </w:r>
      <w:r w:rsidRPr="003B10E2">
        <w:rPr>
          <w:rFonts w:ascii="Times New Roman" w:hAnsi="Times New Roman"/>
          <w:color w:val="000000"/>
          <w:sz w:val="24"/>
          <w:szCs w:val="24"/>
        </w:rPr>
        <w:t xml:space="preserve"> – Ежедневный прирост курса доллара США в алжирских динарах </w:t>
      </w:r>
    </w:p>
    <w:p w14:paraId="4CB308A9" w14:textId="77777777"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(2001-2021 гг.)</w:t>
      </w:r>
      <w:r w:rsidRPr="003B10E2">
        <w:rPr>
          <w:lang w:eastAsia="en-US"/>
        </w:rPr>
        <w:t>,</w:t>
      </w:r>
      <w:r w:rsidRPr="003B10E2">
        <w:rPr>
          <w:rFonts w:ascii="Times New Roman" w:hAnsi="Times New Roman"/>
          <w:color w:val="000000"/>
          <w:sz w:val="24"/>
          <w:szCs w:val="24"/>
        </w:rPr>
        <w:t xml:space="preserve"> %</w:t>
      </w:r>
    </w:p>
    <w:p w14:paraId="0B601BD5" w14:textId="77777777" w:rsidR="000E0FE8" w:rsidRPr="003B10E2" w:rsidRDefault="00C72198" w:rsidP="000E0FE8">
      <w:pPr>
        <w:spacing w:line="240" w:lineRule="auto"/>
        <w:jc w:val="both"/>
        <w:rPr>
          <w:rFonts w:ascii="Times New Roman" w:hAnsi="Times New Roman"/>
          <w:sz w:val="24"/>
          <w:szCs w:val="24"/>
        </w:rPr>
      </w:pPr>
      <w:r w:rsidRPr="003B10E2">
        <w:rPr>
          <w:noProof/>
        </w:rPr>
        <w:drawing>
          <wp:inline distT="0" distB="0" distL="0" distR="0" wp14:anchorId="548825E0" wp14:editId="0621D82C">
            <wp:extent cx="5951855" cy="2019300"/>
            <wp:effectExtent l="0" t="0" r="0" b="0"/>
            <wp:docPr id="18" name="Рисунок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0"/>
                    <pic:cNvPicPr>
                      <a:picLocks/>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5951855" cy="2019300"/>
                    </a:xfrm>
                    <a:prstGeom prst="rect">
                      <a:avLst/>
                    </a:prstGeom>
                    <a:noFill/>
                    <a:ln>
                      <a:noFill/>
                    </a:ln>
                  </pic:spPr>
                </pic:pic>
              </a:graphicData>
            </a:graphic>
          </wp:inline>
        </w:drawing>
      </w:r>
    </w:p>
    <w:p w14:paraId="01186518" w14:textId="77777777"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Источник: </w:t>
      </w:r>
      <w:r w:rsidRPr="003B10E2">
        <w:rPr>
          <w:rFonts w:ascii="Times New Roman" w:hAnsi="Times New Roman"/>
          <w:color w:val="000000"/>
          <w:sz w:val="24"/>
          <w:szCs w:val="24"/>
          <w:lang w:val="en-GB"/>
        </w:rPr>
        <w:t>Thomson</w:t>
      </w:r>
      <w:r w:rsidRPr="003B10E2">
        <w:rPr>
          <w:rFonts w:ascii="Times New Roman" w:hAnsi="Times New Roman"/>
          <w:color w:val="000000"/>
          <w:sz w:val="24"/>
          <w:szCs w:val="24"/>
        </w:rPr>
        <w:t xml:space="preserve"> </w:t>
      </w:r>
      <w:r w:rsidRPr="003B10E2">
        <w:rPr>
          <w:rFonts w:ascii="Times New Roman" w:hAnsi="Times New Roman"/>
          <w:color w:val="000000"/>
          <w:sz w:val="24"/>
          <w:szCs w:val="24"/>
          <w:lang w:val="en-GB"/>
        </w:rPr>
        <w:t>Reuters</w:t>
      </w:r>
      <w:r w:rsidRPr="003B10E2">
        <w:rPr>
          <w:rFonts w:ascii="Times New Roman" w:hAnsi="Times New Roman"/>
          <w:color w:val="000000"/>
          <w:sz w:val="24"/>
          <w:szCs w:val="24"/>
        </w:rPr>
        <w:t>.</w:t>
      </w:r>
    </w:p>
    <w:p w14:paraId="1FEAEB5D" w14:textId="77777777"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683F14" w:rsidRPr="003B10E2">
        <w:rPr>
          <w:rFonts w:ascii="Times New Roman" w:hAnsi="Times New Roman"/>
          <w:color w:val="000000"/>
          <w:sz w:val="24"/>
          <w:szCs w:val="24"/>
        </w:rPr>
        <w:t>12</w:t>
      </w:r>
      <w:r w:rsidRPr="003B10E2">
        <w:rPr>
          <w:rFonts w:ascii="Times New Roman" w:hAnsi="Times New Roman"/>
          <w:color w:val="000000"/>
          <w:sz w:val="24"/>
          <w:szCs w:val="24"/>
        </w:rPr>
        <w:t xml:space="preserve"> – Ежедневный прирост курса доллара США в нигирийских найрах </w:t>
      </w:r>
    </w:p>
    <w:p w14:paraId="1254179F" w14:textId="77777777"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(2001-2021 гг.), %</w:t>
      </w:r>
    </w:p>
    <w:p w14:paraId="3F1ADCA8" w14:textId="77777777" w:rsidR="000E0FE8" w:rsidRPr="003B10E2" w:rsidRDefault="000E0FE8" w:rsidP="000E0FE8">
      <w:pPr>
        <w:spacing w:after="0" w:line="240" w:lineRule="auto"/>
        <w:jc w:val="center"/>
        <w:rPr>
          <w:rFonts w:ascii="Times New Roman" w:hAnsi="Times New Roman"/>
          <w:color w:val="000000"/>
          <w:sz w:val="24"/>
          <w:szCs w:val="24"/>
        </w:rPr>
      </w:pPr>
    </w:p>
    <w:p w14:paraId="048FE979" w14:textId="77777777" w:rsidR="000E0FE8" w:rsidRPr="003B10E2" w:rsidRDefault="00C72198" w:rsidP="000E0FE8">
      <w:pPr>
        <w:spacing w:line="240" w:lineRule="auto"/>
        <w:jc w:val="both"/>
        <w:rPr>
          <w:rFonts w:ascii="Times New Roman" w:hAnsi="Times New Roman"/>
          <w:sz w:val="24"/>
          <w:szCs w:val="24"/>
        </w:rPr>
      </w:pPr>
      <w:r w:rsidRPr="003B10E2">
        <w:rPr>
          <w:noProof/>
        </w:rPr>
        <w:drawing>
          <wp:inline distT="0" distB="0" distL="0" distR="0" wp14:anchorId="5B6EC2A2" wp14:editId="432DB8F6">
            <wp:extent cx="5951855" cy="1980565"/>
            <wp:effectExtent l="0" t="0" r="0" b="0"/>
            <wp:docPr id="19" name="Рисунок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1"/>
                    <pic:cNvPicPr>
                      <a:picLocks/>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5951855" cy="1980565"/>
                    </a:xfrm>
                    <a:prstGeom prst="rect">
                      <a:avLst/>
                    </a:prstGeom>
                    <a:noFill/>
                    <a:ln>
                      <a:noFill/>
                    </a:ln>
                  </pic:spPr>
                </pic:pic>
              </a:graphicData>
            </a:graphic>
          </wp:inline>
        </w:drawing>
      </w:r>
    </w:p>
    <w:p w14:paraId="1FFC66E1" w14:textId="77777777"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Источник: </w:t>
      </w:r>
      <w:r w:rsidRPr="003B10E2">
        <w:rPr>
          <w:rFonts w:ascii="Times New Roman" w:hAnsi="Times New Roman"/>
          <w:color w:val="000000"/>
          <w:sz w:val="24"/>
          <w:szCs w:val="24"/>
          <w:lang w:val="en-GB"/>
        </w:rPr>
        <w:t>Thomson</w:t>
      </w:r>
      <w:r w:rsidRPr="003B10E2">
        <w:rPr>
          <w:rFonts w:ascii="Times New Roman" w:hAnsi="Times New Roman"/>
          <w:color w:val="000000"/>
          <w:sz w:val="24"/>
          <w:szCs w:val="24"/>
        </w:rPr>
        <w:t xml:space="preserve"> </w:t>
      </w:r>
      <w:r w:rsidRPr="003B10E2">
        <w:rPr>
          <w:rFonts w:ascii="Times New Roman" w:hAnsi="Times New Roman"/>
          <w:color w:val="000000"/>
          <w:sz w:val="24"/>
          <w:szCs w:val="24"/>
          <w:lang w:val="en-GB"/>
        </w:rPr>
        <w:t>Reuters</w:t>
      </w:r>
      <w:r w:rsidRPr="003B10E2">
        <w:rPr>
          <w:rFonts w:ascii="Times New Roman" w:hAnsi="Times New Roman"/>
          <w:color w:val="000000"/>
          <w:sz w:val="24"/>
          <w:szCs w:val="24"/>
        </w:rPr>
        <w:t>.</w:t>
      </w:r>
    </w:p>
    <w:p w14:paraId="310387C0" w14:textId="77777777"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683F14" w:rsidRPr="003B10E2">
        <w:rPr>
          <w:rFonts w:ascii="Times New Roman" w:hAnsi="Times New Roman"/>
          <w:color w:val="000000"/>
          <w:sz w:val="24"/>
          <w:szCs w:val="24"/>
        </w:rPr>
        <w:t>13</w:t>
      </w:r>
      <w:r w:rsidRPr="003B10E2">
        <w:rPr>
          <w:rFonts w:ascii="Times New Roman" w:hAnsi="Times New Roman"/>
          <w:color w:val="000000"/>
          <w:sz w:val="24"/>
          <w:szCs w:val="24"/>
        </w:rPr>
        <w:t xml:space="preserve"> – Ежедневный прирост курса доллара США в евро (2001-2021 гг.), %</w:t>
      </w:r>
    </w:p>
    <w:p w14:paraId="6F7BAB8F" w14:textId="77777777" w:rsidR="000E0FE8" w:rsidRPr="003B10E2" w:rsidRDefault="000E0FE8" w:rsidP="000E0FE8">
      <w:pPr>
        <w:spacing w:after="0" w:line="240" w:lineRule="auto"/>
        <w:jc w:val="center"/>
        <w:rPr>
          <w:rFonts w:ascii="Times New Roman" w:hAnsi="Times New Roman"/>
          <w:color w:val="000000"/>
          <w:sz w:val="24"/>
          <w:szCs w:val="24"/>
        </w:rPr>
      </w:pPr>
    </w:p>
    <w:p w14:paraId="767192D8" w14:textId="77777777" w:rsidR="000E0FE8" w:rsidRPr="003B10E2" w:rsidRDefault="00C72198" w:rsidP="000E0FE8">
      <w:pPr>
        <w:spacing w:after="0" w:line="360" w:lineRule="auto"/>
        <w:jc w:val="center"/>
        <w:rPr>
          <w:rFonts w:ascii="Times New Roman" w:hAnsi="Times New Roman"/>
          <w:color w:val="000000"/>
          <w:sz w:val="24"/>
          <w:szCs w:val="24"/>
        </w:rPr>
      </w:pPr>
      <w:r w:rsidRPr="003B10E2">
        <w:rPr>
          <w:noProof/>
        </w:rPr>
        <w:drawing>
          <wp:inline distT="0" distB="0" distL="0" distR="0" wp14:anchorId="4C1D95B9" wp14:editId="2605CAAD">
            <wp:extent cx="6069965" cy="1896110"/>
            <wp:effectExtent l="0" t="0" r="0" b="0"/>
            <wp:docPr id="20" name="Рисунок 47" descr="C:\Users\AYUMihajlov\Pictures\Диссер\3.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7" descr="C:\Users\AYUMihajlov\Pictures\Диссер\3.bmp"/>
                    <pic:cNvPicPr>
                      <a:picLocks/>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6069965" cy="1896110"/>
                    </a:xfrm>
                    <a:prstGeom prst="rect">
                      <a:avLst/>
                    </a:prstGeom>
                    <a:noFill/>
                    <a:ln>
                      <a:noFill/>
                    </a:ln>
                  </pic:spPr>
                </pic:pic>
              </a:graphicData>
            </a:graphic>
          </wp:inline>
        </w:drawing>
      </w:r>
    </w:p>
    <w:p w14:paraId="7E1B5915" w14:textId="77777777"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Источник: </w:t>
      </w:r>
      <w:r w:rsidRPr="003B10E2">
        <w:rPr>
          <w:rFonts w:ascii="Times New Roman" w:hAnsi="Times New Roman"/>
          <w:color w:val="000000"/>
          <w:sz w:val="24"/>
          <w:szCs w:val="24"/>
          <w:lang w:val="en-GB"/>
        </w:rPr>
        <w:t>Thomson</w:t>
      </w:r>
      <w:r w:rsidRPr="003B10E2">
        <w:rPr>
          <w:rFonts w:ascii="Times New Roman" w:hAnsi="Times New Roman"/>
          <w:color w:val="000000"/>
          <w:sz w:val="24"/>
          <w:szCs w:val="24"/>
        </w:rPr>
        <w:t xml:space="preserve"> </w:t>
      </w:r>
      <w:r w:rsidRPr="003B10E2">
        <w:rPr>
          <w:rFonts w:ascii="Times New Roman" w:hAnsi="Times New Roman"/>
          <w:color w:val="000000"/>
          <w:sz w:val="24"/>
          <w:szCs w:val="24"/>
          <w:lang w:val="en-GB"/>
        </w:rPr>
        <w:t>Reuters</w:t>
      </w:r>
      <w:r w:rsidRPr="003B10E2">
        <w:rPr>
          <w:rFonts w:ascii="Times New Roman" w:hAnsi="Times New Roman"/>
          <w:color w:val="000000"/>
          <w:sz w:val="24"/>
          <w:szCs w:val="24"/>
        </w:rPr>
        <w:t>.</w:t>
      </w:r>
    </w:p>
    <w:p w14:paraId="7A357B21" w14:textId="77777777"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683F14" w:rsidRPr="003B10E2">
        <w:rPr>
          <w:rFonts w:ascii="Times New Roman" w:hAnsi="Times New Roman"/>
          <w:color w:val="000000"/>
          <w:sz w:val="24"/>
          <w:szCs w:val="24"/>
        </w:rPr>
        <w:t>14</w:t>
      </w:r>
      <w:r w:rsidRPr="003B10E2">
        <w:rPr>
          <w:rFonts w:ascii="Times New Roman" w:hAnsi="Times New Roman"/>
          <w:color w:val="000000"/>
          <w:sz w:val="24"/>
          <w:szCs w:val="24"/>
        </w:rPr>
        <w:t xml:space="preserve"> –  Ежедневный прирост курса доллара США в канадских долларах (2001-2021 гг.): периоды кризисов 2007-2008 гг., 2015-2016 гг. и 2020-2021 гг. выделены линиями, %</w:t>
      </w:r>
    </w:p>
    <w:p w14:paraId="70C18E9B" w14:textId="77777777" w:rsidR="000E0FE8" w:rsidRPr="003B10E2" w:rsidRDefault="00C72198" w:rsidP="000E0FE8">
      <w:pPr>
        <w:spacing w:after="0" w:line="240" w:lineRule="auto"/>
        <w:contextualSpacing/>
        <w:jc w:val="center"/>
        <w:rPr>
          <w:rFonts w:ascii="Times New Roman" w:hAnsi="Times New Roman"/>
          <w:sz w:val="24"/>
          <w:szCs w:val="24"/>
        </w:rPr>
      </w:pPr>
      <w:r w:rsidRPr="003B10E2">
        <w:rPr>
          <w:noProof/>
        </w:rPr>
        <w:drawing>
          <wp:inline distT="0" distB="0" distL="0" distR="0" wp14:anchorId="473D1AFA" wp14:editId="0E40B148">
            <wp:extent cx="5884545" cy="1778000"/>
            <wp:effectExtent l="0" t="0" r="0" b="0"/>
            <wp:docPr id="21" name="Рисунок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2"/>
                    <pic:cNvPicPr>
                      <a:picLocks/>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5884545" cy="1778000"/>
                    </a:xfrm>
                    <a:prstGeom prst="rect">
                      <a:avLst/>
                    </a:prstGeom>
                    <a:noFill/>
                    <a:ln>
                      <a:noFill/>
                    </a:ln>
                  </pic:spPr>
                </pic:pic>
              </a:graphicData>
            </a:graphic>
          </wp:inline>
        </w:drawing>
      </w:r>
      <w:r w:rsidR="000E0FE8" w:rsidRPr="003B10E2">
        <w:rPr>
          <w:rFonts w:ascii="Times New Roman" w:hAnsi="Times New Roman"/>
          <w:color w:val="000000"/>
          <w:sz w:val="24"/>
          <w:szCs w:val="24"/>
        </w:rPr>
        <w:t xml:space="preserve">Источник: </w:t>
      </w:r>
      <w:r w:rsidR="000E0FE8" w:rsidRPr="003B10E2">
        <w:rPr>
          <w:rFonts w:ascii="Times New Roman" w:hAnsi="Times New Roman"/>
          <w:color w:val="000000"/>
          <w:sz w:val="24"/>
          <w:szCs w:val="24"/>
          <w:lang w:val="en-GB"/>
        </w:rPr>
        <w:t>Thomson</w:t>
      </w:r>
      <w:r w:rsidR="000E0FE8" w:rsidRPr="003B10E2">
        <w:rPr>
          <w:rFonts w:ascii="Times New Roman" w:hAnsi="Times New Roman"/>
          <w:color w:val="000000"/>
          <w:sz w:val="24"/>
          <w:szCs w:val="24"/>
        </w:rPr>
        <w:t xml:space="preserve"> </w:t>
      </w:r>
      <w:r w:rsidR="000E0FE8" w:rsidRPr="003B10E2">
        <w:rPr>
          <w:rFonts w:ascii="Times New Roman" w:hAnsi="Times New Roman"/>
          <w:color w:val="000000"/>
          <w:sz w:val="24"/>
          <w:szCs w:val="24"/>
          <w:lang w:val="en-GB"/>
        </w:rPr>
        <w:t>Reuters</w:t>
      </w:r>
      <w:r w:rsidR="000E0FE8" w:rsidRPr="003B10E2">
        <w:rPr>
          <w:rFonts w:ascii="Times New Roman" w:hAnsi="Times New Roman"/>
          <w:color w:val="000000"/>
          <w:sz w:val="24"/>
          <w:szCs w:val="24"/>
        </w:rPr>
        <w:t>.</w:t>
      </w:r>
    </w:p>
    <w:p w14:paraId="4C88C69F" w14:textId="77777777" w:rsidR="000E0FE8" w:rsidRPr="003B10E2" w:rsidRDefault="000E0FE8" w:rsidP="000E0FE8">
      <w:pPr>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683F14" w:rsidRPr="003B10E2">
        <w:rPr>
          <w:rFonts w:ascii="Times New Roman" w:hAnsi="Times New Roman"/>
          <w:color w:val="000000"/>
          <w:sz w:val="24"/>
          <w:szCs w:val="24"/>
        </w:rPr>
        <w:t>15</w:t>
      </w:r>
      <w:r w:rsidRPr="003B10E2">
        <w:rPr>
          <w:rFonts w:ascii="Times New Roman" w:hAnsi="Times New Roman"/>
          <w:color w:val="000000"/>
          <w:sz w:val="24"/>
          <w:szCs w:val="24"/>
        </w:rPr>
        <w:t xml:space="preserve"> –  Ежедневный прирост курса доллара США в китайских юанях </w:t>
      </w:r>
    </w:p>
    <w:p w14:paraId="36389469" w14:textId="77777777" w:rsidR="000E0FE8" w:rsidRPr="003B10E2" w:rsidRDefault="000E0FE8" w:rsidP="000E0FE8">
      <w:pPr>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(2001-2021 гг.), %</w:t>
      </w:r>
    </w:p>
    <w:p w14:paraId="33A24109" w14:textId="77777777" w:rsidR="000E0FE8" w:rsidRPr="003B10E2" w:rsidRDefault="000E0FE8" w:rsidP="000E0FE8">
      <w:pPr>
        <w:spacing w:after="0" w:line="240" w:lineRule="auto"/>
        <w:contextualSpacing/>
        <w:jc w:val="center"/>
        <w:rPr>
          <w:rFonts w:ascii="Times New Roman" w:hAnsi="Times New Roman"/>
          <w:color w:val="000000"/>
          <w:sz w:val="24"/>
          <w:szCs w:val="24"/>
        </w:rPr>
      </w:pPr>
    </w:p>
    <w:p w14:paraId="72A5B548" w14:textId="77777777" w:rsidR="000E0FE8" w:rsidRPr="003B10E2" w:rsidRDefault="00C72198" w:rsidP="000E0FE8">
      <w:pPr>
        <w:spacing w:after="0" w:line="240" w:lineRule="auto"/>
        <w:contextualSpacing/>
        <w:jc w:val="center"/>
        <w:rPr>
          <w:rFonts w:ascii="Times New Roman" w:hAnsi="Times New Roman"/>
          <w:sz w:val="24"/>
          <w:szCs w:val="24"/>
        </w:rPr>
      </w:pPr>
      <w:r w:rsidRPr="003B10E2">
        <w:rPr>
          <w:noProof/>
        </w:rPr>
        <w:drawing>
          <wp:inline distT="0" distB="0" distL="0" distR="0" wp14:anchorId="62DDBD11" wp14:editId="6FAB31EE">
            <wp:extent cx="6153785" cy="2008505"/>
            <wp:effectExtent l="0" t="0" r="0" b="0"/>
            <wp:docPr id="22" name="Рисунок 48" descr="C:\Users\AYUMihajlov\Pictures\Диссер\4.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8" descr="C:\Users\AYUMihajlov\Pictures\Диссер\4.bmp"/>
                    <pic:cNvPicPr>
                      <a:picLocks/>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6153785" cy="2008505"/>
                    </a:xfrm>
                    <a:prstGeom prst="rect">
                      <a:avLst/>
                    </a:prstGeom>
                    <a:noFill/>
                    <a:ln>
                      <a:noFill/>
                    </a:ln>
                  </pic:spPr>
                </pic:pic>
              </a:graphicData>
            </a:graphic>
          </wp:inline>
        </w:drawing>
      </w:r>
      <w:r w:rsidR="000E0FE8" w:rsidRPr="003B10E2">
        <w:rPr>
          <w:rFonts w:ascii="Times New Roman" w:hAnsi="Times New Roman"/>
          <w:color w:val="000000"/>
          <w:sz w:val="24"/>
          <w:szCs w:val="24"/>
        </w:rPr>
        <w:t xml:space="preserve">Источник: </w:t>
      </w:r>
      <w:r w:rsidR="000E0FE8" w:rsidRPr="003B10E2">
        <w:rPr>
          <w:rFonts w:ascii="Times New Roman" w:hAnsi="Times New Roman"/>
          <w:color w:val="000000"/>
          <w:sz w:val="24"/>
          <w:szCs w:val="24"/>
          <w:lang w:val="en-GB"/>
        </w:rPr>
        <w:t>Thomson</w:t>
      </w:r>
      <w:r w:rsidR="000E0FE8" w:rsidRPr="003B10E2">
        <w:rPr>
          <w:rFonts w:ascii="Times New Roman" w:hAnsi="Times New Roman"/>
          <w:color w:val="000000"/>
          <w:sz w:val="24"/>
          <w:szCs w:val="24"/>
        </w:rPr>
        <w:t xml:space="preserve"> </w:t>
      </w:r>
      <w:r w:rsidR="000E0FE8" w:rsidRPr="003B10E2">
        <w:rPr>
          <w:rFonts w:ascii="Times New Roman" w:hAnsi="Times New Roman"/>
          <w:color w:val="000000"/>
          <w:sz w:val="24"/>
          <w:szCs w:val="24"/>
          <w:lang w:val="en-GB"/>
        </w:rPr>
        <w:t>Reuters</w:t>
      </w:r>
      <w:r w:rsidR="000E0FE8" w:rsidRPr="003B10E2">
        <w:rPr>
          <w:rFonts w:ascii="Times New Roman" w:hAnsi="Times New Roman"/>
          <w:color w:val="000000"/>
          <w:sz w:val="24"/>
          <w:szCs w:val="24"/>
        </w:rPr>
        <w:t>.</w:t>
      </w:r>
    </w:p>
    <w:p w14:paraId="5A288224" w14:textId="77777777" w:rsidR="000E0FE8" w:rsidRPr="003B10E2" w:rsidRDefault="000E0FE8" w:rsidP="000E0FE8">
      <w:pPr>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683F14" w:rsidRPr="003B10E2">
        <w:rPr>
          <w:rFonts w:ascii="Times New Roman" w:hAnsi="Times New Roman"/>
          <w:color w:val="000000"/>
          <w:sz w:val="24"/>
          <w:szCs w:val="24"/>
        </w:rPr>
        <w:t>16</w:t>
      </w:r>
      <w:r w:rsidRPr="003B10E2">
        <w:rPr>
          <w:rFonts w:ascii="Times New Roman" w:hAnsi="Times New Roman"/>
          <w:color w:val="000000"/>
          <w:sz w:val="24"/>
          <w:szCs w:val="24"/>
        </w:rPr>
        <w:t xml:space="preserve"> –  Ежедневный прирост курса доллара США в бразильских реалах </w:t>
      </w:r>
    </w:p>
    <w:p w14:paraId="5F158A00" w14:textId="77777777" w:rsidR="000E0FE8" w:rsidRPr="003B10E2" w:rsidRDefault="000E0FE8" w:rsidP="000E0FE8">
      <w:pPr>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(2001-2021 гг.), %</w:t>
      </w:r>
    </w:p>
    <w:p w14:paraId="585C038E" w14:textId="77777777" w:rsidR="000E0FE8" w:rsidRPr="003B10E2" w:rsidRDefault="000E0FE8" w:rsidP="000E0FE8">
      <w:pPr>
        <w:spacing w:after="0" w:line="360" w:lineRule="auto"/>
        <w:ind w:firstLine="708"/>
        <w:jc w:val="both"/>
        <w:rPr>
          <w:rFonts w:ascii="Times New Roman" w:hAnsi="Times New Roman"/>
          <w:color w:val="000000"/>
          <w:sz w:val="28"/>
          <w:szCs w:val="28"/>
        </w:rPr>
      </w:pPr>
    </w:p>
    <w:p w14:paraId="5D014B75" w14:textId="77777777" w:rsidR="000E0FE8" w:rsidRPr="003B10E2" w:rsidRDefault="000E0FE8" w:rsidP="000E0FE8">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В результате графического анализа дневных доходностей цен на нефть и валют нефтедобывающих стран видно снижение волатильности валютного курса EURUSD и повышение волатильности нефти марки Brent.</w:t>
      </w:r>
    </w:p>
    <w:p w14:paraId="15B89E6C" w14:textId="77777777" w:rsidR="000E0FE8" w:rsidRPr="003B10E2" w:rsidRDefault="000E0FE8" w:rsidP="000E0FE8">
      <w:pPr>
        <w:spacing w:after="0" w:line="360" w:lineRule="auto"/>
        <w:ind w:firstLine="709"/>
        <w:jc w:val="both"/>
        <w:rPr>
          <w:rFonts w:ascii="Times New Roman" w:hAnsi="Times New Roman"/>
          <w:color w:val="000000"/>
          <w:sz w:val="28"/>
          <w:szCs w:val="28"/>
        </w:rPr>
      </w:pPr>
      <w:r w:rsidRPr="003B10E2">
        <w:rPr>
          <w:rFonts w:ascii="Times New Roman" w:hAnsi="Times New Roman"/>
          <w:color w:val="000000"/>
          <w:sz w:val="28"/>
          <w:szCs w:val="28"/>
        </w:rPr>
        <w:t xml:space="preserve">В результате анализа был обнаружен значительный побочный эффект между ценой на нефть марки Brent и курсами валют (определены F-тесты и p-значения). Эти критерии указывают на качество модели для каждого периода, и на основе полученных результатов. </w:t>
      </w:r>
    </w:p>
    <w:p w14:paraId="66A263AF" w14:textId="77777777" w:rsidR="000E0FE8" w:rsidRPr="003B10E2" w:rsidRDefault="000E0FE8" w:rsidP="000E0FE8">
      <w:pPr>
        <w:spacing w:after="0" w:line="360" w:lineRule="auto"/>
        <w:ind w:firstLine="709"/>
        <w:jc w:val="both"/>
        <w:rPr>
          <w:rFonts w:ascii="Times New Roman" w:hAnsi="Times New Roman"/>
          <w:color w:val="000000"/>
          <w:sz w:val="28"/>
          <w:szCs w:val="28"/>
        </w:rPr>
      </w:pPr>
      <w:r w:rsidRPr="003B10E2">
        <w:rPr>
          <w:rFonts w:ascii="Times New Roman" w:hAnsi="Times New Roman"/>
          <w:color w:val="000000"/>
          <w:sz w:val="28"/>
          <w:szCs w:val="28"/>
        </w:rPr>
        <w:t xml:space="preserve">Параметры асимметрии очень высоки (10,83) для российского рубля. В </w:t>
      </w:r>
      <w:r w:rsidRPr="003B10E2">
        <w:rPr>
          <w:rFonts w:ascii="Times New Roman" w:hAnsi="Times New Roman"/>
          <w:sz w:val="28"/>
          <w:szCs w:val="28"/>
        </w:rPr>
        <w:t xml:space="preserve">таблицах </w:t>
      </w:r>
      <w:r w:rsidR="00683F14" w:rsidRPr="003B10E2">
        <w:rPr>
          <w:rFonts w:ascii="Times New Roman" w:hAnsi="Times New Roman"/>
          <w:sz w:val="28"/>
          <w:szCs w:val="28"/>
        </w:rPr>
        <w:t>3</w:t>
      </w:r>
      <w:r w:rsidRPr="003B10E2">
        <w:rPr>
          <w:rFonts w:ascii="Times New Roman" w:hAnsi="Times New Roman"/>
          <w:sz w:val="28"/>
          <w:szCs w:val="28"/>
        </w:rPr>
        <w:t xml:space="preserve"> и </w:t>
      </w:r>
      <w:r w:rsidR="00683F14" w:rsidRPr="003B10E2">
        <w:rPr>
          <w:rFonts w:ascii="Times New Roman" w:hAnsi="Times New Roman"/>
          <w:sz w:val="28"/>
          <w:szCs w:val="28"/>
        </w:rPr>
        <w:t>4</w:t>
      </w:r>
      <w:r w:rsidRPr="003B10E2">
        <w:rPr>
          <w:rFonts w:ascii="Times New Roman" w:hAnsi="Times New Roman"/>
          <w:sz w:val="28"/>
          <w:szCs w:val="28"/>
        </w:rPr>
        <w:t xml:space="preserve"> </w:t>
      </w:r>
      <w:r w:rsidRPr="003B10E2">
        <w:rPr>
          <w:rFonts w:ascii="Times New Roman" w:hAnsi="Times New Roman"/>
          <w:color w:val="000000"/>
          <w:sz w:val="28"/>
          <w:szCs w:val="28"/>
        </w:rPr>
        <w:t>показаны краткое изложение регрессионного анализа и оценочных результатов модели VAR. Например, параметр корреляции между курсом доллара США в рублях (RURUSD) и ценой на нефть марки Brent до 2020 года составлял -0,51, что существенно. Он также составил -0,22 за период с марта 2020 года, что объясняется распространением пандемии COVID-19. Кроме того, корреляция между ценой на нефть марки Brent и курсом доллара США в нигирийских найрах (NGN/USD) снизилась (дневная доходность также снизилась с -0,23 до -0,11 и с -0,06 до -0,02 для курса доллара США в алжирских динарах DZD/USD). F-статистика коэффициентов регрессии для цен на нефть и обменных курсов следующая: 0,20 для NGN/USD, 0,00 для DZD/USD и 0,00 для RUR/USD.</w:t>
      </w:r>
    </w:p>
    <w:p w14:paraId="7ED7113A" w14:textId="77777777" w:rsidR="000E0FE8" w:rsidRPr="003B10E2" w:rsidRDefault="000E0FE8" w:rsidP="000E0FE8">
      <w:pPr>
        <w:spacing w:line="240" w:lineRule="auto"/>
        <w:rPr>
          <w:rFonts w:ascii="Times New Roman" w:hAnsi="Times New Roman"/>
          <w:sz w:val="24"/>
          <w:szCs w:val="24"/>
        </w:rPr>
      </w:pPr>
      <w:r w:rsidRPr="003B10E2">
        <w:rPr>
          <w:rFonts w:ascii="Times New Roman" w:hAnsi="Times New Roman"/>
          <w:sz w:val="24"/>
          <w:szCs w:val="24"/>
        </w:rPr>
        <w:t xml:space="preserve">Таблица </w:t>
      </w:r>
      <w:r w:rsidR="00683F14" w:rsidRPr="003B10E2">
        <w:rPr>
          <w:rFonts w:ascii="Times New Roman" w:hAnsi="Times New Roman"/>
          <w:sz w:val="24"/>
          <w:szCs w:val="24"/>
        </w:rPr>
        <w:t>3</w:t>
      </w:r>
      <w:r w:rsidRPr="003B10E2">
        <w:rPr>
          <w:rFonts w:ascii="Times New Roman" w:hAnsi="Times New Roman"/>
          <w:sz w:val="24"/>
          <w:szCs w:val="24"/>
        </w:rPr>
        <w:t xml:space="preserve"> – Регрессионный анализ</w:t>
      </w:r>
    </w:p>
    <w:tbl>
      <w:tblPr>
        <w:tblW w:w="5382" w:type="dxa"/>
        <w:tblLayout w:type="fixed"/>
        <w:tblLook w:val="04A0" w:firstRow="1" w:lastRow="0" w:firstColumn="1" w:lastColumn="0" w:noHBand="0" w:noVBand="1"/>
      </w:tblPr>
      <w:tblGrid>
        <w:gridCol w:w="1271"/>
        <w:gridCol w:w="709"/>
        <w:gridCol w:w="709"/>
        <w:gridCol w:w="992"/>
        <w:gridCol w:w="1701"/>
      </w:tblGrid>
      <w:tr w:rsidR="000E0FE8" w:rsidRPr="003B10E2" w14:paraId="6F5C522B" w14:textId="77777777" w:rsidTr="005D28E0">
        <w:trPr>
          <w:trHeight w:val="289"/>
        </w:trPr>
        <w:tc>
          <w:tcPr>
            <w:tcW w:w="1271" w:type="dxa"/>
            <w:tcBorders>
              <w:top w:val="single" w:sz="4" w:space="0" w:color="000000"/>
              <w:left w:val="single" w:sz="4" w:space="0" w:color="000000"/>
              <w:bottom w:val="double" w:sz="4" w:space="0" w:color="000000"/>
              <w:right w:val="single" w:sz="4" w:space="0" w:color="000000"/>
            </w:tcBorders>
            <w:shd w:val="clear" w:color="auto" w:fill="auto"/>
            <w:vAlign w:val="bottom"/>
          </w:tcPr>
          <w:p w14:paraId="1BBCEA6A"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rPr>
              <w:t>Параметр</w:t>
            </w:r>
          </w:p>
        </w:tc>
        <w:tc>
          <w:tcPr>
            <w:tcW w:w="709" w:type="dxa"/>
            <w:tcBorders>
              <w:top w:val="single" w:sz="4" w:space="0" w:color="000000"/>
              <w:bottom w:val="double" w:sz="4" w:space="0" w:color="000000"/>
              <w:right w:val="single" w:sz="4" w:space="0" w:color="000000"/>
            </w:tcBorders>
            <w:shd w:val="clear" w:color="auto" w:fill="auto"/>
            <w:vAlign w:val="bottom"/>
          </w:tcPr>
          <w:p w14:paraId="3979A03A" w14:textId="77777777" w:rsidR="000E0FE8" w:rsidRPr="003B10E2" w:rsidRDefault="000E0FE8" w:rsidP="005D28E0">
            <w:pPr>
              <w:widowControl w:val="0"/>
              <w:spacing w:after="0" w:line="240" w:lineRule="auto"/>
              <w:jc w:val="center"/>
              <w:rPr>
                <w:rFonts w:ascii="Times New Roman" w:hAnsi="Times New Roman"/>
                <w:sz w:val="24"/>
                <w:szCs w:val="24"/>
                <w:lang w:val="en-US"/>
              </w:rPr>
            </w:pPr>
            <w:r w:rsidRPr="003B10E2">
              <w:rPr>
                <w:rFonts w:ascii="Times New Roman" w:hAnsi="Times New Roman"/>
                <w:sz w:val="24"/>
                <w:szCs w:val="24"/>
                <w:lang w:val="en-US"/>
              </w:rPr>
              <w:t>SS</w:t>
            </w:r>
          </w:p>
        </w:tc>
        <w:tc>
          <w:tcPr>
            <w:tcW w:w="709" w:type="dxa"/>
            <w:tcBorders>
              <w:top w:val="single" w:sz="4" w:space="0" w:color="000000"/>
              <w:bottom w:val="double" w:sz="4" w:space="0" w:color="000000"/>
              <w:right w:val="single" w:sz="4" w:space="0" w:color="000000"/>
            </w:tcBorders>
            <w:shd w:val="clear" w:color="auto" w:fill="auto"/>
            <w:vAlign w:val="bottom"/>
          </w:tcPr>
          <w:p w14:paraId="0A04A1FF" w14:textId="77777777" w:rsidR="000E0FE8" w:rsidRPr="003B10E2" w:rsidRDefault="000E0FE8" w:rsidP="005D28E0">
            <w:pPr>
              <w:widowControl w:val="0"/>
              <w:spacing w:after="0" w:line="240" w:lineRule="auto"/>
              <w:jc w:val="center"/>
              <w:rPr>
                <w:rFonts w:ascii="Times New Roman" w:hAnsi="Times New Roman"/>
                <w:sz w:val="24"/>
                <w:szCs w:val="24"/>
                <w:lang w:val="en-US"/>
              </w:rPr>
            </w:pPr>
            <w:r w:rsidRPr="003B10E2">
              <w:rPr>
                <w:rFonts w:ascii="Times New Roman" w:hAnsi="Times New Roman"/>
                <w:sz w:val="24"/>
                <w:szCs w:val="24"/>
                <w:lang w:val="en-US"/>
              </w:rPr>
              <w:t>MS</w:t>
            </w:r>
          </w:p>
        </w:tc>
        <w:tc>
          <w:tcPr>
            <w:tcW w:w="992" w:type="dxa"/>
            <w:tcBorders>
              <w:top w:val="single" w:sz="4" w:space="0" w:color="000000"/>
              <w:bottom w:val="double" w:sz="4" w:space="0" w:color="000000"/>
              <w:right w:val="single" w:sz="4" w:space="0" w:color="000000"/>
            </w:tcBorders>
            <w:shd w:val="clear" w:color="auto" w:fill="auto"/>
            <w:vAlign w:val="bottom"/>
          </w:tcPr>
          <w:p w14:paraId="6EC76DB4" w14:textId="77777777" w:rsidR="000E0FE8" w:rsidRPr="003B10E2" w:rsidRDefault="000E0FE8" w:rsidP="005D28E0">
            <w:pPr>
              <w:widowControl w:val="0"/>
              <w:spacing w:after="0" w:line="240" w:lineRule="auto"/>
              <w:jc w:val="center"/>
              <w:rPr>
                <w:rFonts w:ascii="Times New Roman" w:hAnsi="Times New Roman"/>
                <w:sz w:val="24"/>
                <w:szCs w:val="24"/>
                <w:lang w:val="en-US"/>
              </w:rPr>
            </w:pPr>
            <w:r w:rsidRPr="003B10E2">
              <w:rPr>
                <w:rFonts w:ascii="Times New Roman" w:hAnsi="Times New Roman"/>
                <w:sz w:val="24"/>
                <w:szCs w:val="24"/>
                <w:lang w:val="en-US"/>
              </w:rPr>
              <w:t>F</w:t>
            </w:r>
          </w:p>
        </w:tc>
        <w:tc>
          <w:tcPr>
            <w:tcW w:w="1701" w:type="dxa"/>
            <w:tcBorders>
              <w:top w:val="single" w:sz="4" w:space="0" w:color="000000"/>
              <w:bottom w:val="double" w:sz="4" w:space="0" w:color="000000"/>
              <w:right w:val="single" w:sz="4" w:space="0" w:color="000000"/>
            </w:tcBorders>
            <w:shd w:val="clear" w:color="auto" w:fill="auto"/>
            <w:vAlign w:val="bottom"/>
          </w:tcPr>
          <w:p w14:paraId="73C889D3" w14:textId="77777777" w:rsidR="000E0FE8" w:rsidRPr="003B10E2" w:rsidRDefault="000E0FE8" w:rsidP="005D28E0">
            <w:pPr>
              <w:widowControl w:val="0"/>
              <w:spacing w:after="0" w:line="240" w:lineRule="auto"/>
              <w:jc w:val="center"/>
              <w:rPr>
                <w:rFonts w:ascii="Times New Roman" w:hAnsi="Times New Roman"/>
                <w:sz w:val="24"/>
                <w:szCs w:val="24"/>
                <w:lang w:val="en-US"/>
              </w:rPr>
            </w:pPr>
            <w:r w:rsidRPr="003B10E2">
              <w:rPr>
                <w:rFonts w:ascii="Times New Roman" w:hAnsi="Times New Roman"/>
                <w:sz w:val="24"/>
                <w:szCs w:val="24"/>
                <w:lang w:val="en-US"/>
              </w:rPr>
              <w:t>f-test significance</w:t>
            </w:r>
          </w:p>
        </w:tc>
      </w:tr>
      <w:tr w:rsidR="000E0FE8" w:rsidRPr="003B10E2" w14:paraId="59A7AE74" w14:textId="77777777" w:rsidTr="005D28E0">
        <w:trPr>
          <w:trHeight w:val="289"/>
        </w:trPr>
        <w:tc>
          <w:tcPr>
            <w:tcW w:w="1271" w:type="dxa"/>
            <w:tcBorders>
              <w:top w:val="double" w:sz="4" w:space="0" w:color="000000"/>
              <w:left w:val="single" w:sz="4" w:space="0" w:color="000000"/>
              <w:bottom w:val="single" w:sz="4" w:space="0" w:color="000000"/>
              <w:right w:val="single" w:sz="4" w:space="0" w:color="000000"/>
            </w:tcBorders>
            <w:shd w:val="clear" w:color="auto" w:fill="auto"/>
            <w:vAlign w:val="bottom"/>
          </w:tcPr>
          <w:p w14:paraId="43C938D4"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RURUSD</w:t>
            </w:r>
          </w:p>
        </w:tc>
        <w:tc>
          <w:tcPr>
            <w:tcW w:w="709" w:type="dxa"/>
            <w:tcBorders>
              <w:top w:val="double" w:sz="4" w:space="0" w:color="000000"/>
              <w:left w:val="single" w:sz="4" w:space="0" w:color="000000"/>
              <w:bottom w:val="single" w:sz="4" w:space="0" w:color="000000"/>
              <w:right w:val="single" w:sz="4" w:space="0" w:color="000000"/>
            </w:tcBorders>
            <w:shd w:val="clear" w:color="auto" w:fill="auto"/>
            <w:vAlign w:val="bottom"/>
          </w:tcPr>
          <w:p w14:paraId="1995E493" w14:textId="77777777" w:rsidR="000E0FE8" w:rsidRPr="003B10E2" w:rsidRDefault="000E0FE8" w:rsidP="005D28E0">
            <w:pPr>
              <w:widowControl w:val="0"/>
              <w:spacing w:after="0" w:line="240" w:lineRule="auto"/>
              <w:jc w:val="right"/>
              <w:rPr>
                <w:rFonts w:ascii="Times New Roman" w:hAnsi="Times New Roman"/>
                <w:sz w:val="24"/>
                <w:szCs w:val="24"/>
                <w:lang w:val="en-US"/>
              </w:rPr>
            </w:pPr>
            <w:r w:rsidRPr="003B10E2">
              <w:rPr>
                <w:rFonts w:ascii="Times New Roman" w:hAnsi="Times New Roman"/>
                <w:sz w:val="24"/>
                <w:szCs w:val="24"/>
                <w:lang w:val="en-US"/>
              </w:rPr>
              <w:t>0,35</w:t>
            </w:r>
          </w:p>
        </w:tc>
        <w:tc>
          <w:tcPr>
            <w:tcW w:w="709" w:type="dxa"/>
            <w:tcBorders>
              <w:top w:val="double" w:sz="4" w:space="0" w:color="000000"/>
              <w:bottom w:val="single" w:sz="4" w:space="0" w:color="000000"/>
              <w:right w:val="single" w:sz="4" w:space="0" w:color="000000"/>
            </w:tcBorders>
            <w:shd w:val="clear" w:color="auto" w:fill="auto"/>
            <w:vAlign w:val="bottom"/>
          </w:tcPr>
          <w:p w14:paraId="266EA0CA" w14:textId="77777777" w:rsidR="000E0FE8" w:rsidRPr="003B10E2" w:rsidRDefault="000E0FE8" w:rsidP="005D28E0">
            <w:pPr>
              <w:widowControl w:val="0"/>
              <w:spacing w:after="0" w:line="240" w:lineRule="auto"/>
              <w:jc w:val="right"/>
              <w:rPr>
                <w:rFonts w:ascii="Times New Roman" w:hAnsi="Times New Roman"/>
                <w:sz w:val="24"/>
                <w:szCs w:val="24"/>
                <w:lang w:val="en-US"/>
              </w:rPr>
            </w:pPr>
            <w:r w:rsidRPr="003B10E2">
              <w:rPr>
                <w:rFonts w:ascii="Times New Roman" w:hAnsi="Times New Roman"/>
                <w:sz w:val="24"/>
                <w:szCs w:val="24"/>
                <w:lang w:val="en-US"/>
              </w:rPr>
              <w:t>0,35</w:t>
            </w:r>
          </w:p>
        </w:tc>
        <w:tc>
          <w:tcPr>
            <w:tcW w:w="992" w:type="dxa"/>
            <w:tcBorders>
              <w:top w:val="double" w:sz="4" w:space="0" w:color="000000"/>
              <w:bottom w:val="single" w:sz="4" w:space="0" w:color="000000"/>
              <w:right w:val="single" w:sz="4" w:space="0" w:color="000000"/>
            </w:tcBorders>
            <w:shd w:val="clear" w:color="auto" w:fill="auto"/>
            <w:vAlign w:val="bottom"/>
          </w:tcPr>
          <w:p w14:paraId="7D1B207F" w14:textId="77777777" w:rsidR="000E0FE8" w:rsidRPr="003B10E2" w:rsidRDefault="000E0FE8" w:rsidP="005D28E0">
            <w:pPr>
              <w:widowControl w:val="0"/>
              <w:spacing w:after="0" w:line="240" w:lineRule="auto"/>
              <w:jc w:val="right"/>
              <w:rPr>
                <w:rFonts w:ascii="Times New Roman" w:hAnsi="Times New Roman"/>
                <w:sz w:val="24"/>
                <w:szCs w:val="24"/>
                <w:lang w:val="en-US"/>
              </w:rPr>
            </w:pPr>
            <w:r w:rsidRPr="003B10E2">
              <w:rPr>
                <w:rFonts w:ascii="Times New Roman" w:hAnsi="Times New Roman"/>
                <w:sz w:val="24"/>
                <w:szCs w:val="24"/>
                <w:lang w:val="en-US"/>
              </w:rPr>
              <w:t>788,71</w:t>
            </w:r>
          </w:p>
        </w:tc>
        <w:tc>
          <w:tcPr>
            <w:tcW w:w="1701" w:type="dxa"/>
            <w:tcBorders>
              <w:top w:val="double" w:sz="4" w:space="0" w:color="000000"/>
              <w:bottom w:val="single" w:sz="4" w:space="0" w:color="000000"/>
              <w:right w:val="single" w:sz="4" w:space="0" w:color="000000"/>
            </w:tcBorders>
            <w:shd w:val="clear" w:color="auto" w:fill="auto"/>
            <w:vAlign w:val="bottom"/>
          </w:tcPr>
          <w:p w14:paraId="14BAB468" w14:textId="77777777" w:rsidR="000E0FE8" w:rsidRPr="003B10E2" w:rsidRDefault="000E0FE8" w:rsidP="005D28E0">
            <w:pPr>
              <w:widowControl w:val="0"/>
              <w:spacing w:after="0" w:line="240" w:lineRule="auto"/>
              <w:jc w:val="right"/>
              <w:rPr>
                <w:rFonts w:ascii="Times New Roman" w:hAnsi="Times New Roman"/>
                <w:sz w:val="24"/>
                <w:szCs w:val="24"/>
                <w:lang w:val="en-US"/>
              </w:rPr>
            </w:pPr>
            <w:r w:rsidRPr="003B10E2">
              <w:rPr>
                <w:rFonts w:ascii="Times New Roman" w:hAnsi="Times New Roman"/>
                <w:sz w:val="24"/>
                <w:szCs w:val="24"/>
                <w:lang w:val="en-US"/>
              </w:rPr>
              <w:t>0,00</w:t>
            </w:r>
          </w:p>
        </w:tc>
      </w:tr>
      <w:tr w:rsidR="000E0FE8" w:rsidRPr="003B10E2" w14:paraId="768E9629" w14:textId="77777777" w:rsidTr="005D28E0">
        <w:trPr>
          <w:trHeight w:val="289"/>
        </w:trPr>
        <w:tc>
          <w:tcPr>
            <w:tcW w:w="1271" w:type="dxa"/>
            <w:tcBorders>
              <w:left w:val="single" w:sz="4" w:space="0" w:color="000000"/>
              <w:bottom w:val="single" w:sz="4" w:space="0" w:color="000000"/>
              <w:right w:val="single" w:sz="4" w:space="0" w:color="000000"/>
            </w:tcBorders>
            <w:shd w:val="clear" w:color="auto" w:fill="auto"/>
            <w:vAlign w:val="bottom"/>
          </w:tcPr>
          <w:p w14:paraId="10DC8C95"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DZDUSD</w:t>
            </w:r>
          </w:p>
        </w:tc>
        <w:tc>
          <w:tcPr>
            <w:tcW w:w="709" w:type="dxa"/>
            <w:tcBorders>
              <w:left w:val="single" w:sz="4" w:space="0" w:color="000000"/>
              <w:bottom w:val="single" w:sz="4" w:space="0" w:color="000000"/>
              <w:right w:val="single" w:sz="4" w:space="0" w:color="000000"/>
            </w:tcBorders>
            <w:shd w:val="clear" w:color="auto" w:fill="auto"/>
            <w:vAlign w:val="bottom"/>
          </w:tcPr>
          <w:p w14:paraId="7809EDF1" w14:textId="77777777" w:rsidR="000E0FE8" w:rsidRPr="003B10E2" w:rsidRDefault="000E0FE8" w:rsidP="005D28E0">
            <w:pPr>
              <w:widowControl w:val="0"/>
              <w:spacing w:after="0" w:line="240" w:lineRule="auto"/>
              <w:jc w:val="right"/>
              <w:rPr>
                <w:rFonts w:ascii="Times New Roman" w:hAnsi="Times New Roman"/>
                <w:sz w:val="24"/>
                <w:szCs w:val="24"/>
                <w:lang w:val="en-US"/>
              </w:rPr>
            </w:pPr>
            <w:r w:rsidRPr="003B10E2">
              <w:rPr>
                <w:rFonts w:ascii="Times New Roman" w:hAnsi="Times New Roman"/>
                <w:sz w:val="24"/>
                <w:szCs w:val="24"/>
                <w:lang w:val="en-US"/>
              </w:rPr>
              <w:t>0,01</w:t>
            </w:r>
          </w:p>
        </w:tc>
        <w:tc>
          <w:tcPr>
            <w:tcW w:w="709" w:type="dxa"/>
            <w:tcBorders>
              <w:bottom w:val="single" w:sz="4" w:space="0" w:color="000000"/>
              <w:right w:val="single" w:sz="4" w:space="0" w:color="000000"/>
            </w:tcBorders>
            <w:shd w:val="clear" w:color="auto" w:fill="auto"/>
            <w:vAlign w:val="bottom"/>
          </w:tcPr>
          <w:p w14:paraId="2FFA3123" w14:textId="77777777" w:rsidR="000E0FE8" w:rsidRPr="003B10E2" w:rsidRDefault="000E0FE8" w:rsidP="005D28E0">
            <w:pPr>
              <w:widowControl w:val="0"/>
              <w:spacing w:after="0" w:line="240" w:lineRule="auto"/>
              <w:jc w:val="right"/>
              <w:rPr>
                <w:rFonts w:ascii="Times New Roman" w:hAnsi="Times New Roman"/>
                <w:sz w:val="24"/>
                <w:szCs w:val="24"/>
                <w:lang w:val="en-US"/>
              </w:rPr>
            </w:pPr>
            <w:r w:rsidRPr="003B10E2">
              <w:rPr>
                <w:rFonts w:ascii="Times New Roman" w:hAnsi="Times New Roman"/>
                <w:sz w:val="24"/>
                <w:szCs w:val="24"/>
                <w:lang w:val="en-US"/>
              </w:rPr>
              <w:t>0,01</w:t>
            </w:r>
          </w:p>
        </w:tc>
        <w:tc>
          <w:tcPr>
            <w:tcW w:w="992" w:type="dxa"/>
            <w:tcBorders>
              <w:bottom w:val="single" w:sz="4" w:space="0" w:color="000000"/>
              <w:right w:val="single" w:sz="4" w:space="0" w:color="000000"/>
            </w:tcBorders>
            <w:shd w:val="clear" w:color="auto" w:fill="auto"/>
            <w:vAlign w:val="bottom"/>
          </w:tcPr>
          <w:p w14:paraId="2C3BC57C" w14:textId="77777777" w:rsidR="000E0FE8" w:rsidRPr="003B10E2" w:rsidRDefault="000E0FE8" w:rsidP="005D28E0">
            <w:pPr>
              <w:widowControl w:val="0"/>
              <w:spacing w:after="0" w:line="240" w:lineRule="auto"/>
              <w:jc w:val="right"/>
              <w:rPr>
                <w:rFonts w:ascii="Times New Roman" w:hAnsi="Times New Roman"/>
                <w:sz w:val="24"/>
                <w:szCs w:val="24"/>
                <w:lang w:val="en-US"/>
              </w:rPr>
            </w:pPr>
            <w:r w:rsidRPr="003B10E2">
              <w:rPr>
                <w:rFonts w:ascii="Times New Roman" w:hAnsi="Times New Roman"/>
                <w:sz w:val="24"/>
                <w:szCs w:val="24"/>
                <w:lang w:val="en-US"/>
              </w:rPr>
              <w:t>11,48</w:t>
            </w:r>
          </w:p>
        </w:tc>
        <w:tc>
          <w:tcPr>
            <w:tcW w:w="1701" w:type="dxa"/>
            <w:tcBorders>
              <w:bottom w:val="single" w:sz="4" w:space="0" w:color="000000"/>
              <w:right w:val="single" w:sz="4" w:space="0" w:color="000000"/>
            </w:tcBorders>
            <w:shd w:val="clear" w:color="auto" w:fill="auto"/>
            <w:vAlign w:val="bottom"/>
          </w:tcPr>
          <w:p w14:paraId="0C14019D" w14:textId="77777777" w:rsidR="000E0FE8" w:rsidRPr="003B10E2" w:rsidRDefault="000E0FE8" w:rsidP="005D28E0">
            <w:pPr>
              <w:widowControl w:val="0"/>
              <w:spacing w:after="0" w:line="240" w:lineRule="auto"/>
              <w:jc w:val="right"/>
              <w:rPr>
                <w:rFonts w:ascii="Times New Roman" w:hAnsi="Times New Roman"/>
                <w:sz w:val="24"/>
                <w:szCs w:val="24"/>
                <w:lang w:val="en-US"/>
              </w:rPr>
            </w:pPr>
            <w:r w:rsidRPr="003B10E2">
              <w:rPr>
                <w:rFonts w:ascii="Times New Roman" w:hAnsi="Times New Roman"/>
                <w:sz w:val="24"/>
                <w:szCs w:val="24"/>
                <w:lang w:val="en-US"/>
              </w:rPr>
              <w:t>0,00</w:t>
            </w:r>
          </w:p>
        </w:tc>
      </w:tr>
      <w:tr w:rsidR="000E0FE8" w:rsidRPr="003B10E2" w14:paraId="0E73C143" w14:textId="77777777" w:rsidTr="005D28E0">
        <w:trPr>
          <w:trHeight w:val="275"/>
        </w:trPr>
        <w:tc>
          <w:tcPr>
            <w:tcW w:w="1271" w:type="dxa"/>
            <w:tcBorders>
              <w:left w:val="single" w:sz="4" w:space="0" w:color="000000"/>
              <w:bottom w:val="single" w:sz="4" w:space="0" w:color="000000"/>
              <w:right w:val="single" w:sz="4" w:space="0" w:color="000000"/>
            </w:tcBorders>
            <w:shd w:val="clear" w:color="auto" w:fill="auto"/>
            <w:vAlign w:val="bottom"/>
          </w:tcPr>
          <w:p w14:paraId="57239097"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NGNUSD</w:t>
            </w:r>
          </w:p>
        </w:tc>
        <w:tc>
          <w:tcPr>
            <w:tcW w:w="709" w:type="dxa"/>
            <w:tcBorders>
              <w:left w:val="single" w:sz="4" w:space="0" w:color="000000"/>
              <w:bottom w:val="single" w:sz="4" w:space="0" w:color="000000"/>
              <w:right w:val="single" w:sz="4" w:space="0" w:color="000000"/>
            </w:tcBorders>
            <w:shd w:val="clear" w:color="auto" w:fill="auto"/>
            <w:vAlign w:val="bottom"/>
          </w:tcPr>
          <w:p w14:paraId="0A6EC7B3" w14:textId="77777777" w:rsidR="000E0FE8" w:rsidRPr="003B10E2" w:rsidRDefault="000E0FE8" w:rsidP="005D28E0">
            <w:pPr>
              <w:widowControl w:val="0"/>
              <w:spacing w:after="0" w:line="240" w:lineRule="auto"/>
              <w:jc w:val="right"/>
              <w:rPr>
                <w:rFonts w:ascii="Times New Roman" w:hAnsi="Times New Roman"/>
                <w:sz w:val="24"/>
                <w:szCs w:val="24"/>
                <w:lang w:val="en-US"/>
              </w:rPr>
            </w:pPr>
            <w:r w:rsidRPr="003B10E2">
              <w:rPr>
                <w:rFonts w:ascii="Times New Roman" w:hAnsi="Times New Roman"/>
                <w:sz w:val="24"/>
                <w:szCs w:val="24"/>
                <w:lang w:val="en-US"/>
              </w:rPr>
              <w:t>0,00</w:t>
            </w:r>
          </w:p>
        </w:tc>
        <w:tc>
          <w:tcPr>
            <w:tcW w:w="709" w:type="dxa"/>
            <w:tcBorders>
              <w:bottom w:val="single" w:sz="4" w:space="0" w:color="000000"/>
              <w:right w:val="single" w:sz="4" w:space="0" w:color="000000"/>
            </w:tcBorders>
            <w:shd w:val="clear" w:color="auto" w:fill="auto"/>
            <w:vAlign w:val="bottom"/>
          </w:tcPr>
          <w:p w14:paraId="56EFE582" w14:textId="77777777" w:rsidR="000E0FE8" w:rsidRPr="003B10E2" w:rsidRDefault="000E0FE8" w:rsidP="005D28E0">
            <w:pPr>
              <w:widowControl w:val="0"/>
              <w:spacing w:after="0" w:line="240" w:lineRule="auto"/>
              <w:jc w:val="right"/>
              <w:rPr>
                <w:rFonts w:ascii="Times New Roman" w:hAnsi="Times New Roman"/>
                <w:sz w:val="24"/>
                <w:szCs w:val="24"/>
                <w:lang w:val="en-US"/>
              </w:rPr>
            </w:pPr>
            <w:r w:rsidRPr="003B10E2">
              <w:rPr>
                <w:rFonts w:ascii="Times New Roman" w:hAnsi="Times New Roman"/>
                <w:sz w:val="24"/>
                <w:szCs w:val="24"/>
                <w:lang w:val="en-US"/>
              </w:rPr>
              <w:t>0,00</w:t>
            </w:r>
          </w:p>
        </w:tc>
        <w:tc>
          <w:tcPr>
            <w:tcW w:w="992" w:type="dxa"/>
            <w:tcBorders>
              <w:bottom w:val="single" w:sz="4" w:space="0" w:color="000000"/>
              <w:right w:val="single" w:sz="4" w:space="0" w:color="000000"/>
            </w:tcBorders>
            <w:shd w:val="clear" w:color="auto" w:fill="auto"/>
            <w:vAlign w:val="bottom"/>
          </w:tcPr>
          <w:p w14:paraId="4C449101" w14:textId="77777777" w:rsidR="000E0FE8" w:rsidRPr="003B10E2" w:rsidRDefault="000E0FE8" w:rsidP="005D28E0">
            <w:pPr>
              <w:widowControl w:val="0"/>
              <w:spacing w:after="0" w:line="240" w:lineRule="auto"/>
              <w:jc w:val="right"/>
              <w:rPr>
                <w:rFonts w:ascii="Times New Roman" w:hAnsi="Times New Roman"/>
                <w:sz w:val="24"/>
                <w:szCs w:val="24"/>
                <w:lang w:val="en-US"/>
              </w:rPr>
            </w:pPr>
            <w:r w:rsidRPr="003B10E2">
              <w:rPr>
                <w:rFonts w:ascii="Times New Roman" w:hAnsi="Times New Roman"/>
                <w:sz w:val="24"/>
                <w:szCs w:val="24"/>
                <w:lang w:val="en-US"/>
              </w:rPr>
              <w:t>1,67</w:t>
            </w:r>
          </w:p>
        </w:tc>
        <w:tc>
          <w:tcPr>
            <w:tcW w:w="1701" w:type="dxa"/>
            <w:tcBorders>
              <w:bottom w:val="single" w:sz="4" w:space="0" w:color="000000"/>
              <w:right w:val="single" w:sz="4" w:space="0" w:color="000000"/>
            </w:tcBorders>
            <w:shd w:val="clear" w:color="auto" w:fill="auto"/>
            <w:vAlign w:val="bottom"/>
          </w:tcPr>
          <w:p w14:paraId="7D7BB8F6" w14:textId="77777777" w:rsidR="000E0FE8" w:rsidRPr="003B10E2" w:rsidRDefault="000E0FE8" w:rsidP="005D28E0">
            <w:pPr>
              <w:widowControl w:val="0"/>
              <w:spacing w:after="0" w:line="240" w:lineRule="auto"/>
              <w:jc w:val="right"/>
              <w:rPr>
                <w:rFonts w:ascii="Times New Roman" w:hAnsi="Times New Roman"/>
                <w:sz w:val="24"/>
                <w:szCs w:val="24"/>
                <w:lang w:val="en-US"/>
              </w:rPr>
            </w:pPr>
            <w:r w:rsidRPr="003B10E2">
              <w:rPr>
                <w:rFonts w:ascii="Times New Roman" w:hAnsi="Times New Roman"/>
                <w:sz w:val="24"/>
                <w:szCs w:val="24"/>
                <w:lang w:val="en-US"/>
              </w:rPr>
              <w:t>0,20</w:t>
            </w:r>
          </w:p>
        </w:tc>
      </w:tr>
    </w:tbl>
    <w:p w14:paraId="09C9DF9D" w14:textId="77777777" w:rsidR="000E0FE8" w:rsidRPr="003B10E2" w:rsidRDefault="000E0FE8" w:rsidP="000E0FE8">
      <w:pPr>
        <w:rPr>
          <w:rFonts w:ascii="Times New Roman" w:hAnsi="Times New Roman"/>
          <w:sz w:val="24"/>
          <w:szCs w:val="24"/>
          <w:lang w:val="en-US"/>
        </w:rPr>
      </w:pPr>
      <w:r w:rsidRPr="003B10E2">
        <w:rPr>
          <w:rFonts w:ascii="Times New Roman" w:hAnsi="Times New Roman"/>
          <w:sz w:val="24"/>
          <w:szCs w:val="24"/>
        </w:rPr>
        <w:t>Источник</w:t>
      </w:r>
      <w:r w:rsidRPr="003B10E2">
        <w:rPr>
          <w:rFonts w:ascii="Times New Roman" w:hAnsi="Times New Roman"/>
          <w:sz w:val="24"/>
          <w:szCs w:val="24"/>
          <w:lang w:val="en-US"/>
        </w:rPr>
        <w:t>: Thomson Reuters.</w:t>
      </w:r>
    </w:p>
    <w:p w14:paraId="20944D53" w14:textId="77777777" w:rsidR="000E0FE8" w:rsidRPr="003B10E2" w:rsidRDefault="000E0FE8" w:rsidP="000E0FE8">
      <w:pPr>
        <w:rPr>
          <w:rFonts w:ascii="Times New Roman" w:hAnsi="Times New Roman"/>
          <w:sz w:val="24"/>
          <w:szCs w:val="24"/>
        </w:rPr>
      </w:pPr>
      <w:r w:rsidRPr="003B10E2">
        <w:rPr>
          <w:rFonts w:ascii="Times New Roman" w:hAnsi="Times New Roman"/>
          <w:sz w:val="24"/>
          <w:szCs w:val="24"/>
        </w:rPr>
        <w:t xml:space="preserve">Таблица </w:t>
      </w:r>
      <w:r w:rsidR="00683F14" w:rsidRPr="003B10E2">
        <w:rPr>
          <w:rFonts w:ascii="Times New Roman" w:hAnsi="Times New Roman"/>
          <w:sz w:val="24"/>
          <w:szCs w:val="24"/>
        </w:rPr>
        <w:t>4</w:t>
      </w:r>
      <w:r w:rsidRPr="003B10E2">
        <w:rPr>
          <w:rFonts w:ascii="Times New Roman" w:hAnsi="Times New Roman"/>
          <w:sz w:val="24"/>
          <w:szCs w:val="24"/>
        </w:rPr>
        <w:t xml:space="preserve"> Результаты оценки модели </w:t>
      </w:r>
      <w:r w:rsidRPr="003B10E2">
        <w:rPr>
          <w:rFonts w:ascii="Times New Roman" w:hAnsi="Times New Roman"/>
          <w:sz w:val="24"/>
          <w:szCs w:val="24"/>
          <w:lang w:val="en-US"/>
        </w:rPr>
        <w:t>VAR</w:t>
      </w:r>
      <w:r w:rsidRPr="003B10E2">
        <w:rPr>
          <w:rFonts w:ascii="Times New Roman" w:hAnsi="Times New Roman"/>
          <w:sz w:val="24"/>
          <w:szCs w:val="24"/>
        </w:rPr>
        <w:t xml:space="preserve"> для ежедневной доходности.</w:t>
      </w:r>
    </w:p>
    <w:tbl>
      <w:tblPr>
        <w:tblW w:w="5807" w:type="dxa"/>
        <w:tblLayout w:type="fixed"/>
        <w:tblLook w:val="04A0" w:firstRow="1" w:lastRow="0" w:firstColumn="1" w:lastColumn="0" w:noHBand="0" w:noVBand="1"/>
      </w:tblPr>
      <w:tblGrid>
        <w:gridCol w:w="1321"/>
        <w:gridCol w:w="1509"/>
        <w:gridCol w:w="1560"/>
        <w:gridCol w:w="1417"/>
      </w:tblGrid>
      <w:tr w:rsidR="000E0FE8" w:rsidRPr="003B10E2" w14:paraId="2218408B" w14:textId="77777777" w:rsidTr="005D28E0">
        <w:trPr>
          <w:trHeight w:val="300"/>
        </w:trPr>
        <w:tc>
          <w:tcPr>
            <w:tcW w:w="1321" w:type="dxa"/>
            <w:tcBorders>
              <w:top w:val="single" w:sz="4" w:space="0" w:color="000000"/>
              <w:left w:val="single" w:sz="4" w:space="0" w:color="000000"/>
              <w:bottom w:val="double" w:sz="4" w:space="0" w:color="000000"/>
              <w:right w:val="single" w:sz="4" w:space="0" w:color="000000"/>
            </w:tcBorders>
            <w:shd w:val="clear" w:color="auto" w:fill="auto"/>
            <w:vAlign w:val="bottom"/>
          </w:tcPr>
          <w:p w14:paraId="746720F9" w14:textId="77777777" w:rsidR="000E0FE8" w:rsidRPr="003B10E2" w:rsidRDefault="000E0FE8" w:rsidP="005D28E0">
            <w:pPr>
              <w:widowControl w:val="0"/>
              <w:spacing w:after="0" w:line="240" w:lineRule="auto"/>
              <w:rPr>
                <w:rFonts w:ascii="Times New Roman" w:hAnsi="Times New Roman"/>
                <w:sz w:val="24"/>
                <w:szCs w:val="24"/>
              </w:rPr>
            </w:pPr>
            <w:r w:rsidRPr="003B10E2">
              <w:rPr>
                <w:rFonts w:ascii="Times New Roman" w:hAnsi="Times New Roman"/>
                <w:sz w:val="24"/>
                <w:szCs w:val="24"/>
              </w:rPr>
              <w:t>Параметр</w:t>
            </w:r>
          </w:p>
        </w:tc>
        <w:tc>
          <w:tcPr>
            <w:tcW w:w="1509" w:type="dxa"/>
            <w:tcBorders>
              <w:top w:val="single" w:sz="4" w:space="0" w:color="000000"/>
              <w:left w:val="single" w:sz="4" w:space="0" w:color="000000"/>
              <w:bottom w:val="double" w:sz="4" w:space="0" w:color="000000"/>
              <w:right w:val="single" w:sz="4" w:space="0" w:color="000000"/>
            </w:tcBorders>
            <w:shd w:val="clear" w:color="auto" w:fill="auto"/>
            <w:vAlign w:val="bottom"/>
          </w:tcPr>
          <w:p w14:paraId="3368D6A9"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RUB/USD</w:t>
            </w:r>
          </w:p>
        </w:tc>
        <w:tc>
          <w:tcPr>
            <w:tcW w:w="1560" w:type="dxa"/>
            <w:tcBorders>
              <w:top w:val="single" w:sz="4" w:space="0" w:color="000000"/>
              <w:left w:val="single" w:sz="4" w:space="0" w:color="000000"/>
              <w:bottom w:val="double" w:sz="4" w:space="0" w:color="000000"/>
              <w:right w:val="single" w:sz="4" w:space="0" w:color="000000"/>
            </w:tcBorders>
            <w:shd w:val="clear" w:color="auto" w:fill="auto"/>
            <w:vAlign w:val="bottom"/>
          </w:tcPr>
          <w:p w14:paraId="57FFE1F1"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DZD/USD</w:t>
            </w:r>
          </w:p>
        </w:tc>
        <w:tc>
          <w:tcPr>
            <w:tcW w:w="1417" w:type="dxa"/>
            <w:tcBorders>
              <w:top w:val="single" w:sz="4" w:space="0" w:color="000000"/>
              <w:left w:val="single" w:sz="4" w:space="0" w:color="000000"/>
              <w:bottom w:val="double" w:sz="4" w:space="0" w:color="000000"/>
              <w:right w:val="single" w:sz="4" w:space="0" w:color="000000"/>
            </w:tcBorders>
            <w:shd w:val="clear" w:color="auto" w:fill="auto"/>
            <w:vAlign w:val="bottom"/>
          </w:tcPr>
          <w:p w14:paraId="0E8BBE82"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NGN/USD</w:t>
            </w:r>
          </w:p>
        </w:tc>
      </w:tr>
      <w:tr w:rsidR="000E0FE8" w:rsidRPr="003B10E2" w14:paraId="69EE3ADC" w14:textId="77777777" w:rsidTr="005D28E0">
        <w:trPr>
          <w:trHeight w:val="300"/>
        </w:trPr>
        <w:tc>
          <w:tcPr>
            <w:tcW w:w="1321" w:type="dxa"/>
            <w:tcBorders>
              <w:top w:val="double" w:sz="4" w:space="0" w:color="000000"/>
              <w:left w:val="single" w:sz="4" w:space="0" w:color="000000"/>
              <w:bottom w:val="single" w:sz="4" w:space="0" w:color="000000"/>
              <w:right w:val="single" w:sz="4" w:space="0" w:color="000000"/>
            </w:tcBorders>
            <w:shd w:val="clear" w:color="auto" w:fill="auto"/>
            <w:vAlign w:val="bottom"/>
          </w:tcPr>
          <w:p w14:paraId="1770DAA2"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U</w:t>
            </w:r>
          </w:p>
        </w:tc>
        <w:tc>
          <w:tcPr>
            <w:tcW w:w="1509" w:type="dxa"/>
            <w:tcBorders>
              <w:top w:val="double" w:sz="4" w:space="0" w:color="000000"/>
              <w:left w:val="single" w:sz="4" w:space="0" w:color="000000"/>
              <w:bottom w:val="single" w:sz="4" w:space="0" w:color="000000"/>
              <w:right w:val="single" w:sz="4" w:space="0" w:color="000000"/>
            </w:tcBorders>
            <w:shd w:val="clear" w:color="auto" w:fill="auto"/>
            <w:vAlign w:val="bottom"/>
          </w:tcPr>
          <w:p w14:paraId="5F802CED"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0.0013</w:t>
            </w:r>
          </w:p>
        </w:tc>
        <w:tc>
          <w:tcPr>
            <w:tcW w:w="1560" w:type="dxa"/>
            <w:tcBorders>
              <w:top w:val="double" w:sz="4" w:space="0" w:color="000000"/>
              <w:left w:val="single" w:sz="4" w:space="0" w:color="000000"/>
              <w:bottom w:val="single" w:sz="4" w:space="0" w:color="000000"/>
              <w:right w:val="single" w:sz="4" w:space="0" w:color="000000"/>
            </w:tcBorders>
            <w:shd w:val="clear" w:color="auto" w:fill="auto"/>
            <w:vAlign w:val="bottom"/>
          </w:tcPr>
          <w:p w14:paraId="53486327"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0.0054</w:t>
            </w:r>
          </w:p>
        </w:tc>
        <w:tc>
          <w:tcPr>
            <w:tcW w:w="1417" w:type="dxa"/>
            <w:tcBorders>
              <w:top w:val="double" w:sz="4" w:space="0" w:color="000000"/>
              <w:left w:val="single" w:sz="4" w:space="0" w:color="000000"/>
              <w:bottom w:val="single" w:sz="4" w:space="0" w:color="000000"/>
              <w:right w:val="single" w:sz="4" w:space="0" w:color="000000"/>
            </w:tcBorders>
            <w:shd w:val="clear" w:color="auto" w:fill="auto"/>
            <w:vAlign w:val="bottom"/>
          </w:tcPr>
          <w:p w14:paraId="1B10ADF4"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0.0013</w:t>
            </w:r>
          </w:p>
        </w:tc>
      </w:tr>
      <w:tr w:rsidR="000E0FE8" w:rsidRPr="003B10E2" w14:paraId="57B58791" w14:textId="77777777" w:rsidTr="005D28E0">
        <w:trPr>
          <w:trHeight w:val="300"/>
        </w:trPr>
        <w:tc>
          <w:tcPr>
            <w:tcW w:w="13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55063A"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a1</w:t>
            </w:r>
          </w:p>
        </w:tc>
        <w:tc>
          <w:tcPr>
            <w:tcW w:w="15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DCC606"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0.0699</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A59DD5"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0.1142</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A4E36C"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0.0654</w:t>
            </w:r>
          </w:p>
        </w:tc>
      </w:tr>
      <w:tr w:rsidR="000E0FE8" w:rsidRPr="003B10E2" w14:paraId="024D9D3E" w14:textId="77777777" w:rsidTr="005D28E0">
        <w:trPr>
          <w:trHeight w:val="300"/>
        </w:trPr>
        <w:tc>
          <w:tcPr>
            <w:tcW w:w="13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1E9DA4"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a2</w:t>
            </w:r>
          </w:p>
        </w:tc>
        <w:tc>
          <w:tcPr>
            <w:tcW w:w="15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927FDC"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0.0501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3FE840"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0.0861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BDA41C"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0.0352</w:t>
            </w:r>
          </w:p>
        </w:tc>
      </w:tr>
      <w:tr w:rsidR="000E0FE8" w:rsidRPr="003B10E2" w14:paraId="3BB7E670" w14:textId="77777777" w:rsidTr="005D28E0">
        <w:trPr>
          <w:trHeight w:val="300"/>
        </w:trPr>
        <w:tc>
          <w:tcPr>
            <w:tcW w:w="13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96098B"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a3</w:t>
            </w:r>
          </w:p>
        </w:tc>
        <w:tc>
          <w:tcPr>
            <w:tcW w:w="15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F91846"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0.0751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25333D"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0.0565</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2B5DBD"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0.0845</w:t>
            </w:r>
          </w:p>
        </w:tc>
      </w:tr>
      <w:tr w:rsidR="000E0FE8" w:rsidRPr="003B10E2" w14:paraId="43A9B476" w14:textId="77777777" w:rsidTr="005D28E0">
        <w:trPr>
          <w:trHeight w:val="300"/>
        </w:trPr>
        <w:tc>
          <w:tcPr>
            <w:tcW w:w="13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103B2B"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a4</w:t>
            </w:r>
          </w:p>
        </w:tc>
        <w:tc>
          <w:tcPr>
            <w:tcW w:w="15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BAAA5A"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0.0253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260E57"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0.0547</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012308"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0.0146</w:t>
            </w:r>
          </w:p>
        </w:tc>
      </w:tr>
      <w:tr w:rsidR="000E0FE8" w:rsidRPr="003B10E2" w14:paraId="069B1FFE" w14:textId="77777777" w:rsidTr="005D28E0">
        <w:trPr>
          <w:trHeight w:val="300"/>
        </w:trPr>
        <w:tc>
          <w:tcPr>
            <w:tcW w:w="13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7CE270"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a5</w:t>
            </w:r>
          </w:p>
        </w:tc>
        <w:tc>
          <w:tcPr>
            <w:tcW w:w="15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07DF25"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0.0363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085CF7"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0.0249</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E3575C"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0.0732</w:t>
            </w:r>
          </w:p>
        </w:tc>
      </w:tr>
      <w:tr w:rsidR="000E0FE8" w:rsidRPr="003B10E2" w14:paraId="0FF636D6" w14:textId="77777777" w:rsidTr="005D28E0">
        <w:trPr>
          <w:trHeight w:val="300"/>
        </w:trPr>
        <w:tc>
          <w:tcPr>
            <w:tcW w:w="13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271643"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a6</w:t>
            </w:r>
          </w:p>
        </w:tc>
        <w:tc>
          <w:tcPr>
            <w:tcW w:w="15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8DCAA6"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0.0558</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A438FF"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0.0331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2B3753"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0.0216</w:t>
            </w:r>
          </w:p>
        </w:tc>
      </w:tr>
      <w:tr w:rsidR="000E0FE8" w:rsidRPr="003B10E2" w14:paraId="5290182F" w14:textId="77777777" w:rsidTr="005D28E0">
        <w:trPr>
          <w:trHeight w:val="300"/>
        </w:trPr>
        <w:tc>
          <w:tcPr>
            <w:tcW w:w="13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A259D9"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a7</w:t>
            </w:r>
          </w:p>
        </w:tc>
        <w:tc>
          <w:tcPr>
            <w:tcW w:w="15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5DDD2F"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0.0873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FB1796"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0.0317</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C4A238"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0.0742</w:t>
            </w:r>
          </w:p>
        </w:tc>
      </w:tr>
      <w:tr w:rsidR="000E0FE8" w:rsidRPr="003B10E2" w14:paraId="6BBD51E8" w14:textId="77777777" w:rsidTr="005D28E0">
        <w:trPr>
          <w:trHeight w:val="300"/>
        </w:trPr>
        <w:tc>
          <w:tcPr>
            <w:tcW w:w="13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FC94BE"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a8</w:t>
            </w:r>
          </w:p>
        </w:tc>
        <w:tc>
          <w:tcPr>
            <w:tcW w:w="15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E33CC8"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0.0007</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9F6C98"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0.0407</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15D5F2"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0.0021</w:t>
            </w:r>
          </w:p>
        </w:tc>
      </w:tr>
      <w:tr w:rsidR="000E0FE8" w:rsidRPr="003B10E2" w14:paraId="6BA0C646" w14:textId="77777777" w:rsidTr="005D28E0">
        <w:trPr>
          <w:trHeight w:val="300"/>
        </w:trPr>
        <w:tc>
          <w:tcPr>
            <w:tcW w:w="13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FC212F"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b1</w:t>
            </w:r>
          </w:p>
        </w:tc>
        <w:tc>
          <w:tcPr>
            <w:tcW w:w="15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91FFE2"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0.0440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126BF4"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0.0351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C423DD"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0.0632</w:t>
            </w:r>
          </w:p>
        </w:tc>
      </w:tr>
      <w:tr w:rsidR="000E0FE8" w:rsidRPr="003B10E2" w14:paraId="1034A7ED" w14:textId="77777777" w:rsidTr="005D28E0">
        <w:trPr>
          <w:trHeight w:val="300"/>
        </w:trPr>
        <w:tc>
          <w:tcPr>
            <w:tcW w:w="13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E36857"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b2</w:t>
            </w:r>
          </w:p>
        </w:tc>
        <w:tc>
          <w:tcPr>
            <w:tcW w:w="15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267D4A"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0.0073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A155C0"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0.0532</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6386BD"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0.0152</w:t>
            </w:r>
          </w:p>
        </w:tc>
      </w:tr>
      <w:tr w:rsidR="000E0FE8" w:rsidRPr="003B10E2" w14:paraId="4C1DD3A8" w14:textId="77777777" w:rsidTr="005D28E0">
        <w:trPr>
          <w:trHeight w:val="300"/>
        </w:trPr>
        <w:tc>
          <w:tcPr>
            <w:tcW w:w="13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1AE977"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b3</w:t>
            </w:r>
          </w:p>
        </w:tc>
        <w:tc>
          <w:tcPr>
            <w:tcW w:w="15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7B672D"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0.0103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32073B"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0.0109</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4C5320"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0.0361</w:t>
            </w:r>
          </w:p>
        </w:tc>
      </w:tr>
      <w:tr w:rsidR="000E0FE8" w:rsidRPr="003B10E2" w14:paraId="0D54BA45" w14:textId="77777777" w:rsidTr="005D28E0">
        <w:trPr>
          <w:trHeight w:val="300"/>
        </w:trPr>
        <w:tc>
          <w:tcPr>
            <w:tcW w:w="13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4DB67D"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b4</w:t>
            </w:r>
          </w:p>
        </w:tc>
        <w:tc>
          <w:tcPr>
            <w:tcW w:w="15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5EA6CF"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0.0011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324563"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0.0371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9CE046"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0.0032</w:t>
            </w:r>
          </w:p>
        </w:tc>
      </w:tr>
      <w:tr w:rsidR="000E0FE8" w:rsidRPr="003B10E2" w14:paraId="5140C024" w14:textId="77777777" w:rsidTr="005D28E0">
        <w:trPr>
          <w:trHeight w:val="300"/>
        </w:trPr>
        <w:tc>
          <w:tcPr>
            <w:tcW w:w="13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7A9E92"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b5</w:t>
            </w:r>
          </w:p>
        </w:tc>
        <w:tc>
          <w:tcPr>
            <w:tcW w:w="15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21EEAE"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0.0182</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CE4010"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0.0913</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7C57CB"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0.0362</w:t>
            </w:r>
          </w:p>
        </w:tc>
      </w:tr>
      <w:tr w:rsidR="000E0FE8" w:rsidRPr="003B10E2" w14:paraId="0256EBC6" w14:textId="77777777" w:rsidTr="005D28E0">
        <w:trPr>
          <w:trHeight w:val="300"/>
        </w:trPr>
        <w:tc>
          <w:tcPr>
            <w:tcW w:w="13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18042A"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b6</w:t>
            </w:r>
          </w:p>
        </w:tc>
        <w:tc>
          <w:tcPr>
            <w:tcW w:w="15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6485FF"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0.0341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7526BC"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0.0341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5BBC63"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0.0451</w:t>
            </w:r>
          </w:p>
        </w:tc>
      </w:tr>
      <w:tr w:rsidR="000E0FE8" w:rsidRPr="003B10E2" w14:paraId="15C7692C" w14:textId="77777777" w:rsidTr="005D28E0">
        <w:trPr>
          <w:trHeight w:val="300"/>
        </w:trPr>
        <w:tc>
          <w:tcPr>
            <w:tcW w:w="13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9FBB2F"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b7</w:t>
            </w:r>
          </w:p>
        </w:tc>
        <w:tc>
          <w:tcPr>
            <w:tcW w:w="15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DCD305"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0.0165</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98223C"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0.0353</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663336"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0.0351</w:t>
            </w:r>
          </w:p>
        </w:tc>
      </w:tr>
      <w:tr w:rsidR="000E0FE8" w:rsidRPr="003B10E2" w14:paraId="66851468" w14:textId="77777777" w:rsidTr="005D28E0">
        <w:trPr>
          <w:trHeight w:val="300"/>
        </w:trPr>
        <w:tc>
          <w:tcPr>
            <w:tcW w:w="13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1A8C90"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 xml:space="preserve">b8 </w:t>
            </w:r>
          </w:p>
        </w:tc>
        <w:tc>
          <w:tcPr>
            <w:tcW w:w="15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8F200A"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0.0175</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CD1485"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0.0417</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9919F2" w14:textId="77777777"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0.0171</w:t>
            </w:r>
          </w:p>
        </w:tc>
      </w:tr>
    </w:tbl>
    <w:p w14:paraId="1A6CBC2A" w14:textId="77777777" w:rsidR="000E0FE8" w:rsidRPr="003B10E2" w:rsidRDefault="000E0FE8" w:rsidP="000E0FE8">
      <w:pPr>
        <w:rPr>
          <w:rFonts w:ascii="Times New Roman" w:hAnsi="Times New Roman"/>
          <w:sz w:val="24"/>
          <w:szCs w:val="24"/>
        </w:rPr>
      </w:pPr>
      <w:r w:rsidRPr="003B10E2">
        <w:rPr>
          <w:rFonts w:ascii="Times New Roman" w:hAnsi="Times New Roman"/>
          <w:sz w:val="24"/>
          <w:szCs w:val="24"/>
        </w:rPr>
        <w:t xml:space="preserve">Источник: </w:t>
      </w:r>
      <w:r w:rsidRPr="003B10E2">
        <w:rPr>
          <w:rFonts w:ascii="Times New Roman" w:hAnsi="Times New Roman"/>
          <w:sz w:val="24"/>
          <w:szCs w:val="24"/>
          <w:lang w:val="en-US"/>
        </w:rPr>
        <w:t>Thomson</w:t>
      </w:r>
      <w:r w:rsidRPr="003B10E2">
        <w:rPr>
          <w:rFonts w:ascii="Times New Roman" w:hAnsi="Times New Roman"/>
          <w:sz w:val="24"/>
          <w:szCs w:val="24"/>
        </w:rPr>
        <w:t xml:space="preserve"> </w:t>
      </w:r>
      <w:r w:rsidRPr="003B10E2">
        <w:rPr>
          <w:rFonts w:ascii="Times New Roman" w:hAnsi="Times New Roman"/>
          <w:sz w:val="24"/>
          <w:szCs w:val="24"/>
          <w:lang w:val="en-US"/>
        </w:rPr>
        <w:t>Reuters</w:t>
      </w:r>
      <w:r w:rsidRPr="003B10E2">
        <w:rPr>
          <w:rFonts w:ascii="Times New Roman" w:hAnsi="Times New Roman"/>
          <w:sz w:val="24"/>
          <w:szCs w:val="24"/>
        </w:rPr>
        <w:t>.</w:t>
      </w:r>
    </w:p>
    <w:p w14:paraId="587B5DB0" w14:textId="77777777" w:rsidR="000E0FE8" w:rsidRPr="003B10E2" w:rsidRDefault="00C72198" w:rsidP="000E0FE8">
      <w:pPr>
        <w:spacing w:after="0" w:line="360" w:lineRule="auto"/>
        <w:ind w:firstLine="708"/>
        <w:jc w:val="both"/>
        <w:rPr>
          <w:rFonts w:ascii="Times New Roman" w:hAnsi="Times New Roman"/>
          <w:color w:val="000000"/>
          <w:sz w:val="28"/>
          <w:szCs w:val="28"/>
        </w:rPr>
      </w:pPr>
      <w:r w:rsidRPr="003B10E2">
        <w:rPr>
          <w:noProof/>
        </w:rPr>
        <w:drawing>
          <wp:anchor distT="0" distB="0" distL="114300" distR="114300" simplePos="0" relativeHeight="251648512" behindDoc="0" locked="0" layoutInCell="1" allowOverlap="1" wp14:anchorId="15A761DD" wp14:editId="51620C10">
            <wp:simplePos x="0" y="0"/>
            <wp:positionH relativeFrom="column">
              <wp:posOffset>5715</wp:posOffset>
            </wp:positionH>
            <wp:positionV relativeFrom="paragraph">
              <wp:posOffset>1537970</wp:posOffset>
            </wp:positionV>
            <wp:extent cx="5876925" cy="2019300"/>
            <wp:effectExtent l="0" t="0" r="0" b="0"/>
            <wp:wrapTopAndBottom/>
            <wp:docPr id="1667043974" name="Рисунок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4"/>
                    <pic:cNvPicPr>
                      <a:picLocks/>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5112385"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0E0FE8" w:rsidRPr="003B10E2">
        <w:rPr>
          <w:rFonts w:ascii="Times New Roman" w:hAnsi="Times New Roman"/>
          <w:color w:val="000000"/>
          <w:sz w:val="28"/>
          <w:szCs w:val="28"/>
        </w:rPr>
        <w:t xml:space="preserve">В период 2011-2021 гг. корреляция между ценами на нефть марки Brent и курсом доллара США в рублях является сильной в период 2011-2021 гг. Значительная корреляция сохранялась до середины 2020 г., а затем тенденция для России начала меняться, поскольку побочный эффект между изучаемыми переменными стал слабее (рисунок </w:t>
      </w:r>
      <w:r w:rsidR="00683F14" w:rsidRPr="003B10E2">
        <w:rPr>
          <w:rFonts w:ascii="Times New Roman" w:hAnsi="Times New Roman"/>
          <w:color w:val="000000"/>
          <w:sz w:val="28"/>
          <w:szCs w:val="28"/>
        </w:rPr>
        <w:t>17</w:t>
      </w:r>
      <w:r w:rsidR="000E0FE8" w:rsidRPr="003B10E2">
        <w:rPr>
          <w:rFonts w:ascii="Times New Roman" w:hAnsi="Times New Roman"/>
          <w:color w:val="000000"/>
          <w:sz w:val="28"/>
          <w:szCs w:val="28"/>
        </w:rPr>
        <w:t>).</w:t>
      </w:r>
    </w:p>
    <w:p w14:paraId="0FC61F41" w14:textId="77777777"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Источник: </w:t>
      </w:r>
      <w:r w:rsidRPr="003B10E2">
        <w:rPr>
          <w:rFonts w:ascii="Times New Roman" w:hAnsi="Times New Roman"/>
          <w:color w:val="000000"/>
          <w:sz w:val="24"/>
          <w:szCs w:val="24"/>
          <w:lang w:val="en-GB"/>
        </w:rPr>
        <w:t>Thomson</w:t>
      </w:r>
      <w:r w:rsidRPr="003B10E2">
        <w:rPr>
          <w:rFonts w:ascii="Times New Roman" w:hAnsi="Times New Roman"/>
          <w:color w:val="000000"/>
          <w:sz w:val="24"/>
          <w:szCs w:val="24"/>
        </w:rPr>
        <w:t xml:space="preserve"> </w:t>
      </w:r>
      <w:r w:rsidRPr="003B10E2">
        <w:rPr>
          <w:rFonts w:ascii="Times New Roman" w:hAnsi="Times New Roman"/>
          <w:color w:val="000000"/>
          <w:sz w:val="24"/>
          <w:szCs w:val="24"/>
          <w:lang w:val="en-GB"/>
        </w:rPr>
        <w:t>Reuters</w:t>
      </w:r>
      <w:r w:rsidRPr="003B10E2">
        <w:rPr>
          <w:rFonts w:ascii="Times New Roman" w:hAnsi="Times New Roman"/>
          <w:color w:val="000000"/>
          <w:sz w:val="24"/>
          <w:szCs w:val="24"/>
        </w:rPr>
        <w:t>.</w:t>
      </w:r>
    </w:p>
    <w:p w14:paraId="3EA9ACD2" w14:textId="77777777"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683F14" w:rsidRPr="003B10E2">
        <w:rPr>
          <w:rFonts w:ascii="Times New Roman" w:hAnsi="Times New Roman"/>
          <w:color w:val="000000"/>
          <w:sz w:val="24"/>
          <w:szCs w:val="24"/>
        </w:rPr>
        <w:t>17</w:t>
      </w:r>
      <w:r w:rsidRPr="003B10E2">
        <w:rPr>
          <w:rFonts w:ascii="Times New Roman" w:hAnsi="Times New Roman"/>
          <w:color w:val="000000"/>
          <w:sz w:val="24"/>
          <w:szCs w:val="24"/>
        </w:rPr>
        <w:t xml:space="preserve"> – Корреляция между ценой нефти </w:t>
      </w:r>
      <w:r w:rsidRPr="003B10E2">
        <w:rPr>
          <w:rFonts w:ascii="Times New Roman" w:hAnsi="Times New Roman"/>
          <w:color w:val="000000"/>
          <w:sz w:val="24"/>
          <w:szCs w:val="24"/>
          <w:lang w:val="en-GB"/>
        </w:rPr>
        <w:t>Brent</w:t>
      </w:r>
      <w:r w:rsidRPr="003B10E2">
        <w:rPr>
          <w:rFonts w:ascii="Times New Roman" w:hAnsi="Times New Roman"/>
          <w:color w:val="000000"/>
          <w:sz w:val="24"/>
          <w:szCs w:val="24"/>
        </w:rPr>
        <w:t xml:space="preserve"> и курсом доллара США в рублях (2001-2021 гг.)</w:t>
      </w:r>
    </w:p>
    <w:p w14:paraId="0E57D493" w14:textId="77777777" w:rsidR="000E0FE8" w:rsidRPr="003B10E2" w:rsidRDefault="000E0FE8" w:rsidP="000E0FE8">
      <w:pPr>
        <w:spacing w:after="0" w:line="360" w:lineRule="auto"/>
        <w:ind w:firstLine="708"/>
        <w:jc w:val="both"/>
        <w:rPr>
          <w:rFonts w:ascii="Times New Roman" w:hAnsi="Times New Roman"/>
          <w:color w:val="000000"/>
          <w:sz w:val="28"/>
          <w:szCs w:val="28"/>
        </w:rPr>
      </w:pPr>
    </w:p>
    <w:p w14:paraId="5A82CE89" w14:textId="77777777" w:rsidR="000E0FE8" w:rsidRPr="003B10E2" w:rsidRDefault="000E0FE8" w:rsidP="000E0FE8">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В тот же период корреляция между ценами на нефть марки Brent и курсом национальной валюты Алжира является гибкой, что не доказывает какой-либо существенной закономерности побочного эффекта между ценой на нефть </w:t>
      </w:r>
      <w:r w:rsidRPr="003B10E2">
        <w:rPr>
          <w:rFonts w:ascii="Times New Roman" w:hAnsi="Times New Roman"/>
          <w:color w:val="000000"/>
          <w:sz w:val="28"/>
          <w:szCs w:val="28"/>
          <w:lang w:val="en-US"/>
        </w:rPr>
        <w:t>Brent</w:t>
      </w:r>
      <w:r w:rsidRPr="003B10E2">
        <w:rPr>
          <w:rFonts w:ascii="Times New Roman" w:hAnsi="Times New Roman"/>
          <w:color w:val="000000"/>
          <w:sz w:val="28"/>
          <w:szCs w:val="28"/>
        </w:rPr>
        <w:t xml:space="preserve"> и курсом национальной валюты Алжира (Рисунок </w:t>
      </w:r>
      <w:r w:rsidR="00683F14" w:rsidRPr="003B10E2">
        <w:rPr>
          <w:rFonts w:ascii="Times New Roman" w:hAnsi="Times New Roman"/>
          <w:color w:val="000000"/>
          <w:sz w:val="28"/>
          <w:szCs w:val="28"/>
        </w:rPr>
        <w:t>18</w:t>
      </w:r>
      <w:r w:rsidRPr="003B10E2">
        <w:rPr>
          <w:rFonts w:ascii="Times New Roman" w:hAnsi="Times New Roman"/>
          <w:color w:val="000000"/>
          <w:sz w:val="28"/>
          <w:szCs w:val="28"/>
        </w:rPr>
        <w:t>).</w:t>
      </w:r>
    </w:p>
    <w:p w14:paraId="673A5461" w14:textId="77777777" w:rsidR="000E0FE8" w:rsidRPr="003B10E2" w:rsidRDefault="00C72198" w:rsidP="000E0FE8">
      <w:pPr>
        <w:spacing w:line="240" w:lineRule="auto"/>
        <w:jc w:val="center"/>
        <w:rPr>
          <w:rFonts w:ascii="Times New Roman" w:hAnsi="Times New Roman"/>
          <w:sz w:val="24"/>
          <w:szCs w:val="24"/>
          <w:lang w:val="en-US"/>
        </w:rPr>
      </w:pPr>
      <w:r w:rsidRPr="003B10E2">
        <w:rPr>
          <w:noProof/>
        </w:rPr>
        <w:drawing>
          <wp:inline distT="0" distB="0" distL="0" distR="0" wp14:anchorId="3975A52B" wp14:editId="714E36EA">
            <wp:extent cx="5828665" cy="1980565"/>
            <wp:effectExtent l="0" t="0" r="0" b="0"/>
            <wp:docPr id="23" name="Рисунок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9"/>
                    <pic:cNvPicPr>
                      <a:picLocks/>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5828665" cy="1980565"/>
                    </a:xfrm>
                    <a:prstGeom prst="rect">
                      <a:avLst/>
                    </a:prstGeom>
                    <a:noFill/>
                    <a:ln>
                      <a:noFill/>
                    </a:ln>
                  </pic:spPr>
                </pic:pic>
              </a:graphicData>
            </a:graphic>
          </wp:inline>
        </w:drawing>
      </w:r>
    </w:p>
    <w:p w14:paraId="43C3FBAF" w14:textId="77777777"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Источник: </w:t>
      </w:r>
      <w:r w:rsidRPr="003B10E2">
        <w:rPr>
          <w:rFonts w:ascii="Times New Roman" w:hAnsi="Times New Roman"/>
          <w:color w:val="000000"/>
          <w:sz w:val="24"/>
          <w:szCs w:val="24"/>
          <w:lang w:val="en-GB"/>
        </w:rPr>
        <w:t>Thomson</w:t>
      </w:r>
      <w:r w:rsidRPr="003B10E2">
        <w:rPr>
          <w:rFonts w:ascii="Times New Roman" w:hAnsi="Times New Roman"/>
          <w:color w:val="000000"/>
          <w:sz w:val="24"/>
          <w:szCs w:val="24"/>
        </w:rPr>
        <w:t xml:space="preserve"> </w:t>
      </w:r>
      <w:r w:rsidRPr="003B10E2">
        <w:rPr>
          <w:rFonts w:ascii="Times New Roman" w:hAnsi="Times New Roman"/>
          <w:color w:val="000000"/>
          <w:sz w:val="24"/>
          <w:szCs w:val="24"/>
          <w:lang w:val="en-GB"/>
        </w:rPr>
        <w:t>Reuters</w:t>
      </w:r>
      <w:r w:rsidRPr="003B10E2">
        <w:rPr>
          <w:rFonts w:ascii="Times New Roman" w:hAnsi="Times New Roman"/>
          <w:color w:val="000000"/>
          <w:sz w:val="24"/>
          <w:szCs w:val="24"/>
        </w:rPr>
        <w:t>.</w:t>
      </w:r>
    </w:p>
    <w:p w14:paraId="509B385F" w14:textId="77777777"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683F14" w:rsidRPr="003B10E2">
        <w:rPr>
          <w:rFonts w:ascii="Times New Roman" w:hAnsi="Times New Roman"/>
          <w:color w:val="000000"/>
          <w:sz w:val="24"/>
          <w:szCs w:val="24"/>
        </w:rPr>
        <w:t>18</w:t>
      </w:r>
      <w:r w:rsidRPr="003B10E2">
        <w:rPr>
          <w:rFonts w:ascii="Times New Roman" w:hAnsi="Times New Roman"/>
          <w:color w:val="000000"/>
          <w:sz w:val="24"/>
          <w:szCs w:val="24"/>
        </w:rPr>
        <w:t xml:space="preserve"> – Корреляция между ценой нефти </w:t>
      </w:r>
      <w:r w:rsidRPr="003B10E2">
        <w:rPr>
          <w:rFonts w:ascii="Times New Roman" w:hAnsi="Times New Roman"/>
          <w:color w:val="000000"/>
          <w:sz w:val="24"/>
          <w:szCs w:val="24"/>
          <w:lang w:val="en-GB"/>
        </w:rPr>
        <w:t>Brent</w:t>
      </w:r>
      <w:r w:rsidRPr="003B10E2">
        <w:rPr>
          <w:rFonts w:ascii="Times New Roman" w:hAnsi="Times New Roman"/>
          <w:color w:val="000000"/>
          <w:sz w:val="24"/>
          <w:szCs w:val="24"/>
        </w:rPr>
        <w:t xml:space="preserve"> и курсом доллара США в алжирских динарах (2001-2021 гг.)</w:t>
      </w:r>
    </w:p>
    <w:p w14:paraId="6DCE7F82" w14:textId="77777777" w:rsidR="000E0FE8" w:rsidRPr="003B10E2" w:rsidRDefault="000E0FE8" w:rsidP="000E0FE8">
      <w:pPr>
        <w:spacing w:line="360" w:lineRule="auto"/>
        <w:ind w:firstLine="709"/>
        <w:jc w:val="both"/>
        <w:rPr>
          <w:rFonts w:ascii="Times New Roman" w:hAnsi="Times New Roman"/>
          <w:color w:val="000000"/>
          <w:sz w:val="28"/>
          <w:szCs w:val="28"/>
        </w:rPr>
      </w:pPr>
    </w:p>
    <w:p w14:paraId="25FE86C1" w14:textId="77777777" w:rsidR="000E0FE8" w:rsidRPr="003B10E2" w:rsidRDefault="000E0FE8" w:rsidP="000E0FE8">
      <w:pPr>
        <w:spacing w:line="360" w:lineRule="auto"/>
        <w:ind w:firstLine="709"/>
        <w:jc w:val="both"/>
        <w:rPr>
          <w:rFonts w:ascii="Times New Roman" w:hAnsi="Times New Roman"/>
          <w:color w:val="000000"/>
          <w:sz w:val="28"/>
          <w:szCs w:val="28"/>
        </w:rPr>
      </w:pPr>
      <w:r w:rsidRPr="003B10E2">
        <w:rPr>
          <w:rFonts w:ascii="Times New Roman" w:hAnsi="Times New Roman"/>
          <w:color w:val="000000"/>
          <w:sz w:val="28"/>
          <w:szCs w:val="28"/>
        </w:rPr>
        <w:t xml:space="preserve">В тот же период корреляция между ценами на нефть марки Brent и курсом национальной валюты Нигерии является гибкой также, что не доказывает какой-либо существенной закономерности побочного эффекта между ценой на нефть Brent и курсом национальной валюты Нигерии (рисунок </w:t>
      </w:r>
      <w:r w:rsidR="00683F14" w:rsidRPr="003B10E2">
        <w:rPr>
          <w:rFonts w:ascii="Times New Roman" w:hAnsi="Times New Roman"/>
          <w:color w:val="000000"/>
          <w:sz w:val="28"/>
          <w:szCs w:val="28"/>
        </w:rPr>
        <w:t>19</w:t>
      </w:r>
      <w:r w:rsidRPr="003B10E2">
        <w:rPr>
          <w:rFonts w:ascii="Times New Roman" w:hAnsi="Times New Roman"/>
          <w:color w:val="000000"/>
          <w:sz w:val="28"/>
          <w:szCs w:val="28"/>
        </w:rPr>
        <w:t>).</w:t>
      </w:r>
    </w:p>
    <w:p w14:paraId="30845C93" w14:textId="77777777" w:rsidR="000E0FE8" w:rsidRPr="003B10E2" w:rsidRDefault="00C72198" w:rsidP="000E0FE8">
      <w:pPr>
        <w:spacing w:line="240" w:lineRule="auto"/>
        <w:jc w:val="center"/>
        <w:rPr>
          <w:rFonts w:ascii="Times New Roman" w:hAnsi="Times New Roman"/>
          <w:sz w:val="24"/>
          <w:szCs w:val="24"/>
          <w:lang w:val="en-US"/>
        </w:rPr>
      </w:pPr>
      <w:r w:rsidRPr="003B10E2">
        <w:rPr>
          <w:noProof/>
        </w:rPr>
        <w:drawing>
          <wp:inline distT="0" distB="0" distL="0" distR="0" wp14:anchorId="609D961C" wp14:editId="1894879E">
            <wp:extent cx="5868035" cy="2086610"/>
            <wp:effectExtent l="0" t="0" r="0" b="0"/>
            <wp:docPr id="24" name="Рисунок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0"/>
                    <pic:cNvPicPr>
                      <a:picLocks/>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5868035" cy="2086610"/>
                    </a:xfrm>
                    <a:prstGeom prst="rect">
                      <a:avLst/>
                    </a:prstGeom>
                    <a:noFill/>
                    <a:ln>
                      <a:noFill/>
                    </a:ln>
                  </pic:spPr>
                </pic:pic>
              </a:graphicData>
            </a:graphic>
          </wp:inline>
        </w:drawing>
      </w:r>
    </w:p>
    <w:p w14:paraId="60E051A9" w14:textId="77777777"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Источник: </w:t>
      </w:r>
      <w:r w:rsidRPr="003B10E2">
        <w:rPr>
          <w:rFonts w:ascii="Times New Roman" w:hAnsi="Times New Roman"/>
          <w:color w:val="000000"/>
          <w:sz w:val="24"/>
          <w:szCs w:val="24"/>
          <w:lang w:val="en-GB"/>
        </w:rPr>
        <w:t>Thomson</w:t>
      </w:r>
      <w:r w:rsidRPr="003B10E2">
        <w:rPr>
          <w:rFonts w:ascii="Times New Roman" w:hAnsi="Times New Roman"/>
          <w:color w:val="000000"/>
          <w:sz w:val="24"/>
          <w:szCs w:val="24"/>
        </w:rPr>
        <w:t xml:space="preserve"> </w:t>
      </w:r>
      <w:r w:rsidRPr="003B10E2">
        <w:rPr>
          <w:rFonts w:ascii="Times New Roman" w:hAnsi="Times New Roman"/>
          <w:color w:val="000000"/>
          <w:sz w:val="24"/>
          <w:szCs w:val="24"/>
          <w:lang w:val="en-GB"/>
        </w:rPr>
        <w:t>Reuters</w:t>
      </w:r>
      <w:r w:rsidRPr="003B10E2">
        <w:rPr>
          <w:rFonts w:ascii="Times New Roman" w:hAnsi="Times New Roman"/>
          <w:color w:val="000000"/>
          <w:sz w:val="24"/>
          <w:szCs w:val="24"/>
        </w:rPr>
        <w:t>.</w:t>
      </w:r>
    </w:p>
    <w:p w14:paraId="18A9AD91" w14:textId="77777777"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683F14" w:rsidRPr="003B10E2">
        <w:rPr>
          <w:rFonts w:ascii="Times New Roman" w:hAnsi="Times New Roman"/>
          <w:color w:val="000000"/>
          <w:sz w:val="24"/>
          <w:szCs w:val="24"/>
        </w:rPr>
        <w:t>19</w:t>
      </w:r>
      <w:r w:rsidRPr="003B10E2">
        <w:rPr>
          <w:rFonts w:ascii="Times New Roman" w:hAnsi="Times New Roman"/>
          <w:color w:val="000000"/>
          <w:sz w:val="24"/>
          <w:szCs w:val="24"/>
        </w:rPr>
        <w:t xml:space="preserve"> – Корреляция между ценой нефти </w:t>
      </w:r>
      <w:r w:rsidRPr="003B10E2">
        <w:rPr>
          <w:rFonts w:ascii="Times New Roman" w:hAnsi="Times New Roman"/>
          <w:color w:val="000000"/>
          <w:sz w:val="24"/>
          <w:szCs w:val="24"/>
          <w:lang w:val="en-GB"/>
        </w:rPr>
        <w:t>Brent</w:t>
      </w:r>
      <w:r w:rsidRPr="003B10E2">
        <w:rPr>
          <w:rFonts w:ascii="Times New Roman" w:hAnsi="Times New Roman"/>
          <w:color w:val="000000"/>
          <w:sz w:val="24"/>
          <w:szCs w:val="24"/>
        </w:rPr>
        <w:t xml:space="preserve"> и курсом доллара США в нигерийских найрах (2001-2021 гг.)</w:t>
      </w:r>
    </w:p>
    <w:p w14:paraId="4074601A"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За последний год параметры корреляции для всех изученных случаев стали слабее (коэффициент колеблется между -0,5 и 0,5). Однако побочный эффект более значителен (в диапазоне от -0,8 до -0,1) до 2020 г. Нигерийская найра и алжирский динар демонстрировали почти одинаковые движения, в то время как российский рубль находился в другом коридоре. </w:t>
      </w:r>
    </w:p>
    <w:p w14:paraId="4B97A9C6"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этих условиях глобальные инвесторы должны стремиться понять функционирование рынков капитала и их связь с развитыми рынками капитала (например, рынками Соединенных Штатов Америки), а также потенциальные побочные эффекты волатильности. Таким образом, наиболее сильные шоки 2008 г. и 2014 г. привели к снижению индекса </w:t>
      </w:r>
      <w:r w:rsidRPr="003B10E2">
        <w:rPr>
          <w:rFonts w:ascii="Times New Roman" w:hAnsi="Times New Roman"/>
          <w:color w:val="000000"/>
          <w:sz w:val="28"/>
          <w:szCs w:val="28"/>
          <w:lang w:val="en-GB"/>
        </w:rPr>
        <w:t>IMOEX</w:t>
      </w:r>
      <w:r w:rsidRPr="003B10E2">
        <w:rPr>
          <w:rFonts w:ascii="Times New Roman" w:hAnsi="Times New Roman"/>
          <w:color w:val="000000"/>
          <w:sz w:val="28"/>
          <w:szCs w:val="28"/>
        </w:rPr>
        <w:t>.</w:t>
      </w:r>
    </w:p>
    <w:p w14:paraId="1458F317"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периоды кризисов 2007-2008 гг., 2015-2016 гг. и 2020-2021 гг. становится заметна особая сила связей шоков между рынками валют (товаров) по отношению к рынку акций, которая превышает среднюю силу в 3-5 раз, что отражается на номинальной доходности индекса Мосбиржи (он снижался в периоды шоков):</w:t>
      </w:r>
    </w:p>
    <w:p w14:paraId="33726AE2" w14:textId="77777777" w:rsidR="000E0FE8" w:rsidRPr="003B10E2" w:rsidRDefault="000E0FE8" w:rsidP="000E0FE8">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«цены на нефть – рынок российских акций»;</w:t>
      </w:r>
    </w:p>
    <w:p w14:paraId="477B3C6A" w14:textId="77777777" w:rsidR="000E0FE8" w:rsidRPr="003B10E2" w:rsidRDefault="000E0FE8" w:rsidP="000E0FE8">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«курс российского рубля – рынок российских акций».</w:t>
      </w:r>
    </w:p>
    <w:p w14:paraId="5DC97FF4" w14:textId="77777777" w:rsidR="000E0FE8" w:rsidRPr="003B10E2" w:rsidRDefault="00C72198" w:rsidP="000E0FE8">
      <w:pPr>
        <w:spacing w:after="0" w:line="360" w:lineRule="auto"/>
        <w:jc w:val="center"/>
        <w:rPr>
          <w:rFonts w:ascii="Times New Roman" w:hAnsi="Times New Roman"/>
          <w:color w:val="000000"/>
          <w:sz w:val="24"/>
          <w:szCs w:val="24"/>
        </w:rPr>
      </w:pPr>
      <w:r w:rsidRPr="003B10E2">
        <w:rPr>
          <w:noProof/>
        </w:rPr>
        <w:drawing>
          <wp:inline distT="0" distB="0" distL="0" distR="0" wp14:anchorId="15236AE7" wp14:editId="0AC8E3BB">
            <wp:extent cx="5811520" cy="3427730"/>
            <wp:effectExtent l="0" t="0" r="0" b="0"/>
            <wp:docPr id="25" name="Рисунок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0"/>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1520" cy="3427730"/>
                    </a:xfrm>
                    <a:prstGeom prst="rect">
                      <a:avLst/>
                    </a:prstGeom>
                    <a:noFill/>
                    <a:ln>
                      <a:noFill/>
                    </a:ln>
                  </pic:spPr>
                </pic:pic>
              </a:graphicData>
            </a:graphic>
          </wp:inline>
        </w:drawing>
      </w:r>
      <w:bookmarkStart w:id="112" w:name="_Hlk95217477"/>
    </w:p>
    <w:p w14:paraId="163E9E7E" w14:textId="77777777"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Источник: </w:t>
      </w:r>
      <w:r w:rsidRPr="003B10E2">
        <w:rPr>
          <w:rFonts w:ascii="Times New Roman" w:hAnsi="Times New Roman"/>
          <w:color w:val="000000"/>
          <w:sz w:val="24"/>
          <w:szCs w:val="24"/>
          <w:lang w:val="en-GB"/>
        </w:rPr>
        <w:t>Thomson</w:t>
      </w:r>
      <w:r w:rsidRPr="003B10E2">
        <w:rPr>
          <w:rFonts w:ascii="Times New Roman" w:hAnsi="Times New Roman"/>
          <w:color w:val="000000"/>
          <w:sz w:val="24"/>
          <w:szCs w:val="24"/>
        </w:rPr>
        <w:t xml:space="preserve"> </w:t>
      </w:r>
      <w:r w:rsidRPr="003B10E2">
        <w:rPr>
          <w:rFonts w:ascii="Times New Roman" w:hAnsi="Times New Roman"/>
          <w:color w:val="000000"/>
          <w:sz w:val="24"/>
          <w:szCs w:val="24"/>
          <w:lang w:val="en-GB"/>
        </w:rPr>
        <w:t>Reuters</w:t>
      </w:r>
      <w:r w:rsidRPr="003B10E2">
        <w:rPr>
          <w:rFonts w:ascii="Times New Roman" w:hAnsi="Times New Roman"/>
          <w:color w:val="000000"/>
          <w:sz w:val="24"/>
          <w:szCs w:val="24"/>
        </w:rPr>
        <w:t>.</w:t>
      </w:r>
    </w:p>
    <w:p w14:paraId="7B52FBFF" w14:textId="77777777"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683F14" w:rsidRPr="003B10E2">
        <w:rPr>
          <w:rFonts w:ascii="Times New Roman" w:hAnsi="Times New Roman"/>
          <w:color w:val="000000"/>
          <w:sz w:val="24"/>
          <w:szCs w:val="24"/>
        </w:rPr>
        <w:t>20</w:t>
      </w:r>
      <w:r w:rsidRPr="003B10E2">
        <w:rPr>
          <w:rFonts w:ascii="Times New Roman" w:hAnsi="Times New Roman"/>
          <w:color w:val="000000"/>
          <w:sz w:val="24"/>
          <w:szCs w:val="24"/>
        </w:rPr>
        <w:t xml:space="preserve"> – Номинальная доходность индекса Московской биржи (</w:t>
      </w:r>
      <w:r w:rsidRPr="003B10E2">
        <w:rPr>
          <w:rFonts w:ascii="Times New Roman" w:hAnsi="Times New Roman"/>
          <w:color w:val="000000"/>
          <w:sz w:val="24"/>
          <w:szCs w:val="24"/>
          <w:lang w:val="en-GB"/>
        </w:rPr>
        <w:t>IMOEX</w:t>
      </w:r>
      <w:r w:rsidRPr="003B10E2">
        <w:rPr>
          <w:rFonts w:ascii="Times New Roman" w:hAnsi="Times New Roman"/>
          <w:color w:val="000000"/>
          <w:sz w:val="24"/>
          <w:szCs w:val="24"/>
        </w:rPr>
        <w:t xml:space="preserve">) </w:t>
      </w:r>
    </w:p>
    <w:p w14:paraId="399A56A1" w14:textId="77777777"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в 2004-2019 гг.</w:t>
      </w:r>
      <w:bookmarkEnd w:id="112"/>
    </w:p>
    <w:p w14:paraId="70FA3507" w14:textId="77777777" w:rsidR="000E0FE8" w:rsidRPr="003B10E2" w:rsidRDefault="000E0FE8" w:rsidP="000E0FE8">
      <w:pPr>
        <w:spacing w:after="0" w:line="360" w:lineRule="auto"/>
        <w:ind w:firstLine="851"/>
        <w:jc w:val="both"/>
        <w:rPr>
          <w:rFonts w:ascii="Times New Roman" w:hAnsi="Times New Roman"/>
          <w:color w:val="000000"/>
          <w:sz w:val="28"/>
          <w:szCs w:val="28"/>
        </w:rPr>
      </w:pPr>
    </w:p>
    <w:p w14:paraId="49D145E1" w14:textId="77777777" w:rsidR="000E0FE8" w:rsidRPr="003B10E2" w:rsidRDefault="000E0FE8" w:rsidP="00683F1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Шоки волатильности на рынке США и колебания цен на активы в России.</w:t>
      </w:r>
      <w:r w:rsidR="00683F14" w:rsidRPr="003B10E2">
        <w:rPr>
          <w:rFonts w:ascii="Times New Roman" w:hAnsi="Times New Roman"/>
          <w:color w:val="000000"/>
          <w:sz w:val="28"/>
          <w:szCs w:val="28"/>
        </w:rPr>
        <w:t xml:space="preserve"> </w:t>
      </w:r>
      <w:r w:rsidRPr="003B10E2">
        <w:rPr>
          <w:rFonts w:ascii="Times New Roman" w:hAnsi="Times New Roman"/>
          <w:color w:val="000000"/>
          <w:sz w:val="28"/>
          <w:szCs w:val="28"/>
        </w:rPr>
        <w:t>Предположение о наличии долгой памяти волатильности, искажаемой структурными сдвигами, подтверждается синхронными шоками волатильности и колебаниями цен на активы для российского мирового рынка капитала</w:t>
      </w:r>
      <w:r w:rsidRPr="003B10E2">
        <w:rPr>
          <w:rFonts w:ascii="Times New Roman" w:hAnsi="Times New Roman"/>
          <w:sz w:val="28"/>
          <w:szCs w:val="28"/>
        </w:rPr>
        <w:t xml:space="preserve">. </w:t>
      </w:r>
      <w:r w:rsidRPr="003B10E2">
        <w:rPr>
          <w:rFonts w:ascii="Times New Roman" w:hAnsi="Times New Roman"/>
          <w:color w:val="000000"/>
          <w:sz w:val="28"/>
          <w:szCs w:val="28"/>
        </w:rPr>
        <w:t>Попробуем выяснить и оценить эти факторы риск-аппетита глобальных инвесторов: темпы роста экономики США и динамику фондового рынка США [171-176].</w:t>
      </w:r>
    </w:p>
    <w:p w14:paraId="7C7297C9" w14:textId="77777777" w:rsidR="000E0FE8" w:rsidRPr="003B10E2" w:rsidRDefault="000E0FE8" w:rsidP="000E0FE8">
      <w:pPr>
        <w:spacing w:after="0" w:line="360" w:lineRule="auto"/>
        <w:ind w:firstLine="851"/>
        <w:jc w:val="both"/>
        <w:rPr>
          <w:rFonts w:ascii="Times New Roman" w:hAnsi="Times New Roman"/>
          <w:color w:val="000000"/>
          <w:sz w:val="28"/>
          <w:szCs w:val="28"/>
        </w:rPr>
      </w:pPr>
    </w:p>
    <w:p w14:paraId="5335EC0F" w14:textId="77777777" w:rsidR="000E0FE8" w:rsidRPr="003B10E2" w:rsidRDefault="000E0FE8" w:rsidP="000E0FE8">
      <w:pPr>
        <w:ind w:firstLine="851"/>
        <w:rPr>
          <w:color w:val="000000"/>
        </w:rPr>
      </w:pPr>
    </w:p>
    <w:p w14:paraId="56ADE6F8" w14:textId="77777777" w:rsidR="000E0FE8" w:rsidRPr="003B10E2" w:rsidRDefault="000E0FE8" w:rsidP="000E0FE8">
      <w:pPr>
        <w:ind w:firstLine="851"/>
        <w:jc w:val="center"/>
        <w:rPr>
          <w:rFonts w:ascii="Times New Roman" w:hAnsi="Times New Roman"/>
          <w:color w:val="000000"/>
          <w:sz w:val="24"/>
          <w:szCs w:val="24"/>
        </w:rPr>
      </w:pPr>
    </w:p>
    <w:p w14:paraId="6882AB08" w14:textId="77777777" w:rsidR="000E0FE8" w:rsidRPr="003B10E2" w:rsidRDefault="000E0FE8" w:rsidP="000E0FE8">
      <w:pPr>
        <w:ind w:firstLine="851"/>
        <w:jc w:val="center"/>
        <w:rPr>
          <w:rFonts w:ascii="Times New Roman" w:hAnsi="Times New Roman"/>
          <w:color w:val="000000"/>
          <w:sz w:val="24"/>
          <w:szCs w:val="24"/>
        </w:rPr>
      </w:pPr>
    </w:p>
    <w:p w14:paraId="77E8442B" w14:textId="77777777" w:rsidR="000E0FE8" w:rsidRPr="003B10E2" w:rsidRDefault="00C72198" w:rsidP="000E0FE8">
      <w:pPr>
        <w:spacing w:after="0" w:line="240" w:lineRule="auto"/>
        <w:contextualSpacing/>
        <w:jc w:val="center"/>
        <w:rPr>
          <w:rFonts w:ascii="Times New Roman" w:hAnsi="Times New Roman"/>
          <w:color w:val="000000"/>
          <w:sz w:val="24"/>
          <w:szCs w:val="24"/>
        </w:rPr>
      </w:pPr>
      <w:r w:rsidRPr="003B10E2">
        <w:rPr>
          <w:noProof/>
        </w:rPr>
        <w:drawing>
          <wp:anchor distT="0" distB="0" distL="114300" distR="114300" simplePos="0" relativeHeight="251649536" behindDoc="0" locked="0" layoutInCell="1" allowOverlap="1" wp14:anchorId="57D53F2B" wp14:editId="2AE54457">
            <wp:simplePos x="0" y="0"/>
            <wp:positionH relativeFrom="column">
              <wp:posOffset>15240</wp:posOffset>
            </wp:positionH>
            <wp:positionV relativeFrom="paragraph">
              <wp:posOffset>71120</wp:posOffset>
            </wp:positionV>
            <wp:extent cx="5905500" cy="3638550"/>
            <wp:effectExtent l="0" t="0" r="0" b="0"/>
            <wp:wrapTopAndBottom/>
            <wp:docPr id="85779492" name="Рисунок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3"/>
                    <pic:cNvPicPr>
                      <a:picLocks/>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5137785" cy="316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0E0FE8" w:rsidRPr="003B10E2">
        <w:rPr>
          <w:rFonts w:ascii="Times New Roman" w:hAnsi="Times New Roman"/>
          <w:color w:val="000000"/>
          <w:sz w:val="24"/>
          <w:szCs w:val="24"/>
        </w:rPr>
        <w:t>Источник: составлено автором по данным Московской биржи.</w:t>
      </w:r>
    </w:p>
    <w:p w14:paraId="248C25E6" w14:textId="77777777" w:rsidR="000E0FE8" w:rsidRPr="003B10E2" w:rsidRDefault="000E0FE8" w:rsidP="000E0FE8">
      <w:pPr>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683F14" w:rsidRPr="003B10E2">
        <w:rPr>
          <w:rFonts w:ascii="Times New Roman" w:hAnsi="Times New Roman"/>
          <w:color w:val="000000"/>
          <w:sz w:val="24"/>
          <w:szCs w:val="24"/>
        </w:rPr>
        <w:t>21</w:t>
      </w:r>
      <w:r w:rsidRPr="003B10E2">
        <w:rPr>
          <w:rFonts w:ascii="Times New Roman" w:hAnsi="Times New Roman"/>
          <w:color w:val="000000"/>
          <w:sz w:val="24"/>
          <w:szCs w:val="24"/>
        </w:rPr>
        <w:t xml:space="preserve"> – Динамика индикатора стоимости заимствования в России (</w:t>
      </w:r>
      <w:r w:rsidRPr="003B10E2">
        <w:rPr>
          <w:rFonts w:ascii="Times New Roman" w:hAnsi="Times New Roman"/>
          <w:color w:val="000000"/>
          <w:sz w:val="24"/>
          <w:szCs w:val="24"/>
          <w:lang w:val="en-GB"/>
        </w:rPr>
        <w:t>Mosprime</w:t>
      </w:r>
      <w:r w:rsidRPr="003B10E2">
        <w:rPr>
          <w:rFonts w:ascii="Times New Roman" w:hAnsi="Times New Roman"/>
          <w:color w:val="000000"/>
          <w:sz w:val="24"/>
          <w:szCs w:val="24"/>
        </w:rPr>
        <w:t xml:space="preserve"> 3</w:t>
      </w:r>
      <w:r w:rsidRPr="003B10E2">
        <w:rPr>
          <w:rFonts w:ascii="Times New Roman" w:hAnsi="Times New Roman"/>
          <w:color w:val="000000"/>
          <w:sz w:val="24"/>
          <w:szCs w:val="24"/>
          <w:lang w:val="en-GB"/>
        </w:rPr>
        <w:t>m</w:t>
      </w:r>
      <w:r w:rsidRPr="003B10E2">
        <w:rPr>
          <w:rFonts w:ascii="Times New Roman" w:hAnsi="Times New Roman"/>
          <w:color w:val="000000"/>
          <w:sz w:val="24"/>
          <w:szCs w:val="24"/>
        </w:rPr>
        <w:t xml:space="preserve">) и индекса волатильности </w:t>
      </w:r>
      <w:r w:rsidRPr="003B10E2">
        <w:rPr>
          <w:rFonts w:ascii="Times New Roman" w:hAnsi="Times New Roman"/>
          <w:color w:val="000000"/>
          <w:sz w:val="24"/>
          <w:szCs w:val="24"/>
          <w:lang w:val="en-GB"/>
        </w:rPr>
        <w:t>VIX</w:t>
      </w:r>
      <w:r w:rsidRPr="003B10E2">
        <w:rPr>
          <w:rFonts w:ascii="Times New Roman" w:hAnsi="Times New Roman"/>
          <w:color w:val="000000"/>
          <w:sz w:val="24"/>
          <w:szCs w:val="24"/>
        </w:rPr>
        <w:t>, %</w:t>
      </w:r>
    </w:p>
    <w:p w14:paraId="2F96C132" w14:textId="77777777" w:rsidR="000E0FE8" w:rsidRPr="003B10E2" w:rsidRDefault="000E0FE8" w:rsidP="000E0FE8">
      <w:pPr>
        <w:spacing w:after="0" w:line="360" w:lineRule="auto"/>
        <w:ind w:firstLine="851"/>
        <w:jc w:val="both"/>
        <w:rPr>
          <w:rFonts w:ascii="Times New Roman" w:hAnsi="Times New Roman"/>
          <w:color w:val="000000"/>
          <w:sz w:val="28"/>
          <w:szCs w:val="28"/>
        </w:rPr>
      </w:pPr>
    </w:p>
    <w:p w14:paraId="457E706F"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этом параграфе влияние волатильности рассматривается как в докризисный, так и в посткризисный периоды с использованием индекса волатильности Чикагской биржи опционов (VIX) в качестве эталона финансовой неопределенности. Вторичные тенденции между фондовыми рынками США и России стали более заметными после кризиса 2008 года. Все три последних шока (2008, 2012, 2020 гг.) на рынках акций США передаются </w:t>
      </w:r>
      <w:r w:rsidRPr="003B10E2">
        <w:rPr>
          <w:rFonts w:ascii="Times New Roman" w:hAnsi="Times New Roman"/>
          <w:sz w:val="28"/>
          <w:szCs w:val="28"/>
        </w:rPr>
        <w:t xml:space="preserve">на рынки акций России. При этом последний шок 2020 г., вызванный пандемией </w:t>
      </w:r>
      <w:r w:rsidRPr="003B10E2">
        <w:rPr>
          <w:rFonts w:ascii="Times New Roman" w:hAnsi="Times New Roman"/>
          <w:sz w:val="28"/>
          <w:szCs w:val="28"/>
          <w:lang w:val="en-GB"/>
        </w:rPr>
        <w:t>COVID</w:t>
      </w:r>
      <w:r w:rsidRPr="003B10E2">
        <w:rPr>
          <w:rFonts w:ascii="Times New Roman" w:hAnsi="Times New Roman"/>
          <w:sz w:val="28"/>
          <w:szCs w:val="28"/>
        </w:rPr>
        <w:t xml:space="preserve">-19 не передался на российский рынок облигаций (рисунки </w:t>
      </w:r>
      <w:r w:rsidR="00294A94" w:rsidRPr="003B10E2">
        <w:rPr>
          <w:rFonts w:ascii="Times New Roman" w:hAnsi="Times New Roman"/>
          <w:sz w:val="28"/>
          <w:szCs w:val="28"/>
        </w:rPr>
        <w:t>20</w:t>
      </w:r>
      <w:r w:rsidRPr="003B10E2">
        <w:rPr>
          <w:rFonts w:ascii="Times New Roman" w:hAnsi="Times New Roman"/>
          <w:sz w:val="28"/>
          <w:szCs w:val="28"/>
        </w:rPr>
        <w:t>-</w:t>
      </w:r>
      <w:r w:rsidR="00294A94" w:rsidRPr="003B10E2">
        <w:rPr>
          <w:rFonts w:ascii="Times New Roman" w:hAnsi="Times New Roman"/>
          <w:sz w:val="28"/>
          <w:szCs w:val="28"/>
        </w:rPr>
        <w:t>21</w:t>
      </w:r>
      <w:r w:rsidRPr="003B10E2">
        <w:rPr>
          <w:rFonts w:ascii="Times New Roman" w:hAnsi="Times New Roman"/>
          <w:sz w:val="28"/>
          <w:szCs w:val="28"/>
        </w:rPr>
        <w:t xml:space="preserve">). Основной </w:t>
      </w:r>
      <w:r w:rsidRPr="003B10E2">
        <w:rPr>
          <w:rFonts w:ascii="Times New Roman" w:hAnsi="Times New Roman"/>
          <w:color w:val="000000"/>
          <w:sz w:val="28"/>
          <w:szCs w:val="28"/>
        </w:rPr>
        <w:t>причиной этого является низкий уровень внешнего долга России.</w:t>
      </w:r>
    </w:p>
    <w:p w14:paraId="1EAC20ED" w14:textId="77777777" w:rsidR="000E0FE8" w:rsidRPr="003B10E2" w:rsidRDefault="000E0FE8" w:rsidP="000E0FE8">
      <w:pPr>
        <w:spacing w:after="0" w:line="360" w:lineRule="auto"/>
        <w:ind w:firstLine="851"/>
        <w:jc w:val="both"/>
        <w:rPr>
          <w:rFonts w:ascii="Times New Roman" w:hAnsi="Times New Roman"/>
          <w:color w:val="000000"/>
          <w:sz w:val="28"/>
          <w:szCs w:val="28"/>
        </w:rPr>
      </w:pPr>
    </w:p>
    <w:p w14:paraId="4C77EC54" w14:textId="77777777" w:rsidR="000E0FE8" w:rsidRPr="003B10E2" w:rsidRDefault="000E0FE8" w:rsidP="000E0FE8">
      <w:pPr>
        <w:spacing w:after="0" w:line="360" w:lineRule="auto"/>
        <w:ind w:firstLine="851"/>
        <w:jc w:val="both"/>
        <w:rPr>
          <w:rFonts w:ascii="Times New Roman" w:hAnsi="Times New Roman"/>
          <w:color w:val="000000"/>
          <w:sz w:val="28"/>
          <w:szCs w:val="28"/>
        </w:rPr>
      </w:pPr>
    </w:p>
    <w:p w14:paraId="2FB23041" w14:textId="77777777" w:rsidR="000E0FE8" w:rsidRPr="003B10E2" w:rsidRDefault="000E0FE8" w:rsidP="000E0FE8">
      <w:pPr>
        <w:spacing w:after="0" w:line="360" w:lineRule="auto"/>
        <w:ind w:firstLine="851"/>
        <w:jc w:val="both"/>
        <w:rPr>
          <w:rFonts w:ascii="Times New Roman" w:hAnsi="Times New Roman"/>
          <w:color w:val="000000"/>
          <w:sz w:val="28"/>
          <w:szCs w:val="28"/>
        </w:rPr>
      </w:pPr>
    </w:p>
    <w:p w14:paraId="61F1EA01" w14:textId="77777777" w:rsidR="000E0FE8" w:rsidRPr="003B10E2" w:rsidRDefault="000E0FE8" w:rsidP="000E0FE8">
      <w:pPr>
        <w:spacing w:after="0" w:line="360" w:lineRule="auto"/>
        <w:ind w:firstLine="851"/>
        <w:jc w:val="both"/>
        <w:rPr>
          <w:rFonts w:ascii="Times New Roman" w:hAnsi="Times New Roman"/>
          <w:color w:val="000000"/>
          <w:sz w:val="28"/>
          <w:szCs w:val="28"/>
        </w:rPr>
      </w:pPr>
    </w:p>
    <w:p w14:paraId="18AB11A4" w14:textId="77777777" w:rsidR="000E0FE8" w:rsidRPr="003B10E2" w:rsidRDefault="000E0FE8" w:rsidP="000E0FE8">
      <w:pPr>
        <w:spacing w:after="0" w:line="360" w:lineRule="auto"/>
        <w:ind w:firstLine="851"/>
        <w:jc w:val="both"/>
        <w:rPr>
          <w:rFonts w:ascii="Times New Roman" w:hAnsi="Times New Roman"/>
          <w:color w:val="000000"/>
          <w:sz w:val="28"/>
          <w:szCs w:val="28"/>
        </w:rPr>
      </w:pPr>
    </w:p>
    <w:p w14:paraId="75D07BEB" w14:textId="77777777" w:rsidR="000E0FE8" w:rsidRPr="003B10E2" w:rsidRDefault="000E0FE8" w:rsidP="000E0FE8">
      <w:pPr>
        <w:spacing w:after="0" w:line="360" w:lineRule="auto"/>
        <w:ind w:firstLine="851"/>
        <w:jc w:val="both"/>
        <w:rPr>
          <w:rFonts w:ascii="Times New Roman" w:hAnsi="Times New Roman"/>
          <w:color w:val="000000"/>
          <w:sz w:val="28"/>
          <w:szCs w:val="28"/>
        </w:rPr>
      </w:pPr>
    </w:p>
    <w:p w14:paraId="5A2EE12D" w14:textId="77777777" w:rsidR="000E0FE8" w:rsidRPr="003B10E2" w:rsidRDefault="00C72198" w:rsidP="000E0FE8">
      <w:pPr>
        <w:spacing w:after="0" w:line="360" w:lineRule="auto"/>
        <w:ind w:firstLine="851"/>
        <w:jc w:val="both"/>
        <w:rPr>
          <w:rFonts w:ascii="Times New Roman" w:hAnsi="Times New Roman"/>
          <w:color w:val="000000"/>
          <w:sz w:val="28"/>
          <w:szCs w:val="28"/>
        </w:rPr>
      </w:pPr>
      <w:r w:rsidRPr="003B10E2">
        <w:rPr>
          <w:noProof/>
        </w:rPr>
        <w:drawing>
          <wp:anchor distT="0" distB="0" distL="114300" distR="114300" simplePos="0" relativeHeight="251650560" behindDoc="0" locked="0" layoutInCell="1" allowOverlap="1" wp14:anchorId="387B90C7" wp14:editId="776DED98">
            <wp:simplePos x="0" y="0"/>
            <wp:positionH relativeFrom="column">
              <wp:posOffset>15240</wp:posOffset>
            </wp:positionH>
            <wp:positionV relativeFrom="paragraph">
              <wp:posOffset>393065</wp:posOffset>
            </wp:positionV>
            <wp:extent cx="5905500" cy="4048125"/>
            <wp:effectExtent l="0" t="0" r="0" b="0"/>
            <wp:wrapTopAndBottom/>
            <wp:docPr id="1509532722" name="Рисунок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4"/>
                    <pic:cNvPicPr>
                      <a:picLocks/>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5137785" cy="3521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17076" w14:textId="77777777"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Источник: составлено автором по данным Московской биржи.</w:t>
      </w:r>
    </w:p>
    <w:p w14:paraId="27C43509" w14:textId="77777777"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294A94" w:rsidRPr="003B10E2">
        <w:rPr>
          <w:rFonts w:ascii="Times New Roman" w:hAnsi="Times New Roman"/>
          <w:color w:val="000000"/>
          <w:sz w:val="24"/>
          <w:szCs w:val="24"/>
        </w:rPr>
        <w:t>22</w:t>
      </w:r>
      <w:r w:rsidRPr="003B10E2">
        <w:rPr>
          <w:rFonts w:ascii="Times New Roman" w:hAnsi="Times New Roman"/>
          <w:color w:val="000000"/>
          <w:sz w:val="24"/>
          <w:szCs w:val="24"/>
        </w:rPr>
        <w:t xml:space="preserve"> – Изменения индекса акций России </w:t>
      </w:r>
      <w:r w:rsidRPr="003B10E2">
        <w:rPr>
          <w:rFonts w:ascii="Times New Roman" w:hAnsi="Times New Roman"/>
          <w:color w:val="000000"/>
          <w:sz w:val="24"/>
          <w:szCs w:val="24"/>
          <w:lang w:val="en-GB"/>
        </w:rPr>
        <w:t>IRTS</w:t>
      </w:r>
      <w:r w:rsidRPr="003B10E2">
        <w:rPr>
          <w:rFonts w:ascii="Times New Roman" w:hAnsi="Times New Roman"/>
          <w:color w:val="000000"/>
          <w:sz w:val="24"/>
          <w:szCs w:val="24"/>
        </w:rPr>
        <w:t xml:space="preserve"> и индекса волатильности </w:t>
      </w:r>
      <w:r w:rsidRPr="003B10E2">
        <w:rPr>
          <w:rFonts w:ascii="Times New Roman" w:hAnsi="Times New Roman"/>
          <w:color w:val="000000"/>
          <w:sz w:val="24"/>
          <w:szCs w:val="24"/>
          <w:lang w:val="en-GB"/>
        </w:rPr>
        <w:t>VIX</w:t>
      </w:r>
    </w:p>
    <w:p w14:paraId="2D336FC4" w14:textId="77777777" w:rsidR="000E0FE8" w:rsidRPr="003B10E2" w:rsidRDefault="00C72198" w:rsidP="000E0FE8">
      <w:pPr>
        <w:spacing w:after="0" w:line="360" w:lineRule="auto"/>
        <w:ind w:firstLine="851"/>
        <w:jc w:val="center"/>
        <w:rPr>
          <w:rFonts w:ascii="Times New Roman" w:hAnsi="Times New Roman"/>
          <w:color w:val="000000"/>
          <w:sz w:val="24"/>
          <w:szCs w:val="24"/>
        </w:rPr>
      </w:pPr>
      <w:r w:rsidRPr="003B10E2">
        <w:rPr>
          <w:noProof/>
        </w:rPr>
        <w:drawing>
          <wp:anchor distT="0" distB="0" distL="114300" distR="114300" simplePos="0" relativeHeight="251651584" behindDoc="0" locked="0" layoutInCell="1" allowOverlap="1" wp14:anchorId="4F40CF1D" wp14:editId="04565EC9">
            <wp:simplePos x="0" y="0"/>
            <wp:positionH relativeFrom="column">
              <wp:posOffset>15240</wp:posOffset>
            </wp:positionH>
            <wp:positionV relativeFrom="paragraph">
              <wp:posOffset>259080</wp:posOffset>
            </wp:positionV>
            <wp:extent cx="5905500" cy="3267075"/>
            <wp:effectExtent l="0" t="0" r="0" b="0"/>
            <wp:wrapTopAndBottom/>
            <wp:docPr id="35" name="Рисунок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5"/>
                    <pic:cNvPicPr>
                      <a:picLocks/>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5137785" cy="2842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536F59" w14:textId="77777777" w:rsidR="000E0FE8" w:rsidRPr="003B10E2" w:rsidRDefault="000E0FE8" w:rsidP="000E0FE8">
      <w:pPr>
        <w:spacing w:after="0" w:line="240" w:lineRule="auto"/>
        <w:jc w:val="center"/>
        <w:rPr>
          <w:rFonts w:ascii="Times New Roman" w:hAnsi="Times New Roman"/>
          <w:color w:val="000000"/>
          <w:sz w:val="24"/>
          <w:szCs w:val="24"/>
        </w:rPr>
      </w:pPr>
      <w:bookmarkStart w:id="113" w:name="_Hlk138353149"/>
      <w:r w:rsidRPr="003B10E2">
        <w:rPr>
          <w:rFonts w:ascii="Times New Roman" w:hAnsi="Times New Roman"/>
          <w:color w:val="000000"/>
          <w:sz w:val="24"/>
          <w:szCs w:val="24"/>
        </w:rPr>
        <w:t>Источник: составлено автором по данным Московской биржи.</w:t>
      </w:r>
    </w:p>
    <w:p w14:paraId="00E36534" w14:textId="77777777"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294A94" w:rsidRPr="003B10E2">
        <w:rPr>
          <w:rFonts w:ascii="Times New Roman" w:hAnsi="Times New Roman"/>
          <w:color w:val="000000"/>
          <w:sz w:val="24"/>
          <w:szCs w:val="24"/>
        </w:rPr>
        <w:t>23</w:t>
      </w:r>
      <w:r w:rsidRPr="003B10E2">
        <w:rPr>
          <w:rFonts w:ascii="Times New Roman" w:hAnsi="Times New Roman"/>
          <w:color w:val="000000"/>
          <w:sz w:val="24"/>
          <w:szCs w:val="24"/>
        </w:rPr>
        <w:t xml:space="preserve"> – Изменения цен фьючерса на индекс </w:t>
      </w:r>
      <w:r w:rsidRPr="003B10E2">
        <w:rPr>
          <w:rFonts w:ascii="Times New Roman" w:hAnsi="Times New Roman"/>
          <w:color w:val="000000"/>
          <w:sz w:val="24"/>
          <w:szCs w:val="24"/>
          <w:lang w:val="en-GB"/>
        </w:rPr>
        <w:t>IRTS</w:t>
      </w:r>
      <w:r w:rsidRPr="003B10E2">
        <w:rPr>
          <w:rFonts w:ascii="Times New Roman" w:hAnsi="Times New Roman"/>
          <w:color w:val="000000"/>
          <w:sz w:val="24"/>
          <w:szCs w:val="24"/>
        </w:rPr>
        <w:t xml:space="preserve"> и индекса волатильности </w:t>
      </w:r>
      <w:r w:rsidRPr="003B10E2">
        <w:rPr>
          <w:rFonts w:ascii="Times New Roman" w:hAnsi="Times New Roman"/>
          <w:color w:val="000000"/>
          <w:sz w:val="24"/>
          <w:szCs w:val="24"/>
          <w:lang w:val="en-GB"/>
        </w:rPr>
        <w:t>VIX</w:t>
      </w:r>
    </w:p>
    <w:bookmarkEnd w:id="113"/>
    <w:p w14:paraId="2EAE3463" w14:textId="77777777" w:rsidR="000E0FE8" w:rsidRPr="003B10E2" w:rsidRDefault="000E0FE8" w:rsidP="000E0FE8">
      <w:pPr>
        <w:spacing w:after="0" w:line="360" w:lineRule="auto"/>
        <w:ind w:firstLine="851"/>
        <w:jc w:val="center"/>
        <w:rPr>
          <w:rFonts w:ascii="Times New Roman" w:hAnsi="Times New Roman"/>
          <w:color w:val="000000"/>
          <w:sz w:val="24"/>
          <w:szCs w:val="24"/>
        </w:rPr>
      </w:pPr>
    </w:p>
    <w:p w14:paraId="6C1C9227"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Как изображено на рисунках </w:t>
      </w:r>
      <w:r w:rsidR="00294A94" w:rsidRPr="003B10E2">
        <w:rPr>
          <w:rFonts w:ascii="Times New Roman" w:hAnsi="Times New Roman"/>
          <w:color w:val="000000"/>
          <w:sz w:val="28"/>
          <w:szCs w:val="28"/>
        </w:rPr>
        <w:t>22</w:t>
      </w:r>
      <w:r w:rsidRPr="003B10E2">
        <w:rPr>
          <w:rFonts w:ascii="Times New Roman" w:hAnsi="Times New Roman"/>
          <w:color w:val="000000"/>
          <w:sz w:val="28"/>
          <w:szCs w:val="28"/>
        </w:rPr>
        <w:t>-</w:t>
      </w:r>
      <w:r w:rsidR="00294A94" w:rsidRPr="003B10E2">
        <w:rPr>
          <w:rFonts w:ascii="Times New Roman" w:hAnsi="Times New Roman"/>
          <w:color w:val="000000"/>
          <w:sz w:val="28"/>
          <w:szCs w:val="28"/>
        </w:rPr>
        <w:t>23</w:t>
      </w:r>
      <w:r w:rsidRPr="003B10E2">
        <w:rPr>
          <w:rFonts w:ascii="Times New Roman" w:hAnsi="Times New Roman"/>
          <w:color w:val="000000"/>
          <w:sz w:val="28"/>
          <w:szCs w:val="28"/>
        </w:rPr>
        <w:t>, точки шоков волатильности совпадают с резкими колебаниями цен на активы (акции и облигации) в России.</w:t>
      </w:r>
    </w:p>
    <w:p w14:paraId="1F1FE5DB"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Многие эмпирические исследования исследуют влияние последних кризисов на побочные эффекты на рынках капитала БРИКС с использованием многомерных моделей типа DCC-GARCH. Несмотря на растущее глобальное внимание к фондовым рынкам БРИКС, соответствующие эмпирические исследования по вторичным эффектам остаются удивительно ограниченными, что подтверждает необходимость дальнейшего анализа [139-141]. Ежедневные биржевые данные вызывают смещения несинхронных торговых дней и влияние неликвидности на цену акций, в то время как ежемесячные данные не могут идентифицировать передачу волатильности из-за смещений временной агрегации и компенсационных эффектов.  </w:t>
      </w:r>
    </w:p>
    <w:p w14:paraId="25C1D236"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Эффект заражения между фондовыми рынками США, России и Китая.</w:t>
      </w:r>
    </w:p>
    <w:p w14:paraId="17AA1851"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Ранее предполагалось, что финансовая неопределенность оказывает негативное влияние как на доходность, так и на побочные эффекты волатильности, указывая на то, что неприятие риска инвесторами, возможно, уменьшило побочные эффекты на фондовых рынках. Однако динамика ВВП Китая и курса юаня к доллару США показывает, что китайский фондовый рынок в последнее время стал играть важную роль в качестве источника передачи информации (рисунки </w:t>
      </w:r>
      <w:r w:rsidR="00294A94" w:rsidRPr="003B10E2">
        <w:rPr>
          <w:rFonts w:ascii="Times New Roman" w:hAnsi="Times New Roman"/>
          <w:color w:val="000000"/>
          <w:sz w:val="28"/>
          <w:szCs w:val="28"/>
        </w:rPr>
        <w:t>24</w:t>
      </w:r>
      <w:r w:rsidRPr="003B10E2">
        <w:rPr>
          <w:rFonts w:ascii="Times New Roman" w:hAnsi="Times New Roman"/>
          <w:color w:val="000000"/>
          <w:sz w:val="28"/>
          <w:szCs w:val="28"/>
        </w:rPr>
        <w:t>-</w:t>
      </w:r>
      <w:r w:rsidR="00294A94" w:rsidRPr="003B10E2">
        <w:rPr>
          <w:rFonts w:ascii="Times New Roman" w:hAnsi="Times New Roman"/>
          <w:color w:val="000000"/>
          <w:sz w:val="28"/>
          <w:szCs w:val="28"/>
        </w:rPr>
        <w:t>25</w:t>
      </w:r>
      <w:r w:rsidRPr="003B10E2">
        <w:rPr>
          <w:rFonts w:ascii="Times New Roman" w:hAnsi="Times New Roman"/>
          <w:color w:val="000000"/>
          <w:sz w:val="28"/>
          <w:szCs w:val="28"/>
        </w:rPr>
        <w:t xml:space="preserve">). </w:t>
      </w:r>
    </w:p>
    <w:p w14:paraId="7373A5D4" w14:textId="77777777" w:rsidR="000E0FE8" w:rsidRPr="003B10E2" w:rsidRDefault="00C72198" w:rsidP="000E0FE8">
      <w:pPr>
        <w:spacing w:after="0" w:line="360" w:lineRule="auto"/>
        <w:ind w:firstLine="851"/>
        <w:jc w:val="both"/>
        <w:rPr>
          <w:rFonts w:ascii="Times New Roman" w:hAnsi="Times New Roman"/>
          <w:color w:val="000000"/>
          <w:sz w:val="28"/>
          <w:szCs w:val="28"/>
        </w:rPr>
      </w:pPr>
      <w:r w:rsidRPr="003B10E2">
        <w:rPr>
          <w:noProof/>
        </w:rPr>
        <w:drawing>
          <wp:inline distT="0" distB="0" distL="0" distR="0" wp14:anchorId="007EF0EF" wp14:editId="20ED9EDF">
            <wp:extent cx="4570730" cy="2741930"/>
            <wp:effectExtent l="0" t="0" r="1270" b="1270"/>
            <wp:docPr id="2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6AD9E04" w14:textId="77777777"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Источник: </w:t>
      </w:r>
      <w:r w:rsidRPr="003B10E2">
        <w:rPr>
          <w:rFonts w:ascii="Times New Roman" w:hAnsi="Times New Roman"/>
          <w:color w:val="000000"/>
          <w:sz w:val="24"/>
          <w:szCs w:val="24"/>
          <w:lang w:val="en-US"/>
        </w:rPr>
        <w:t>Thomson</w:t>
      </w:r>
      <w:r w:rsidRPr="003B10E2">
        <w:rPr>
          <w:rFonts w:ascii="Times New Roman" w:hAnsi="Times New Roman"/>
          <w:color w:val="000000"/>
          <w:sz w:val="24"/>
          <w:szCs w:val="24"/>
        </w:rPr>
        <w:t xml:space="preserve"> </w:t>
      </w:r>
      <w:r w:rsidRPr="003B10E2">
        <w:rPr>
          <w:rFonts w:ascii="Times New Roman" w:hAnsi="Times New Roman"/>
          <w:color w:val="000000"/>
          <w:sz w:val="24"/>
          <w:szCs w:val="24"/>
          <w:lang w:val="en-US"/>
        </w:rPr>
        <w:t>Reuters</w:t>
      </w:r>
      <w:r w:rsidRPr="003B10E2">
        <w:rPr>
          <w:rFonts w:ascii="Times New Roman" w:hAnsi="Times New Roman"/>
          <w:color w:val="000000"/>
          <w:sz w:val="24"/>
          <w:szCs w:val="24"/>
        </w:rPr>
        <w:t>.</w:t>
      </w:r>
    </w:p>
    <w:p w14:paraId="3D93DDCA" w14:textId="77777777"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294A94" w:rsidRPr="003B10E2">
        <w:rPr>
          <w:rFonts w:ascii="Times New Roman" w:hAnsi="Times New Roman"/>
          <w:color w:val="000000"/>
          <w:sz w:val="24"/>
          <w:szCs w:val="24"/>
        </w:rPr>
        <w:t>24</w:t>
      </w:r>
      <w:r w:rsidRPr="003B10E2">
        <w:rPr>
          <w:rFonts w:ascii="Times New Roman" w:hAnsi="Times New Roman"/>
          <w:color w:val="000000"/>
          <w:sz w:val="24"/>
          <w:szCs w:val="24"/>
        </w:rPr>
        <w:t xml:space="preserve"> – ВВП Китая, трлн. юаней</w:t>
      </w:r>
    </w:p>
    <w:p w14:paraId="6CB05C28" w14:textId="77777777" w:rsidR="000E0FE8" w:rsidRPr="003B10E2" w:rsidRDefault="000E0FE8" w:rsidP="000E0FE8">
      <w:pPr>
        <w:spacing w:after="0" w:line="360" w:lineRule="auto"/>
        <w:ind w:firstLine="851"/>
        <w:jc w:val="both"/>
        <w:rPr>
          <w:rFonts w:ascii="Times New Roman" w:hAnsi="Times New Roman"/>
          <w:color w:val="000000"/>
          <w:sz w:val="28"/>
          <w:szCs w:val="28"/>
        </w:rPr>
      </w:pPr>
    </w:p>
    <w:p w14:paraId="44CC5933" w14:textId="77777777" w:rsidR="000E0FE8" w:rsidRPr="003B10E2" w:rsidRDefault="00C72198" w:rsidP="000E0FE8">
      <w:pPr>
        <w:spacing w:after="0" w:line="360" w:lineRule="auto"/>
        <w:ind w:firstLine="851"/>
        <w:jc w:val="both"/>
        <w:rPr>
          <w:rFonts w:ascii="Times New Roman" w:hAnsi="Times New Roman"/>
          <w:color w:val="000000"/>
          <w:sz w:val="28"/>
          <w:szCs w:val="28"/>
        </w:rPr>
      </w:pPr>
      <w:r w:rsidRPr="003B10E2">
        <w:rPr>
          <w:noProof/>
        </w:rPr>
        <w:drawing>
          <wp:inline distT="0" distB="0" distL="0" distR="0" wp14:anchorId="56F4A4A2" wp14:editId="025CB51B">
            <wp:extent cx="4570730" cy="2741930"/>
            <wp:effectExtent l="0" t="0" r="1270" b="1270"/>
            <wp:docPr id="27"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E86DE4E" w14:textId="77777777"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Источник: составлено автором по данным Шанхайской биржи.</w:t>
      </w:r>
    </w:p>
    <w:p w14:paraId="470B3BF0" w14:textId="77777777"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294A94" w:rsidRPr="003B10E2">
        <w:rPr>
          <w:rFonts w:ascii="Times New Roman" w:hAnsi="Times New Roman"/>
          <w:color w:val="000000"/>
          <w:sz w:val="24"/>
          <w:szCs w:val="24"/>
        </w:rPr>
        <w:t>25</w:t>
      </w:r>
      <w:r w:rsidRPr="003B10E2">
        <w:rPr>
          <w:rFonts w:ascii="Times New Roman" w:hAnsi="Times New Roman"/>
          <w:color w:val="000000"/>
          <w:sz w:val="24"/>
          <w:szCs w:val="24"/>
        </w:rPr>
        <w:t xml:space="preserve"> – Курс юаня к доллару США, юаней за доллар США</w:t>
      </w:r>
    </w:p>
    <w:p w14:paraId="15074BB8" w14:textId="77777777" w:rsidR="000E0FE8" w:rsidRPr="003B10E2" w:rsidRDefault="000E0FE8" w:rsidP="000E0FE8">
      <w:pPr>
        <w:spacing w:after="0" w:line="360" w:lineRule="auto"/>
        <w:ind w:firstLine="851"/>
        <w:jc w:val="both"/>
        <w:rPr>
          <w:rFonts w:ascii="Times New Roman" w:hAnsi="Times New Roman"/>
          <w:color w:val="000000"/>
          <w:sz w:val="28"/>
          <w:szCs w:val="28"/>
        </w:rPr>
      </w:pPr>
    </w:p>
    <w:p w14:paraId="53F08A0A"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Высказанное подтверждает гипотезу окупаемости (эффект заражения), предполагающую снижение выгоды от диверсификации портфелей на фондовых рынках США и Китая в кризисные периоды. Фондовый рынок США неизменно является передатчиком доходности и волатильности, а российский рынок капитала становятся чистым потребителем инвестиций в посткризисный период. Эти результаты показывают, что информация о фондовых рынках США и России может быть полезна для повышения точности прогноза доходности и волатильности на других фондовых рынках. </w:t>
      </w:r>
    </w:p>
    <w:p w14:paraId="4DEC8450"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С точки зрения распределения активов интенсивность побочных эффектов создает возможность для построения новой стратегии диверсификации. Например, портфельные инвесторы на рынках США и стран БРИКС могут направлять свои средства в активы-убежища, такие как золото, что потенциально снижает риск снижения цен в условиях повышенной интенсивности вторичных инвестиций в периоды потрясений. </w:t>
      </w:r>
    </w:p>
    <w:p w14:paraId="059CD35F" w14:textId="77777777" w:rsidR="000E0FE8" w:rsidRPr="003B10E2" w:rsidRDefault="000E0FE8" w:rsidP="000E0FE8">
      <w:pPr>
        <w:spacing w:after="0" w:line="360" w:lineRule="auto"/>
        <w:ind w:firstLine="851"/>
        <w:jc w:val="both"/>
        <w:rPr>
          <w:rFonts w:ascii="Times New Roman" w:hAnsi="Times New Roman"/>
          <w:noProof/>
          <w:color w:val="000000"/>
          <w:sz w:val="28"/>
          <w:szCs w:val="28"/>
        </w:rPr>
      </w:pPr>
      <w:r w:rsidRPr="003B10E2">
        <w:rPr>
          <w:rFonts w:ascii="Times New Roman" w:hAnsi="Times New Roman"/>
          <w:color w:val="000000"/>
          <w:sz w:val="28"/>
          <w:szCs w:val="28"/>
        </w:rPr>
        <w:t xml:space="preserve">Согласно исследованиям, существует сильная взаимосвязь между ликвидностью и доходностью фондового рынка [215-217]. Эмпирические результаты показывают, что долгосрочное финансирование дает узкому кругу инвесторов доступ к деньгам, что позволяет акциям расти.  Так политика количественного смягчения была принята несколькими развитыми экономиками, а влияние политики количественного смягчения в США оказало наибольшее влияние на мировую экономику. Жертвами этой политики являются </w:t>
      </w:r>
      <w:r w:rsidRPr="003B10E2">
        <w:rPr>
          <w:rFonts w:ascii="Times New Roman" w:hAnsi="Times New Roman"/>
          <w:sz w:val="28"/>
          <w:szCs w:val="28"/>
        </w:rPr>
        <w:t xml:space="preserve">в основном страны, которые обладают некоторыми характеристиками развитого рынка, но пока не соответствуют всем стандартам, чтобы быть развитым рынком, например Россия (рисунок </w:t>
      </w:r>
      <w:r w:rsidR="00294A94" w:rsidRPr="003B10E2">
        <w:rPr>
          <w:rFonts w:ascii="Times New Roman" w:hAnsi="Times New Roman"/>
          <w:sz w:val="28"/>
          <w:szCs w:val="28"/>
        </w:rPr>
        <w:t>26</w:t>
      </w:r>
      <w:r w:rsidRPr="003B10E2">
        <w:rPr>
          <w:rFonts w:ascii="Times New Roman" w:hAnsi="Times New Roman"/>
          <w:sz w:val="28"/>
          <w:szCs w:val="28"/>
        </w:rPr>
        <w:t xml:space="preserve">). </w:t>
      </w:r>
    </w:p>
    <w:p w14:paraId="6C65A2F9" w14:textId="77777777" w:rsidR="000E0FE8" w:rsidRPr="003B10E2" w:rsidRDefault="00C72198" w:rsidP="000E0FE8">
      <w:pPr>
        <w:spacing w:after="0" w:line="240" w:lineRule="auto"/>
        <w:contextualSpacing/>
        <w:jc w:val="center"/>
        <w:rPr>
          <w:rFonts w:ascii="Times New Roman" w:hAnsi="Times New Roman"/>
          <w:color w:val="FF0000"/>
          <w:sz w:val="28"/>
          <w:szCs w:val="28"/>
        </w:rPr>
      </w:pPr>
      <w:r w:rsidRPr="003B10E2">
        <w:rPr>
          <w:noProof/>
        </w:rPr>
        <w:drawing>
          <wp:anchor distT="0" distB="0" distL="114300" distR="114300" simplePos="0" relativeHeight="251656704" behindDoc="0" locked="0" layoutInCell="1" allowOverlap="1" wp14:anchorId="399C8B4D" wp14:editId="4598CF2F">
            <wp:simplePos x="0" y="0"/>
            <wp:positionH relativeFrom="column">
              <wp:posOffset>-3810</wp:posOffset>
            </wp:positionH>
            <wp:positionV relativeFrom="paragraph">
              <wp:posOffset>71120</wp:posOffset>
            </wp:positionV>
            <wp:extent cx="5939155" cy="2819400"/>
            <wp:effectExtent l="0" t="0" r="0" b="0"/>
            <wp:wrapTopAndBottom/>
            <wp:docPr id="1413334905" name="Рисунок 7" descr="C:\Users\liska\Desktop\ллллл.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C:\Users\liska\Desktop\ллллл.JPG"/>
                    <pic:cNvPicPr>
                      <a:picLocks/>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5107305" cy="2424430"/>
                    </a:xfrm>
                    <a:prstGeom prst="rect">
                      <a:avLst/>
                    </a:prstGeom>
                    <a:noFill/>
                    <a:ln>
                      <a:noFill/>
                    </a:ln>
                  </pic:spPr>
                </pic:pic>
              </a:graphicData>
            </a:graphic>
            <wp14:sizeRelH relativeFrom="page">
              <wp14:pctWidth>0</wp14:pctWidth>
            </wp14:sizeRelH>
            <wp14:sizeRelV relativeFrom="page">
              <wp14:pctHeight>0</wp14:pctHeight>
            </wp14:sizeRelV>
          </wp:anchor>
        </w:drawing>
      </w:r>
      <w:r w:rsidR="000E0FE8" w:rsidRPr="003B10E2">
        <w:rPr>
          <w:rFonts w:ascii="Times New Roman" w:hAnsi="Times New Roman"/>
          <w:color w:val="000000"/>
          <w:sz w:val="24"/>
          <w:szCs w:val="24"/>
        </w:rPr>
        <w:t>Источник: составлено автором по данным моделирования.</w:t>
      </w:r>
    </w:p>
    <w:p w14:paraId="122A24E5" w14:textId="77777777" w:rsidR="000E0FE8" w:rsidRPr="003B10E2" w:rsidRDefault="000E0FE8" w:rsidP="000E0FE8">
      <w:pPr>
        <w:spacing w:after="0" w:line="240" w:lineRule="auto"/>
        <w:contextualSpacing/>
        <w:jc w:val="center"/>
        <w:rPr>
          <w:rFonts w:ascii="Times New Roman" w:hAnsi="Times New Roman"/>
          <w:color w:val="000000"/>
          <w:sz w:val="28"/>
          <w:szCs w:val="28"/>
        </w:rPr>
      </w:pPr>
      <w:r w:rsidRPr="003B10E2">
        <w:rPr>
          <w:rFonts w:ascii="Times New Roman" w:hAnsi="Times New Roman"/>
          <w:color w:val="000000"/>
          <w:sz w:val="24"/>
          <w:szCs w:val="24"/>
        </w:rPr>
        <w:t xml:space="preserve">Рисунок </w:t>
      </w:r>
      <w:r w:rsidR="00294A94" w:rsidRPr="003B10E2">
        <w:rPr>
          <w:rFonts w:ascii="Times New Roman" w:hAnsi="Times New Roman"/>
          <w:color w:val="000000"/>
          <w:sz w:val="24"/>
          <w:szCs w:val="24"/>
        </w:rPr>
        <w:t>26</w:t>
      </w:r>
      <w:r w:rsidRPr="003B10E2">
        <w:rPr>
          <w:rFonts w:ascii="Times New Roman" w:hAnsi="Times New Roman"/>
          <w:color w:val="000000"/>
          <w:sz w:val="24"/>
          <w:szCs w:val="24"/>
        </w:rPr>
        <w:t xml:space="preserve"> – Механизм передачи шоков волатильности.</w:t>
      </w:r>
    </w:p>
    <w:p w14:paraId="75D6112C" w14:textId="77777777" w:rsidR="000E0FE8" w:rsidRPr="003B10E2" w:rsidRDefault="000E0FE8" w:rsidP="000E0FE8">
      <w:pPr>
        <w:spacing w:after="0" w:line="360" w:lineRule="auto"/>
        <w:ind w:firstLine="851"/>
        <w:jc w:val="both"/>
        <w:rPr>
          <w:rFonts w:ascii="Times New Roman" w:hAnsi="Times New Roman"/>
          <w:b/>
          <w:color w:val="000000"/>
          <w:sz w:val="28"/>
          <w:szCs w:val="28"/>
        </w:rPr>
      </w:pPr>
    </w:p>
    <w:p w14:paraId="305DB6BA"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Современные шоки в структуре мирового рынка капитала создаются перетоком волатильности между национальными фондовыми индексами и национальным обменным курсом и наблюдаются в обоих направлениях. После этого ожидания участников рынка стали в большей степени соответствовать гипотезе рациональности, в частности, расширился горизонт инфляционных ожиданий, повысилась предсказуемость реакции процентных ставок на изменение денежного предложения Банком Китая. Экзогенные шоки волатильности передаются на рынок капитала Китая с помощью следующих каналов:</w:t>
      </w:r>
    </w:p>
    <w:p w14:paraId="1637CD39"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1)</w:t>
      </w:r>
      <w:r w:rsidRPr="003B10E2">
        <w:rPr>
          <w:rFonts w:ascii="Times New Roman" w:hAnsi="Times New Roman"/>
          <w:color w:val="000000"/>
          <w:sz w:val="28"/>
          <w:szCs w:val="28"/>
        </w:rPr>
        <w:tab/>
        <w:t>предложение ликвидности со стороны центральных банков и индексных фондов;</w:t>
      </w:r>
    </w:p>
    <w:p w14:paraId="75C8BA67"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2)</w:t>
      </w:r>
      <w:r w:rsidRPr="003B10E2">
        <w:rPr>
          <w:rFonts w:ascii="Times New Roman" w:hAnsi="Times New Roman"/>
          <w:color w:val="000000"/>
          <w:sz w:val="28"/>
          <w:szCs w:val="28"/>
        </w:rPr>
        <w:tab/>
        <w:t>риск-аппетит глобальных инвесторов;</w:t>
      </w:r>
    </w:p>
    <w:p w14:paraId="30A3F230"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3)</w:t>
      </w:r>
      <w:r w:rsidRPr="003B10E2">
        <w:rPr>
          <w:rFonts w:ascii="Times New Roman" w:hAnsi="Times New Roman"/>
          <w:color w:val="000000"/>
          <w:sz w:val="28"/>
          <w:szCs w:val="28"/>
        </w:rPr>
        <w:tab/>
        <w:t>регуляторные и политические риски.</w:t>
      </w:r>
    </w:p>
    <w:bookmarkEnd w:id="106"/>
    <w:bookmarkEnd w:id="107"/>
    <w:bookmarkEnd w:id="108"/>
    <w:bookmarkEnd w:id="110"/>
    <w:bookmarkEnd w:id="111"/>
    <w:p w14:paraId="1C8EDD27" w14:textId="77777777"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Для количественной оценки моделей поведения институциональных инвесторов в зависимости от стратегии управления фондами необходимо изучить типологию инвесторов, с которыми работает определенный инвестиционный фонд. Как известно, инвестиционная привлекательность объекта определяется для разных типов инвесторов с учетом их инвестиционных предпочтений и отношения к риску. У каждого инвестора формируется своя система предпочтений, основанная на цели инвестирования и личностных характеристиках [390-394].</w:t>
      </w:r>
    </w:p>
    <w:p w14:paraId="2FC6E01C"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С точки зрения источника поступления финансовых ресурсов на рынок ценных бумаг можно выделить три группы инвесторов [6, 19]:</w:t>
      </w:r>
    </w:p>
    <w:p w14:paraId="7B905BD3"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1) население (индивидуумы, т. е. физические лица);</w:t>
      </w:r>
    </w:p>
    <w:p w14:paraId="6C1F9CB2"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2) корпоративные инвесторы;</w:t>
      </w:r>
    </w:p>
    <w:p w14:paraId="13CB3A00"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3) институциональные инвесторы. </w:t>
      </w:r>
    </w:p>
    <w:p w14:paraId="767CC3AD"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Будучи финансовыми посредниками, институциональные инвесторы выполняют для экономики следующие важные функции:</w:t>
      </w:r>
    </w:p>
    <w:p w14:paraId="2B6BAE19"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1) эффективное распределение финансовых ресурсов;</w:t>
      </w:r>
    </w:p>
    <w:p w14:paraId="5D02BE6F"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2) аккумулирование сбережений;</w:t>
      </w:r>
    </w:p>
    <w:p w14:paraId="4D50A1DB"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3) снижение информационных издержек;</w:t>
      </w:r>
    </w:p>
    <w:p w14:paraId="295E403A"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4) уменьшение издержек контроля за инвестициями;</w:t>
      </w:r>
    </w:p>
    <w:p w14:paraId="1FD2B99A"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5) диверсификация рисков.</w:t>
      </w:r>
    </w:p>
    <w:p w14:paraId="72271C30"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глобальной структуре активов под управлением наибольшую долю в 2022 г. занимали пенсионные фонды, страховые компании и взаимные фонды (паевые инвестиционные фонды). По сравнению с 2012 г., глобальные активы под управлением преимущественно крупных институциональных инвесторов в 2022 г. выросли в 2 раза. Они увеличились на 14% и их совокупный объем составил 74,3 трлн долл. Такой рост был в значительной степени в связан с ростом прямых </w:t>
      </w:r>
      <w:hyperlink r:id="rId40" w:tgtFrame="Инвестиционная">
        <w:r w:rsidRPr="003B10E2">
          <w:rPr>
            <w:rFonts w:ascii="Times New Roman" w:hAnsi="Times New Roman"/>
            <w:color w:val="000000"/>
            <w:sz w:val="28"/>
            <w:szCs w:val="28"/>
          </w:rPr>
          <w:t>инвестиций</w:t>
        </w:r>
      </w:hyperlink>
      <w:r w:rsidRPr="003B10E2">
        <w:rPr>
          <w:rFonts w:ascii="Times New Roman" w:hAnsi="Times New Roman"/>
          <w:color w:val="000000"/>
          <w:sz w:val="28"/>
          <w:szCs w:val="28"/>
        </w:rPr>
        <w:t xml:space="preserve"> и высокими показателями фондового рынка. Одной из причин увеличения данного показателя в </w:t>
      </w:r>
      <w:hyperlink r:id="rId41" w:tgtFrame="Доллар">
        <w:r w:rsidRPr="003B10E2">
          <w:rPr>
            <w:rFonts w:ascii="Times New Roman" w:hAnsi="Times New Roman"/>
            <w:color w:val="000000"/>
            <w:sz w:val="28"/>
            <w:szCs w:val="28"/>
          </w:rPr>
          <w:t>долларах</w:t>
        </w:r>
      </w:hyperlink>
      <w:r w:rsidRPr="003B10E2">
        <w:rPr>
          <w:rFonts w:ascii="Times New Roman" w:hAnsi="Times New Roman"/>
          <w:color w:val="000000"/>
          <w:sz w:val="28"/>
          <w:szCs w:val="28"/>
        </w:rPr>
        <w:t xml:space="preserve"> стало также снижение стоимости доллара по отношению к ряду других валют [395-399].</w:t>
      </w:r>
    </w:p>
    <w:p w14:paraId="61715612"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отдельных трудах известных экономистов можно найти предпосылки для формирования логических взаимосвязей между стадиями развития финансового рынка в той или иной стране и стратегиями управления активами со стороны институциональных инвесторов (Приложение Д) [151-159]. </w:t>
      </w:r>
    </w:p>
    <w:p w14:paraId="53FFDB76"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качестве особого типа участников финансового рынка инвестиционные фонды помогают инвесторам повышать эффективность своих инвестиций и экономить на издержках за счет создания широкого пула инвесторов. Объединяя инвестиции большого числа инвесторов, инвестиционные фонды используют эффект «экономии масштаба», то есть сокращения различных издержек по управлению финансовыми ресурсами и операционных издержек при купле-продаже финансовых инструментов и иных инвестиционных объектов [400-404]. С помощью институциональных инвесторов миноритарные акционеры получают более выгодные условия для входа на рынок капитала и финансовых инструментов для инвестирования. Так, объекты недвижимости обычно недоступны для индивидуальных миноритарных акционеров, а объединение финансов множества миноритарных инвесторов в единый пул в одном инвестиционном фонде позволяет вкладывать средства в различные инструменты [405-409].</w:t>
      </w:r>
    </w:p>
    <w:p w14:paraId="19931F6D"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Модели поведения институциональных инвесторов различаются в зависимости от гражданского законодательства страны регистрации [94]. Существенные отличия можно отметить между инвестиционными фондами, не имеющими налоговых льгот, и инвестиционными фондами, зарегистрированными в оффшорных юрисдикциях и, соответственно, имеющими обычно упрощенной порядок регулирования и упрощенные требования к предоставляемой в государственные органы финансовой и налоговой отчетности [33].</w:t>
      </w:r>
    </w:p>
    <w:p w14:paraId="3C295F1B"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Модели поведения институциональных инвесторов могут быть скомбинированы различным образом и могут включать в себя управляющую компанию и один или несколько оншорных или оффшорных институциональных инвесторов (Приложение 2). Инвестиционный фонд может иметь несколько классов акционеров, могут быть выпущены акции, владельцы которых, например, имеют специальные права голоса, не имеют никаких прав голоса.</w:t>
      </w:r>
    </w:p>
    <w:p w14:paraId="1A3265BA"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Инвестиционный фонд может представлять собой зеркальную структуру, рассчитанную как для оншорных, так и для оффшорных инвесторов. Ограниченное партнерство получает инвестиции от инвесторов, зарегистрированных в налоговых зонах, а оффшорная корпорация может привлекать инвестиции из иных юрисдикций. Два фонда запускаются одновременно и имеют одинаковые доли в общем инвестиционном фонде [410-415].</w:t>
      </w:r>
    </w:p>
    <w:p w14:paraId="1A755F06" w14:textId="77777777" w:rsidR="000E0FE8" w:rsidRPr="003B10E2" w:rsidRDefault="00C72198" w:rsidP="000E0FE8">
      <w:pPr>
        <w:spacing w:after="0" w:line="360" w:lineRule="auto"/>
        <w:ind w:firstLine="851"/>
        <w:jc w:val="both"/>
        <w:rPr>
          <w:rFonts w:ascii="Times New Roman" w:hAnsi="Times New Roman"/>
          <w:color w:val="000000"/>
          <w:sz w:val="28"/>
          <w:szCs w:val="28"/>
        </w:rPr>
      </w:pPr>
      <w:r w:rsidRPr="003B10E2">
        <w:rPr>
          <w:noProof/>
        </w:rPr>
        <w:drawing>
          <wp:anchor distT="0" distB="0" distL="0" distR="0" simplePos="0" relativeHeight="251647488" behindDoc="0" locked="0" layoutInCell="0" allowOverlap="1" wp14:anchorId="12511020" wp14:editId="4AE44B21">
            <wp:simplePos x="0" y="0"/>
            <wp:positionH relativeFrom="column">
              <wp:posOffset>91440</wp:posOffset>
            </wp:positionH>
            <wp:positionV relativeFrom="paragraph">
              <wp:posOffset>953770</wp:posOffset>
            </wp:positionV>
            <wp:extent cx="5829300" cy="5000625"/>
            <wp:effectExtent l="0" t="0" r="0" b="0"/>
            <wp:wrapTopAndBottom/>
            <wp:docPr id="894638065" name="Рисунок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1"/>
                    <pic:cNvPicPr>
                      <a:picLocks/>
                    </pic:cNvPicPr>
                  </pic:nvPicPr>
                  <pic:blipFill>
                    <a:blip r:embed="rId42">
                      <a:grayscl/>
                      <a:extLst>
                        <a:ext uri="{28A0092B-C50C-407E-A947-70E740481C1C}">
                          <a14:useLocalDpi xmlns:a14="http://schemas.microsoft.com/office/drawing/2010/main" val="0"/>
                        </a:ext>
                      </a:extLst>
                    </a:blip>
                    <a:srcRect/>
                    <a:stretch>
                      <a:fillRect/>
                    </a:stretch>
                  </pic:blipFill>
                  <pic:spPr bwMode="auto">
                    <a:xfrm>
                      <a:off x="0" y="0"/>
                      <a:ext cx="5129530" cy="440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0FE8" w:rsidRPr="003B10E2">
        <w:rPr>
          <w:rFonts w:ascii="Times New Roman" w:hAnsi="Times New Roman"/>
          <w:color w:val="000000"/>
          <w:sz w:val="28"/>
          <w:szCs w:val="28"/>
        </w:rPr>
        <w:t xml:space="preserve">Практически очень трудно поддержать равное соотношение между капиталами зеркальных фондов. Чтобы держать определенную пропорцию между капиталами, позиции фондов должны меняться (рисунок </w:t>
      </w:r>
      <w:r w:rsidR="00294A94" w:rsidRPr="003B10E2">
        <w:rPr>
          <w:rFonts w:ascii="Times New Roman" w:hAnsi="Times New Roman"/>
          <w:color w:val="000000"/>
          <w:sz w:val="28"/>
          <w:szCs w:val="28"/>
        </w:rPr>
        <w:t>27</w:t>
      </w:r>
      <w:r w:rsidR="000E0FE8" w:rsidRPr="003B10E2">
        <w:rPr>
          <w:rFonts w:ascii="Times New Roman" w:hAnsi="Times New Roman"/>
          <w:color w:val="000000"/>
          <w:sz w:val="28"/>
          <w:szCs w:val="28"/>
        </w:rPr>
        <w:t>).</w:t>
      </w:r>
    </w:p>
    <w:p w14:paraId="23CB237A" w14:textId="77777777" w:rsidR="000E0FE8" w:rsidRPr="003B10E2" w:rsidRDefault="000E0FE8" w:rsidP="000E0FE8">
      <w:pPr>
        <w:spacing w:after="0" w:line="360" w:lineRule="auto"/>
        <w:ind w:firstLine="851"/>
        <w:jc w:val="both"/>
        <w:rPr>
          <w:rFonts w:ascii="Times New Roman" w:hAnsi="Times New Roman"/>
          <w:color w:val="000000"/>
          <w:sz w:val="28"/>
          <w:szCs w:val="28"/>
        </w:rPr>
      </w:pPr>
    </w:p>
    <w:p w14:paraId="431CBEEF" w14:textId="77777777" w:rsidR="000E0FE8" w:rsidRPr="003B10E2" w:rsidRDefault="000E0FE8" w:rsidP="000E0FE8">
      <w:pPr>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Источник: составлено автором.</w:t>
      </w:r>
    </w:p>
    <w:p w14:paraId="40D5B8D5" w14:textId="77777777" w:rsidR="000E0FE8" w:rsidRPr="003B10E2" w:rsidRDefault="000E0FE8" w:rsidP="000E0FE8">
      <w:pPr>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294A94" w:rsidRPr="003B10E2">
        <w:rPr>
          <w:rFonts w:ascii="Times New Roman" w:hAnsi="Times New Roman"/>
          <w:color w:val="000000"/>
          <w:sz w:val="24"/>
          <w:szCs w:val="24"/>
        </w:rPr>
        <w:t>27</w:t>
      </w:r>
      <w:r w:rsidRPr="003B10E2">
        <w:rPr>
          <w:rFonts w:ascii="Times New Roman" w:hAnsi="Times New Roman"/>
          <w:color w:val="000000"/>
          <w:sz w:val="24"/>
          <w:szCs w:val="24"/>
        </w:rPr>
        <w:t xml:space="preserve"> – Сбалансированные зеркальные инвестиционные фонды</w:t>
      </w:r>
    </w:p>
    <w:p w14:paraId="62208D55" w14:textId="77777777" w:rsidR="000E0FE8" w:rsidRPr="003B10E2" w:rsidRDefault="00C72198" w:rsidP="000E0FE8">
      <w:pPr>
        <w:spacing w:after="0" w:line="360" w:lineRule="auto"/>
        <w:jc w:val="both"/>
        <w:rPr>
          <w:rFonts w:ascii="Times New Roman" w:hAnsi="Times New Roman"/>
          <w:color w:val="000000"/>
          <w:sz w:val="28"/>
          <w:szCs w:val="28"/>
        </w:rPr>
      </w:pPr>
      <w:r w:rsidRPr="003B10E2">
        <w:rPr>
          <w:noProof/>
        </w:rPr>
        <w:drawing>
          <wp:anchor distT="0" distB="0" distL="114300" distR="114300" simplePos="0" relativeHeight="251652608" behindDoc="0" locked="0" layoutInCell="1" allowOverlap="1" wp14:anchorId="332310F9" wp14:editId="634EEE15">
            <wp:simplePos x="0" y="0"/>
            <wp:positionH relativeFrom="column">
              <wp:posOffset>5715</wp:posOffset>
            </wp:positionH>
            <wp:positionV relativeFrom="paragraph">
              <wp:posOffset>366395</wp:posOffset>
            </wp:positionV>
            <wp:extent cx="5838825" cy="2695575"/>
            <wp:effectExtent l="0" t="0" r="0" b="0"/>
            <wp:wrapTopAndBottom/>
            <wp:docPr id="1023559816" name="Рисунок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2"/>
                    <pic:cNvPicPr>
                      <a:picLocks/>
                    </pic:cNvPicPr>
                  </pic:nvPicPr>
                  <pic:blipFill>
                    <a:blip r:embed="rId43">
                      <a:grayscl/>
                      <a:extLst>
                        <a:ext uri="{28A0092B-C50C-407E-A947-70E740481C1C}">
                          <a14:useLocalDpi xmlns:a14="http://schemas.microsoft.com/office/drawing/2010/main" val="0"/>
                        </a:ext>
                      </a:extLst>
                    </a:blip>
                    <a:srcRect l="-7320" r="-7320"/>
                    <a:stretch>
                      <a:fillRect/>
                    </a:stretch>
                  </pic:blipFill>
                  <pic:spPr bwMode="auto">
                    <a:xfrm>
                      <a:off x="0" y="0"/>
                      <a:ext cx="513778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E0FE8" w:rsidRPr="003B10E2">
        <w:t xml:space="preserve"> </w:t>
      </w:r>
    </w:p>
    <w:p w14:paraId="15DADA70" w14:textId="77777777"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Источник: составлено автором.</w:t>
      </w:r>
    </w:p>
    <w:p w14:paraId="07FAA507" w14:textId="77777777"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294A94" w:rsidRPr="003B10E2">
        <w:rPr>
          <w:rFonts w:ascii="Times New Roman" w:hAnsi="Times New Roman"/>
          <w:color w:val="000000"/>
          <w:sz w:val="24"/>
          <w:szCs w:val="24"/>
        </w:rPr>
        <w:t>28</w:t>
      </w:r>
      <w:r w:rsidRPr="003B10E2">
        <w:rPr>
          <w:rFonts w:ascii="Times New Roman" w:hAnsi="Times New Roman"/>
          <w:color w:val="000000"/>
          <w:sz w:val="24"/>
          <w:szCs w:val="24"/>
        </w:rPr>
        <w:t xml:space="preserve"> – Смешанная структура инвестиционного фонда</w:t>
      </w:r>
    </w:p>
    <w:p w14:paraId="3599A2B5" w14:textId="77777777" w:rsidR="000E0FE8" w:rsidRPr="003B10E2" w:rsidRDefault="000E0FE8" w:rsidP="000E0FE8">
      <w:pPr>
        <w:spacing w:after="0" w:line="360" w:lineRule="auto"/>
        <w:ind w:firstLine="851"/>
        <w:jc w:val="center"/>
        <w:rPr>
          <w:rFonts w:ascii="Times New Roman" w:hAnsi="Times New Roman"/>
          <w:color w:val="000000"/>
          <w:sz w:val="24"/>
          <w:szCs w:val="24"/>
        </w:rPr>
      </w:pPr>
    </w:p>
    <w:p w14:paraId="6203D730" w14:textId="77777777"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Инвесторы могут быть разделены на два типа: активные и пассивные.</w:t>
      </w:r>
    </w:p>
    <w:p w14:paraId="486339AF" w14:textId="77777777"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 xml:space="preserve">Активные инвесторы — инвесторы, формирующие свой портфель исходя из ситуации на рынке в конкретный момент времени [110]. Данный тип инвесторов готов к увеличению или снижению доли инвестирования в любой момент времени [102]. Например, в ситуации снижения макроэкономических рисков, инвестор может направить свои средства, размещенные в облигациях, на фондовый рынок (рисунок </w:t>
      </w:r>
      <w:r w:rsidR="00294A94" w:rsidRPr="003B10E2">
        <w:rPr>
          <w:rFonts w:ascii="Times New Roman" w:hAnsi="Times New Roman"/>
          <w:color w:val="000000"/>
          <w:sz w:val="28"/>
          <w:szCs w:val="28"/>
          <w:lang w:eastAsia="ar-SA"/>
        </w:rPr>
        <w:t>28</w:t>
      </w:r>
      <w:r w:rsidRPr="003B10E2">
        <w:rPr>
          <w:rFonts w:ascii="Times New Roman" w:hAnsi="Times New Roman"/>
          <w:color w:val="000000"/>
          <w:sz w:val="28"/>
          <w:szCs w:val="28"/>
          <w:lang w:eastAsia="ar-SA"/>
        </w:rPr>
        <w:t>).</w:t>
      </w:r>
    </w:p>
    <w:p w14:paraId="21A8C1F9" w14:textId="77777777"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В этих целях алгоритм для выбора инвестиционной стратегии на основе оценки предпочтений инвесторов состоит из следующих этапов.</w:t>
      </w:r>
    </w:p>
    <w:p w14:paraId="6226274D" w14:textId="77777777"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1) Определение типа инвестора.</w:t>
      </w:r>
    </w:p>
    <w:p w14:paraId="6CBE9780" w14:textId="77777777"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2) Выделение критериев эффективности институциональных инвесторов применительно к конкретному инвестору.</w:t>
      </w:r>
    </w:p>
    <w:p w14:paraId="66C7043B" w14:textId="77777777"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3) Анализ совокупности институциональных инвесторов, удовлетворяющих требованиям инвестора.</w:t>
      </w:r>
    </w:p>
    <w:p w14:paraId="7BFA39A6" w14:textId="77777777"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4) Анализ временных рядов доходности инвестиционного за последние 3-5 лет.</w:t>
      </w:r>
    </w:p>
    <w:p w14:paraId="49829CED" w14:textId="77777777"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5) Оценка доходности инвестиционного фонда.</w:t>
      </w:r>
    </w:p>
    <w:p w14:paraId="32CB013F" w14:textId="77777777"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6) Оценка рискованности инвестиционного фонда.</w:t>
      </w:r>
    </w:p>
    <w:p w14:paraId="30FB9CDD" w14:textId="77777777" w:rsidR="000E0FE8" w:rsidRPr="003B10E2" w:rsidRDefault="000E0FE8" w:rsidP="000E0FE8">
      <w:pPr>
        <w:spacing w:after="0" w:line="360" w:lineRule="auto"/>
        <w:ind w:firstLine="851"/>
        <w:jc w:val="both"/>
        <w:rPr>
          <w:rFonts w:ascii="Times New Roman" w:hAnsi="Times New Roman"/>
          <w:color w:val="000000"/>
          <w:sz w:val="28"/>
          <w:szCs w:val="28"/>
          <w:lang w:eastAsia="ar-SA"/>
        </w:rPr>
      </w:pPr>
    </w:p>
    <w:p w14:paraId="3FBD8EFF" w14:textId="77777777"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На основе отношения к риску можно выделить соответствующие группы инвесторов.</w:t>
      </w:r>
    </w:p>
    <w:p w14:paraId="662395C4" w14:textId="77777777"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 xml:space="preserve">1. Умеренные инвесторы. Для таких инвесторов наиболее подходят фонды смешанных инвестиций, поскольку они предлагают средний уровень доходности для различных макроэкономических условий и средний уровень риска ликвидности [106]. </w:t>
      </w:r>
    </w:p>
    <w:p w14:paraId="7E3564D4" w14:textId="77777777"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 xml:space="preserve">2. Спекулятивные инвесторы. Активные инвесторы в наибольшей степени подвержены риску ликвидности вложений, поэтому наиболее подходящими для инвестирования будут являться фонды спекулятивных инвестиций. </w:t>
      </w:r>
    </w:p>
    <w:p w14:paraId="616A170B" w14:textId="77777777"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3. Консервативные инвесторы. Для указанной группы инвесторов наиболее важным является стабильный доход и низкий уровень риска ликвидности [109].</w:t>
      </w:r>
    </w:p>
    <w:p w14:paraId="3E02EEEB" w14:textId="77777777"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Исходя из этого, можно выделить 3 типа фондов институциональных инвесторов:</w:t>
      </w:r>
    </w:p>
    <w:p w14:paraId="119472C2" w14:textId="77777777"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1) фонды роста;</w:t>
      </w:r>
    </w:p>
    <w:p w14:paraId="07033799" w14:textId="77777777"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2) фонды сохранения;</w:t>
      </w:r>
    </w:p>
    <w:p w14:paraId="2178A820" w14:textId="77777777"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3) фонды спекуляций.</w:t>
      </w:r>
    </w:p>
    <w:p w14:paraId="2CD6884D" w14:textId="77777777"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Большинство людей рассматривают вложение средств в инвестиционные фонды в качестве альтернативы вложений в иностранную валюту, недвижимость и банковские депозиты. Таким образом, модели поведения инвесторов будут отличаться в зависимости от выделенных признаков [446-449].</w:t>
      </w:r>
    </w:p>
    <w:p w14:paraId="3D37C00C" w14:textId="77777777"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Инвестиционный фонд аналогичным образом будет рассчитывать стратегию управления, исходя из целей и задач.</w:t>
      </w:r>
    </w:p>
    <w:p w14:paraId="1ECF708A" w14:textId="77777777"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Для институциональных инвесторов с пассивной стратегией целесообразно использовать следующие стратегии.</w:t>
      </w:r>
    </w:p>
    <w:p w14:paraId="171D325B" w14:textId="77777777"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1) При инвестиционном горизонте более одного года без условия досрочного погашения инвестиционному фонду наиболее предпочтительно сформировать фонд роста. Наибольшей средней доходностью на длительном горизонте инвестирования обладают фонды акций и смешанные фонды. Однако доходность инвестирования очень сильно зависит от таланта управляющего активами [110].</w:t>
      </w:r>
    </w:p>
    <w:p w14:paraId="562186D4" w14:textId="77777777"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2) При сроке инвестирования до одного года либо при неопределенном инвестиционном горизонте с умеренными ожиданиями по доходности предпочтительно использовать стратегию сохранения.</w:t>
      </w:r>
    </w:p>
    <w:p w14:paraId="5F3E4E94" w14:textId="77777777"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Для активно управляемых институциональных инвесторов стратегия управления зависит от тенденции на рынке:</w:t>
      </w:r>
    </w:p>
    <w:p w14:paraId="74595C41" w14:textId="77777777" w:rsidR="000E0FE8" w:rsidRPr="003B10E2" w:rsidRDefault="000E0FE8" w:rsidP="000E0FE8">
      <w:pPr>
        <w:spacing w:after="0" w:line="360" w:lineRule="auto"/>
        <w:jc w:val="both"/>
      </w:pPr>
      <w:r w:rsidRPr="003B10E2">
        <w:rPr>
          <w:rFonts w:ascii="Times New Roman" w:hAnsi="Times New Roman"/>
          <w:color w:val="000000"/>
          <w:sz w:val="28"/>
          <w:szCs w:val="28"/>
          <w:lang w:eastAsia="ar-SA"/>
        </w:rPr>
        <w:t>- на растущем рынке;</w:t>
      </w:r>
    </w:p>
    <w:p w14:paraId="2335174F" w14:textId="77777777" w:rsidR="000E0FE8" w:rsidRPr="003B10E2" w:rsidRDefault="000E0FE8" w:rsidP="000E0FE8">
      <w:pPr>
        <w:spacing w:after="0" w:line="360" w:lineRule="auto"/>
        <w:jc w:val="both"/>
      </w:pPr>
      <w:r w:rsidRPr="003B10E2">
        <w:rPr>
          <w:rFonts w:ascii="Times New Roman" w:hAnsi="Times New Roman"/>
          <w:color w:val="000000"/>
          <w:sz w:val="28"/>
          <w:szCs w:val="28"/>
          <w:lang w:eastAsia="ar-SA"/>
        </w:rPr>
        <w:t>- на падающем рынке;</w:t>
      </w:r>
    </w:p>
    <w:p w14:paraId="46CC088B" w14:textId="77777777" w:rsidR="000E0FE8" w:rsidRPr="003B10E2" w:rsidRDefault="000E0FE8" w:rsidP="000E0FE8">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на нейтральном рынке.</w:t>
      </w:r>
    </w:p>
    <w:p w14:paraId="1C7083FB"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На растущем рынке наиболее целесообразным является применение спекулятивных стратегий управления. При этом дополнительным преимуществом будет являться наличие страховки от действий управляющей компании, то есть неких обязательств по поддержанию состава финансовых инструментов в соответствии с определенным ориентиром. Лучшим ориентиром могут являться индексы [197].</w:t>
      </w:r>
    </w:p>
    <w:p w14:paraId="2383F29A"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Указанные выше варианты стратегий распределения активов инвестиционного фонда помогают определить оптимальную организационную структуру. А модель поведения может служить инструментом для повышения эффективности управления фондами [450-455].</w:t>
      </w:r>
    </w:p>
    <w:p w14:paraId="17FEBD30"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Частные характеристики моделей поведения применительно к различным видам институциональных инвесторов иногда настолько различны, что представляется целесообразным применять различные критерии эффективности.</w:t>
      </w:r>
    </w:p>
    <w:p w14:paraId="22AC999B"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Аллокативная эффективность (allocative efficiency) — один из аспектов рынка, подразумевающий оптимальное размещение ограниченных ресурсов по направлениям их конечного использования, в результате чего производится именно тот набор товаров и услуг, который наилучшим образом соответствует структуре потребительского спроса. Показатели могут иметь как количественное, так и качественное содержание. При оценке эффективности инвестиционного фонда можно применить следующие подходы: </w:t>
      </w:r>
    </w:p>
    <w:p w14:paraId="528D8781" w14:textId="77777777" w:rsidR="000E0FE8" w:rsidRPr="003B10E2" w:rsidRDefault="000E0FE8" w:rsidP="000E0FE8">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xml:space="preserve">- логико-управленческий подход, основанный на рационализации и оптимальности работы; </w:t>
      </w:r>
    </w:p>
    <w:p w14:paraId="1A94428C" w14:textId="77777777" w:rsidR="000E0FE8" w:rsidRPr="003B10E2" w:rsidRDefault="000E0FE8" w:rsidP="000E0FE8">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xml:space="preserve">- экономико-математический подход, использующий модели и углублённые расчёты; </w:t>
      </w:r>
    </w:p>
    <w:p w14:paraId="44C9B0CD" w14:textId="77777777" w:rsidR="000E0FE8" w:rsidRPr="003B10E2" w:rsidRDefault="000E0FE8" w:rsidP="000E0FE8">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xml:space="preserve">- финансово-экономический поход, предполагающий составление финансовых показателей; </w:t>
      </w:r>
    </w:p>
    <w:p w14:paraId="08908E4E" w14:textId="77777777" w:rsidR="000E0FE8" w:rsidRPr="003B10E2" w:rsidRDefault="000E0FE8" w:rsidP="000E0FE8">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социально-психологический подход, поддерживающий личностно-коллективные признаки и факторы трудовой деятельности [159].</w:t>
      </w:r>
    </w:p>
    <w:p w14:paraId="2CAFF40B" w14:textId="77777777"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Инвестиционные фонды играют важную роль в предоставлении рыночного финансирования [123-127]. Инвестиционные фонды существенно трансформировали свои активы в сторону преобладания облигаций за последние 10 лет. Инвестиционные фонды глобально владели 61,1% активов в акциях и 28,3% в облигациях в 2008 г., а к 2021 г. пропорции изменились до 29,0% и 55,7% соответственно. Учитывая размер их активов, изменения в распределении активов инвестиционных фондов могут оказать существенное влияние на активы.</w:t>
      </w:r>
    </w:p>
    <w:p w14:paraId="75321C31" w14:textId="77777777"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С одной стороны, материнская компания инвестиционного фонда имеет первичный контроль над распределением активов, выбирая оптимальные веса акций и облигаций, чтобы максимизировать доходность.  С другой стороны, более высокий вес акций в портфеле делает денежные потоки более волатильными, увеличивая премию за риск, которую инвесторы применяют при оценке капитала. Влияние материнской компании инвестиционного фонда имеет решающее значение [528-531].</w:t>
      </w:r>
    </w:p>
    <w:p w14:paraId="1E70679C" w14:textId="77777777"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Результаты изучения моделей имеют отношение к финансовой стабильности и последствия процикличного инвестиционного поведения, то есть продажи в ответ на падение цен, и наоборот. Например, если процентные ставки существенно вырастут с текущих низких уровней, это может привести к значительному увеличению коэффициентов фондирования инвестиционных фондов, то инвестиционные фонды будут поддерживать ликвидность рынка облигаций, ведя себя контрциклично, то есть покупая, когда цены на облигации падают. Однако такая поддержка ликвидности рынка облигаций может оказаться ограниченной из-за медленного изменения инвестиционного поведения инвестиционных фондов [532-536].</w:t>
      </w:r>
    </w:p>
    <w:p w14:paraId="59437D0C" w14:textId="77777777" w:rsidR="000E0FE8" w:rsidRPr="003B10E2" w:rsidRDefault="000E0FE8" w:rsidP="000E0FE8">
      <w:pPr>
        <w:spacing w:after="0" w:line="360" w:lineRule="auto"/>
        <w:ind w:firstLine="851"/>
        <w:jc w:val="both"/>
        <w:rPr>
          <w:rFonts w:ascii="Times New Roman" w:hAnsi="Times New Roman"/>
          <w:color w:val="000000"/>
          <w:sz w:val="24"/>
          <w:szCs w:val="24"/>
        </w:rPr>
      </w:pPr>
      <w:r w:rsidRPr="003B10E2">
        <w:rPr>
          <w:rFonts w:ascii="Times New Roman" w:hAnsi="Times New Roman"/>
          <w:color w:val="000000"/>
          <w:sz w:val="28"/>
          <w:szCs w:val="28"/>
          <w:lang w:eastAsia="ar-SA"/>
        </w:rPr>
        <w:t xml:space="preserve">Ключевой вопрос — это выбор распределения активов инвестиционных фондов между акциями и облигациями.  Ключевым элементом является риск, что корпоративный инвестор не сможет сделать необходимые взносы, чтобы закрыть дефицит инвестиционного фонда. Он предполагает, что фирмы с более высоким риском дефолта имеют стимулы для инвестирования в более рискованные активы. Ранее в работе был доказан тезис, что структурные сдвиги вызваны резкими изменениями экзогенных переменных: безрисковых ставок и цен акций. Изменения безрисковых ставок важны для инвестиционных фондов, поскольку они влияют на стоимость как активов, так и обязательств. Следовательно, инвестиционные фонды чувствительны к изменениям безрисковых ставок. Падение безрисковой ставки, как правило, приводит к ухудшению коэффициентов фондирования инвестиционных фондов. Долгосрочные инвестиционные обязательства увеличиваются в стоимости на более короткие инвестиционные активы. </w:t>
      </w:r>
    </w:p>
    <w:p w14:paraId="0D212A1A" w14:textId="77777777"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Модели поведения инвестиционных фондов в случае снижения ставок изменяются линейной в зависимости от вероятных размеров структурного сдвига. Увеличение безрисковой ставки приводит к улучшению показателей фондирования инвестиционных фондов и имеет тенденцию приводить к обратному результату</w:t>
      </w:r>
      <w:r w:rsidRPr="003B10E2">
        <w:t>.</w:t>
      </w:r>
      <w:r w:rsidRPr="003B10E2">
        <w:rPr>
          <w:rFonts w:ascii="Times New Roman" w:hAnsi="Times New Roman"/>
          <w:color w:val="000000"/>
          <w:sz w:val="28"/>
          <w:szCs w:val="28"/>
          <w:lang w:eastAsia="ar-SA"/>
        </w:rPr>
        <w:t xml:space="preserve"> Инвестиционные фонды, поддерживаемые более слабыми материнскими компаниями, будут инвестировать проциклично на рынках облигаций, то есть сокращать свои активы по мере падения цен (из-за безрискового роста ставки). В частности, при достаточно больших шоках эти фонды должны снижать долю акций [537-540]. </w:t>
      </w:r>
    </w:p>
    <w:p w14:paraId="4C58DAC5" w14:textId="77777777" w:rsidR="000E0FE8" w:rsidRPr="003B10E2" w:rsidRDefault="000E0FE8" w:rsidP="000E0FE8">
      <w:pPr>
        <w:spacing w:after="0" w:line="360" w:lineRule="auto"/>
        <w:ind w:firstLine="851"/>
        <w:jc w:val="both"/>
        <w:rPr>
          <w:rFonts w:ascii="Times New Roman" w:hAnsi="Times New Roman"/>
          <w:color w:val="000000"/>
          <w:sz w:val="24"/>
          <w:szCs w:val="24"/>
        </w:rPr>
      </w:pPr>
      <w:r w:rsidRPr="003B10E2">
        <w:rPr>
          <w:rFonts w:ascii="Times New Roman" w:hAnsi="Times New Roman"/>
          <w:color w:val="000000"/>
          <w:sz w:val="28"/>
          <w:szCs w:val="28"/>
          <w:lang w:eastAsia="ar-SA"/>
        </w:rPr>
        <w:t>Достижение коэффициента финансирования более 100% является обязательным требованием, чтобы переложить риски, связанные с инвестиционными фондами.</w:t>
      </w:r>
      <w:r w:rsidRPr="003B10E2">
        <w:rPr>
          <w:rFonts w:ascii="Times New Roman" w:hAnsi="Times New Roman"/>
          <w:color w:val="000000"/>
          <w:sz w:val="24"/>
          <w:szCs w:val="24"/>
        </w:rPr>
        <w:t xml:space="preserve"> </w:t>
      </w:r>
      <w:r w:rsidRPr="003B10E2">
        <w:rPr>
          <w:rFonts w:ascii="Times New Roman" w:hAnsi="Times New Roman"/>
          <w:color w:val="000000"/>
          <w:sz w:val="28"/>
          <w:szCs w:val="28"/>
          <w:lang w:eastAsia="ar-SA"/>
        </w:rPr>
        <w:t xml:space="preserve">Для инвестиционных фондов крупных финансовых структур стимул для переключения в акции перед лицом более высоких ожиданий преобладает. Эти инвестиционные фонды меняют модель поведения для инвестирования контрциклично, то есть они увеличивают свои активы, когда цены падают [541-546].  </w:t>
      </w:r>
    </w:p>
    <w:p w14:paraId="07CDA1AB" w14:textId="77777777"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Напротив, для инвестиционных фондов, поддерживаемых более слабыми спонсорами, стимул для перехода в облигации перед лицом роста рисков доминирует. Следовательно, они проциклично инвестируют в фондовые рынки</w:t>
      </w:r>
      <w:r w:rsidRPr="003B10E2">
        <w:t xml:space="preserve"> </w:t>
      </w:r>
      <w:r w:rsidRPr="003B10E2">
        <w:rPr>
          <w:rFonts w:ascii="Times New Roman" w:hAnsi="Times New Roman"/>
          <w:color w:val="000000"/>
          <w:sz w:val="28"/>
          <w:szCs w:val="28"/>
          <w:lang w:eastAsia="ar-SA"/>
        </w:rPr>
        <w:t xml:space="preserve">(таблица </w:t>
      </w:r>
      <w:r w:rsidR="00294A94" w:rsidRPr="003B10E2">
        <w:rPr>
          <w:rFonts w:ascii="Times New Roman" w:hAnsi="Times New Roman"/>
          <w:color w:val="000000"/>
          <w:sz w:val="28"/>
          <w:szCs w:val="28"/>
          <w:lang w:eastAsia="ar-SA"/>
        </w:rPr>
        <w:t>5</w:t>
      </w:r>
      <w:r w:rsidRPr="003B10E2">
        <w:rPr>
          <w:rFonts w:ascii="Times New Roman" w:hAnsi="Times New Roman"/>
          <w:color w:val="000000"/>
          <w:sz w:val="28"/>
          <w:szCs w:val="28"/>
          <w:lang w:eastAsia="ar-SA"/>
        </w:rPr>
        <w:t>).</w:t>
      </w:r>
    </w:p>
    <w:p w14:paraId="76BFD863" w14:textId="77777777" w:rsidR="000E0FE8" w:rsidRPr="003B10E2" w:rsidRDefault="000E0FE8" w:rsidP="000E0FE8">
      <w:pPr>
        <w:spacing w:after="0" w:line="240" w:lineRule="auto"/>
        <w:jc w:val="both"/>
        <w:rPr>
          <w:rFonts w:ascii="Times New Roman" w:hAnsi="Times New Roman"/>
          <w:color w:val="000000"/>
          <w:sz w:val="28"/>
          <w:szCs w:val="28"/>
          <w:lang w:eastAsia="ar-SA"/>
        </w:rPr>
      </w:pPr>
    </w:p>
    <w:p w14:paraId="38DD41CE" w14:textId="77777777" w:rsidR="000E0FE8" w:rsidRPr="003B10E2" w:rsidRDefault="000E0FE8" w:rsidP="000E0FE8">
      <w:pPr>
        <w:spacing w:after="0" w:line="240" w:lineRule="auto"/>
        <w:rPr>
          <w:rFonts w:ascii="Times New Roman" w:hAnsi="Times New Roman"/>
          <w:color w:val="000000"/>
          <w:sz w:val="24"/>
          <w:szCs w:val="24"/>
        </w:rPr>
      </w:pPr>
      <w:r w:rsidRPr="003B10E2">
        <w:rPr>
          <w:rFonts w:ascii="Times New Roman" w:hAnsi="Times New Roman"/>
          <w:color w:val="000000"/>
          <w:sz w:val="24"/>
          <w:szCs w:val="24"/>
        </w:rPr>
        <w:t xml:space="preserve">Таблица </w:t>
      </w:r>
      <w:r w:rsidR="00294A94" w:rsidRPr="003B10E2">
        <w:rPr>
          <w:rFonts w:ascii="Times New Roman" w:hAnsi="Times New Roman"/>
          <w:color w:val="000000"/>
          <w:sz w:val="24"/>
          <w:szCs w:val="24"/>
        </w:rPr>
        <w:t>5</w:t>
      </w:r>
      <w:r w:rsidRPr="003B10E2">
        <w:rPr>
          <w:rFonts w:ascii="Times New Roman" w:hAnsi="Times New Roman"/>
          <w:color w:val="000000"/>
          <w:sz w:val="24"/>
          <w:szCs w:val="24"/>
        </w:rPr>
        <w:t xml:space="preserve"> – Трансформация моделей поведения в случае разных структурных изменений</w:t>
      </w:r>
    </w:p>
    <w:p w14:paraId="1B324EC9" w14:textId="77777777" w:rsidR="000E0FE8" w:rsidRPr="003B10E2" w:rsidRDefault="000E0FE8" w:rsidP="000E0FE8">
      <w:pPr>
        <w:spacing w:after="0" w:line="240" w:lineRule="auto"/>
        <w:rPr>
          <w:rFonts w:ascii="Times New Roman" w:hAnsi="Times New Roman"/>
          <w:color w:val="000000"/>
          <w:sz w:val="24"/>
          <w:szCs w:val="24"/>
        </w:rPr>
      </w:pPr>
    </w:p>
    <w:tbl>
      <w:tblPr>
        <w:tblW w:w="9344" w:type="dxa"/>
        <w:tblLayout w:type="fixed"/>
        <w:tblLook w:val="04A0" w:firstRow="1" w:lastRow="0" w:firstColumn="1" w:lastColumn="0" w:noHBand="0" w:noVBand="1"/>
      </w:tblPr>
      <w:tblGrid>
        <w:gridCol w:w="1193"/>
        <w:gridCol w:w="1641"/>
        <w:gridCol w:w="1640"/>
        <w:gridCol w:w="1641"/>
        <w:gridCol w:w="1642"/>
        <w:gridCol w:w="1587"/>
      </w:tblGrid>
      <w:tr w:rsidR="000E0FE8" w:rsidRPr="003B10E2" w14:paraId="360329EA" w14:textId="77777777" w:rsidTr="005D28E0">
        <w:tc>
          <w:tcPr>
            <w:tcW w:w="1192" w:type="dxa"/>
            <w:tcBorders>
              <w:top w:val="single" w:sz="4" w:space="0" w:color="000000"/>
              <w:left w:val="single" w:sz="4" w:space="0" w:color="000000"/>
              <w:bottom w:val="double" w:sz="4" w:space="0" w:color="000000"/>
              <w:right w:val="single" w:sz="4" w:space="0" w:color="000000"/>
            </w:tcBorders>
            <w:shd w:val="clear" w:color="auto" w:fill="auto"/>
          </w:tcPr>
          <w:p w14:paraId="74052B6A" w14:textId="77777777" w:rsidR="000E0FE8" w:rsidRPr="003B10E2" w:rsidRDefault="000E0FE8" w:rsidP="005D28E0">
            <w:pPr>
              <w:widowControl w:val="0"/>
              <w:spacing w:after="0" w:line="240" w:lineRule="auto"/>
              <w:jc w:val="center"/>
              <w:rPr>
                <w:rFonts w:ascii="Times New Roman" w:hAnsi="Times New Roman"/>
                <w:color w:val="000000"/>
                <w:lang w:val="en-US" w:eastAsia="en-US"/>
              </w:rPr>
            </w:pPr>
            <w:r w:rsidRPr="003B10E2">
              <w:rPr>
                <w:rFonts w:ascii="Times New Roman" w:hAnsi="Times New Roman"/>
                <w:color w:val="000000"/>
                <w:lang w:val="en-US" w:eastAsia="en-US"/>
              </w:rPr>
              <w:t>Модели поведения</w:t>
            </w:r>
          </w:p>
        </w:tc>
        <w:tc>
          <w:tcPr>
            <w:tcW w:w="1641" w:type="dxa"/>
            <w:tcBorders>
              <w:top w:val="single" w:sz="4" w:space="0" w:color="000000"/>
              <w:left w:val="single" w:sz="4" w:space="0" w:color="000000"/>
              <w:bottom w:val="double" w:sz="4" w:space="0" w:color="000000"/>
              <w:right w:val="single" w:sz="4" w:space="0" w:color="000000"/>
            </w:tcBorders>
            <w:shd w:val="clear" w:color="auto" w:fill="auto"/>
          </w:tcPr>
          <w:p w14:paraId="055F7CC5" w14:textId="77777777" w:rsidR="000E0FE8" w:rsidRPr="003B10E2" w:rsidRDefault="000E0FE8" w:rsidP="005D28E0">
            <w:pPr>
              <w:widowControl w:val="0"/>
              <w:spacing w:after="0" w:line="240" w:lineRule="auto"/>
              <w:jc w:val="center"/>
            </w:pPr>
            <w:r w:rsidRPr="003B10E2">
              <w:rPr>
                <w:rFonts w:ascii="Times New Roman" w:hAnsi="Times New Roman"/>
                <w:color w:val="000000"/>
                <w:lang w:eastAsia="en-US"/>
              </w:rPr>
              <w:t>Сильный денежный поток, сильная материнская компания</w:t>
            </w:r>
          </w:p>
        </w:tc>
        <w:tc>
          <w:tcPr>
            <w:tcW w:w="1640" w:type="dxa"/>
            <w:tcBorders>
              <w:top w:val="single" w:sz="4" w:space="0" w:color="000000"/>
              <w:left w:val="single" w:sz="4" w:space="0" w:color="000000"/>
              <w:bottom w:val="double" w:sz="4" w:space="0" w:color="000000"/>
              <w:right w:val="single" w:sz="4" w:space="0" w:color="000000"/>
            </w:tcBorders>
            <w:shd w:val="clear" w:color="auto" w:fill="auto"/>
          </w:tcPr>
          <w:p w14:paraId="3B423D66" w14:textId="77777777" w:rsidR="000E0FE8" w:rsidRPr="003B10E2" w:rsidRDefault="000E0FE8" w:rsidP="005D28E0">
            <w:pPr>
              <w:widowControl w:val="0"/>
              <w:spacing w:after="0" w:line="240" w:lineRule="auto"/>
              <w:jc w:val="center"/>
            </w:pPr>
            <w:r w:rsidRPr="003B10E2">
              <w:rPr>
                <w:rFonts w:ascii="Times New Roman" w:hAnsi="Times New Roman"/>
                <w:color w:val="000000"/>
                <w:lang w:eastAsia="en-US"/>
              </w:rPr>
              <w:t>Сильный денежный поток, слабая материнская компания</w:t>
            </w:r>
          </w:p>
        </w:tc>
        <w:tc>
          <w:tcPr>
            <w:tcW w:w="1641" w:type="dxa"/>
            <w:tcBorders>
              <w:top w:val="single" w:sz="4" w:space="0" w:color="000000"/>
              <w:left w:val="single" w:sz="4" w:space="0" w:color="000000"/>
              <w:bottom w:val="double" w:sz="4" w:space="0" w:color="000000"/>
              <w:right w:val="single" w:sz="4" w:space="0" w:color="000000"/>
            </w:tcBorders>
            <w:shd w:val="clear" w:color="auto" w:fill="auto"/>
          </w:tcPr>
          <w:p w14:paraId="773A55DB" w14:textId="77777777" w:rsidR="000E0FE8" w:rsidRPr="003B10E2" w:rsidRDefault="000E0FE8" w:rsidP="005D28E0">
            <w:pPr>
              <w:widowControl w:val="0"/>
              <w:spacing w:after="0" w:line="240" w:lineRule="auto"/>
              <w:jc w:val="center"/>
            </w:pPr>
            <w:r w:rsidRPr="003B10E2">
              <w:rPr>
                <w:rFonts w:ascii="Times New Roman" w:hAnsi="Times New Roman"/>
                <w:color w:val="000000"/>
                <w:lang w:eastAsia="en-US"/>
              </w:rPr>
              <w:t>Слабый денежный поток, сильная материнская компания</w:t>
            </w:r>
          </w:p>
        </w:tc>
        <w:tc>
          <w:tcPr>
            <w:tcW w:w="1642" w:type="dxa"/>
            <w:tcBorders>
              <w:top w:val="single" w:sz="4" w:space="0" w:color="000000"/>
              <w:left w:val="single" w:sz="4" w:space="0" w:color="000000"/>
              <w:bottom w:val="double" w:sz="4" w:space="0" w:color="000000"/>
              <w:right w:val="single" w:sz="4" w:space="0" w:color="000000"/>
            </w:tcBorders>
            <w:shd w:val="clear" w:color="auto" w:fill="auto"/>
          </w:tcPr>
          <w:p w14:paraId="13FCB0AA" w14:textId="77777777" w:rsidR="000E0FE8" w:rsidRPr="003B10E2" w:rsidRDefault="000E0FE8" w:rsidP="005D28E0">
            <w:pPr>
              <w:widowControl w:val="0"/>
              <w:spacing w:after="0" w:line="240" w:lineRule="auto"/>
              <w:jc w:val="center"/>
            </w:pPr>
            <w:r w:rsidRPr="003B10E2">
              <w:rPr>
                <w:rFonts w:ascii="Times New Roman" w:hAnsi="Times New Roman"/>
                <w:color w:val="000000"/>
                <w:lang w:eastAsia="en-US"/>
              </w:rPr>
              <w:t>Слабый денежный поток, слабая материнская компания</w:t>
            </w:r>
          </w:p>
        </w:tc>
        <w:tc>
          <w:tcPr>
            <w:tcW w:w="1587" w:type="dxa"/>
            <w:tcBorders>
              <w:top w:val="single" w:sz="4" w:space="0" w:color="000000"/>
              <w:left w:val="single" w:sz="4" w:space="0" w:color="000000"/>
              <w:bottom w:val="double" w:sz="4" w:space="0" w:color="000000"/>
              <w:right w:val="single" w:sz="4" w:space="0" w:color="000000"/>
            </w:tcBorders>
            <w:shd w:val="clear" w:color="auto" w:fill="auto"/>
          </w:tcPr>
          <w:p w14:paraId="60123835" w14:textId="77777777" w:rsidR="000E0FE8" w:rsidRPr="003B10E2" w:rsidRDefault="000E0FE8" w:rsidP="005D28E0">
            <w:pPr>
              <w:widowControl w:val="0"/>
              <w:spacing w:after="0" w:line="240" w:lineRule="auto"/>
              <w:jc w:val="center"/>
            </w:pPr>
            <w:r w:rsidRPr="003B10E2">
              <w:rPr>
                <w:rFonts w:ascii="Times New Roman" w:hAnsi="Times New Roman"/>
                <w:color w:val="000000"/>
                <w:lang w:val="en-US" w:eastAsia="en-US"/>
              </w:rPr>
              <w:t>Совокупный результат</w:t>
            </w:r>
          </w:p>
        </w:tc>
      </w:tr>
      <w:tr w:rsidR="000E0FE8" w:rsidRPr="003B10E2" w14:paraId="5298EE60" w14:textId="77777777" w:rsidTr="005D28E0">
        <w:tc>
          <w:tcPr>
            <w:tcW w:w="1192" w:type="dxa"/>
            <w:tcBorders>
              <w:top w:val="double" w:sz="4" w:space="0" w:color="000000"/>
              <w:left w:val="single" w:sz="4" w:space="0" w:color="000000"/>
              <w:bottom w:val="single" w:sz="4" w:space="0" w:color="000000"/>
              <w:right w:val="single" w:sz="4" w:space="0" w:color="000000"/>
            </w:tcBorders>
            <w:shd w:val="clear" w:color="auto" w:fill="auto"/>
          </w:tcPr>
          <w:p w14:paraId="326BB5A0" w14:textId="77777777" w:rsidR="000E0FE8" w:rsidRPr="003B10E2" w:rsidRDefault="000E0FE8" w:rsidP="005D28E0">
            <w:pPr>
              <w:widowControl w:val="0"/>
              <w:spacing w:after="0" w:line="240" w:lineRule="auto"/>
              <w:rPr>
                <w:rFonts w:ascii="Times New Roman" w:hAnsi="Times New Roman"/>
                <w:color w:val="000000"/>
                <w:lang w:val="en-US" w:eastAsia="en-US"/>
              </w:rPr>
            </w:pPr>
            <w:r w:rsidRPr="003B10E2">
              <w:rPr>
                <w:rFonts w:ascii="Times New Roman" w:hAnsi="Times New Roman"/>
                <w:color w:val="000000"/>
                <w:lang w:val="en-US" w:eastAsia="en-US"/>
              </w:rPr>
              <w:t xml:space="preserve">Падение ставок </w:t>
            </w:r>
          </w:p>
        </w:tc>
        <w:tc>
          <w:tcPr>
            <w:tcW w:w="1641" w:type="dxa"/>
            <w:tcBorders>
              <w:top w:val="double" w:sz="4" w:space="0" w:color="000000"/>
              <w:left w:val="single" w:sz="4" w:space="0" w:color="000000"/>
              <w:bottom w:val="single" w:sz="4" w:space="0" w:color="000000"/>
              <w:right w:val="single" w:sz="4" w:space="0" w:color="000000"/>
            </w:tcBorders>
            <w:shd w:val="clear" w:color="auto" w:fill="auto"/>
          </w:tcPr>
          <w:p w14:paraId="692376C4" w14:textId="77777777" w:rsidR="000E0FE8" w:rsidRPr="003B10E2" w:rsidRDefault="000E0FE8" w:rsidP="005D28E0">
            <w:pPr>
              <w:widowControl w:val="0"/>
              <w:spacing w:after="0" w:line="240" w:lineRule="auto"/>
              <w:jc w:val="center"/>
              <w:rPr>
                <w:rFonts w:ascii="Times New Roman" w:hAnsi="Times New Roman"/>
                <w:color w:val="000000"/>
                <w:sz w:val="28"/>
                <w:szCs w:val="28"/>
                <w:lang w:eastAsia="ar-SA"/>
              </w:rPr>
            </w:pPr>
            <w:r w:rsidRPr="003B10E2">
              <w:rPr>
                <w:rFonts w:ascii="Times New Roman" w:hAnsi="Times New Roman"/>
                <w:color w:val="000000"/>
                <w:sz w:val="28"/>
                <w:szCs w:val="28"/>
                <w:lang w:eastAsia="ar-SA"/>
              </w:rPr>
              <w:t>—</w:t>
            </w:r>
          </w:p>
        </w:tc>
        <w:tc>
          <w:tcPr>
            <w:tcW w:w="1640" w:type="dxa"/>
            <w:tcBorders>
              <w:top w:val="double" w:sz="4" w:space="0" w:color="000000"/>
              <w:left w:val="single" w:sz="4" w:space="0" w:color="000000"/>
              <w:bottom w:val="single" w:sz="4" w:space="0" w:color="000000"/>
              <w:right w:val="single" w:sz="4" w:space="0" w:color="000000"/>
            </w:tcBorders>
            <w:shd w:val="clear" w:color="auto" w:fill="auto"/>
          </w:tcPr>
          <w:p w14:paraId="10902D86" w14:textId="77777777" w:rsidR="000E0FE8" w:rsidRPr="003B10E2" w:rsidRDefault="000E0FE8" w:rsidP="005D28E0">
            <w:pPr>
              <w:widowControl w:val="0"/>
              <w:spacing w:after="0" w:line="240" w:lineRule="auto"/>
              <w:jc w:val="center"/>
              <w:rPr>
                <w:rFonts w:ascii="Times New Roman" w:hAnsi="Times New Roman"/>
                <w:color w:val="000000"/>
                <w:sz w:val="28"/>
                <w:szCs w:val="28"/>
                <w:lang w:eastAsia="ar-SA"/>
              </w:rPr>
            </w:pPr>
            <w:r w:rsidRPr="003B10E2">
              <w:rPr>
                <w:rFonts w:ascii="Times New Roman" w:hAnsi="Times New Roman"/>
                <w:color w:val="000000"/>
                <w:sz w:val="28"/>
                <w:szCs w:val="28"/>
                <w:lang w:eastAsia="ar-SA"/>
              </w:rPr>
              <w:t>—</w:t>
            </w:r>
          </w:p>
        </w:tc>
        <w:tc>
          <w:tcPr>
            <w:tcW w:w="1641" w:type="dxa"/>
            <w:tcBorders>
              <w:top w:val="double" w:sz="4" w:space="0" w:color="000000"/>
              <w:left w:val="single" w:sz="4" w:space="0" w:color="000000"/>
              <w:bottom w:val="single" w:sz="4" w:space="0" w:color="000000"/>
              <w:right w:val="single" w:sz="4" w:space="0" w:color="000000"/>
            </w:tcBorders>
            <w:shd w:val="clear" w:color="auto" w:fill="auto"/>
          </w:tcPr>
          <w:p w14:paraId="062F2BE0" w14:textId="77777777" w:rsidR="000E0FE8" w:rsidRPr="003B10E2" w:rsidRDefault="000E0FE8" w:rsidP="005D28E0">
            <w:pPr>
              <w:widowControl w:val="0"/>
              <w:spacing w:after="0" w:line="240" w:lineRule="auto"/>
              <w:jc w:val="center"/>
            </w:pPr>
            <w:r w:rsidRPr="003B10E2">
              <w:rPr>
                <w:rFonts w:ascii="Times New Roman" w:hAnsi="Times New Roman"/>
                <w:color w:val="000000"/>
                <w:lang w:val="en-US" w:eastAsia="en-US"/>
              </w:rPr>
              <w:t xml:space="preserve">Увеличение доли облигаций </w:t>
            </w:r>
          </w:p>
        </w:tc>
        <w:tc>
          <w:tcPr>
            <w:tcW w:w="1642" w:type="dxa"/>
            <w:tcBorders>
              <w:top w:val="double" w:sz="4" w:space="0" w:color="000000"/>
              <w:left w:val="single" w:sz="4" w:space="0" w:color="000000"/>
              <w:bottom w:val="single" w:sz="4" w:space="0" w:color="000000"/>
              <w:right w:val="single" w:sz="4" w:space="0" w:color="000000"/>
            </w:tcBorders>
            <w:shd w:val="clear" w:color="auto" w:fill="auto"/>
          </w:tcPr>
          <w:p w14:paraId="5AB2DAB5" w14:textId="77777777" w:rsidR="000E0FE8" w:rsidRPr="003B10E2" w:rsidRDefault="000E0FE8" w:rsidP="005D28E0">
            <w:pPr>
              <w:widowControl w:val="0"/>
              <w:spacing w:after="0" w:line="240" w:lineRule="auto"/>
              <w:jc w:val="center"/>
            </w:pPr>
            <w:r w:rsidRPr="003B10E2">
              <w:rPr>
                <w:rFonts w:ascii="Times New Roman" w:hAnsi="Times New Roman"/>
                <w:color w:val="000000"/>
                <w:lang w:val="en-US" w:eastAsia="en-US"/>
              </w:rPr>
              <w:t>Увеличение доли облигаций</w:t>
            </w:r>
          </w:p>
        </w:tc>
        <w:tc>
          <w:tcPr>
            <w:tcW w:w="1587" w:type="dxa"/>
            <w:tcBorders>
              <w:top w:val="double" w:sz="4" w:space="0" w:color="000000"/>
              <w:left w:val="single" w:sz="4" w:space="0" w:color="000000"/>
              <w:bottom w:val="single" w:sz="4" w:space="0" w:color="000000"/>
              <w:right w:val="single" w:sz="4" w:space="0" w:color="000000"/>
            </w:tcBorders>
            <w:shd w:val="clear" w:color="auto" w:fill="auto"/>
          </w:tcPr>
          <w:p w14:paraId="1A7D43A6" w14:textId="77777777" w:rsidR="000E0FE8" w:rsidRPr="003B10E2" w:rsidRDefault="000E0FE8" w:rsidP="005D28E0">
            <w:pPr>
              <w:widowControl w:val="0"/>
              <w:spacing w:after="0" w:line="240" w:lineRule="auto"/>
              <w:jc w:val="center"/>
              <w:rPr>
                <w:rFonts w:ascii="Times New Roman" w:hAnsi="Times New Roman"/>
                <w:color w:val="000000"/>
                <w:sz w:val="28"/>
                <w:szCs w:val="28"/>
                <w:lang w:eastAsia="ar-SA"/>
              </w:rPr>
            </w:pPr>
            <w:r w:rsidRPr="003B10E2">
              <w:rPr>
                <w:rFonts w:ascii="Times New Roman" w:hAnsi="Times New Roman"/>
                <w:color w:val="000000"/>
                <w:sz w:val="28"/>
                <w:szCs w:val="28"/>
                <w:lang w:eastAsia="ar-SA"/>
              </w:rPr>
              <w:t>—</w:t>
            </w:r>
          </w:p>
        </w:tc>
      </w:tr>
      <w:tr w:rsidR="000E0FE8" w:rsidRPr="003B10E2" w14:paraId="3E25FE03" w14:textId="77777777" w:rsidTr="005D28E0">
        <w:tc>
          <w:tcPr>
            <w:tcW w:w="1192" w:type="dxa"/>
            <w:tcBorders>
              <w:top w:val="single" w:sz="4" w:space="0" w:color="000000"/>
              <w:left w:val="single" w:sz="4" w:space="0" w:color="000000"/>
              <w:bottom w:val="single" w:sz="4" w:space="0" w:color="000000"/>
              <w:right w:val="single" w:sz="4" w:space="0" w:color="000000"/>
            </w:tcBorders>
            <w:shd w:val="clear" w:color="auto" w:fill="auto"/>
          </w:tcPr>
          <w:p w14:paraId="4FFDC61F" w14:textId="77777777" w:rsidR="000E0FE8" w:rsidRPr="003B10E2" w:rsidRDefault="000E0FE8" w:rsidP="005D28E0">
            <w:pPr>
              <w:widowControl w:val="0"/>
              <w:spacing w:after="0" w:line="240" w:lineRule="auto"/>
              <w:rPr>
                <w:rFonts w:ascii="Times New Roman" w:hAnsi="Times New Roman"/>
                <w:color w:val="000000"/>
                <w:lang w:eastAsia="en-US"/>
              </w:rPr>
            </w:pPr>
            <w:r w:rsidRPr="003B10E2">
              <w:rPr>
                <w:rFonts w:ascii="Times New Roman" w:hAnsi="Times New Roman"/>
                <w:color w:val="000000"/>
                <w:lang w:eastAsia="en-US"/>
              </w:rPr>
              <w:t>Слабый рост ставок (до 100 б. п.)</w:t>
            </w:r>
          </w:p>
        </w:tc>
        <w:tc>
          <w:tcPr>
            <w:tcW w:w="1641" w:type="dxa"/>
            <w:tcBorders>
              <w:top w:val="single" w:sz="4" w:space="0" w:color="000000"/>
              <w:left w:val="single" w:sz="4" w:space="0" w:color="000000"/>
              <w:bottom w:val="single" w:sz="4" w:space="0" w:color="000000"/>
              <w:right w:val="single" w:sz="4" w:space="0" w:color="000000"/>
            </w:tcBorders>
            <w:shd w:val="clear" w:color="auto" w:fill="auto"/>
          </w:tcPr>
          <w:p w14:paraId="55A666A8" w14:textId="77777777" w:rsidR="000E0FE8" w:rsidRPr="003B10E2" w:rsidRDefault="000E0FE8" w:rsidP="005D28E0">
            <w:pPr>
              <w:widowControl w:val="0"/>
              <w:spacing w:after="0" w:line="240" w:lineRule="auto"/>
              <w:jc w:val="center"/>
            </w:pPr>
            <w:r w:rsidRPr="003B10E2">
              <w:rPr>
                <w:rFonts w:ascii="Times New Roman" w:hAnsi="Times New Roman"/>
                <w:color w:val="000000"/>
                <w:sz w:val="28"/>
                <w:szCs w:val="28"/>
                <w:lang w:eastAsia="ar-SA"/>
              </w:rPr>
              <w:t>—</w:t>
            </w:r>
            <w:r w:rsidRPr="003B10E2">
              <w:rPr>
                <w:rFonts w:ascii="Times New Roman" w:hAnsi="Times New Roman"/>
                <w:color w:val="000000"/>
                <w:lang w:val="en-US" w:eastAsia="en-US"/>
              </w:rPr>
              <w:t xml:space="preserve"> </w:t>
            </w:r>
          </w:p>
        </w:tc>
        <w:tc>
          <w:tcPr>
            <w:tcW w:w="1640" w:type="dxa"/>
            <w:tcBorders>
              <w:top w:val="single" w:sz="4" w:space="0" w:color="000000"/>
              <w:left w:val="single" w:sz="4" w:space="0" w:color="000000"/>
              <w:bottom w:val="single" w:sz="4" w:space="0" w:color="000000"/>
              <w:right w:val="single" w:sz="4" w:space="0" w:color="000000"/>
            </w:tcBorders>
            <w:shd w:val="clear" w:color="auto" w:fill="auto"/>
          </w:tcPr>
          <w:p w14:paraId="6BBD1B3D" w14:textId="77777777" w:rsidR="000E0FE8" w:rsidRPr="003B10E2" w:rsidRDefault="000E0FE8" w:rsidP="005D28E0">
            <w:pPr>
              <w:widowControl w:val="0"/>
              <w:spacing w:after="0" w:line="240" w:lineRule="auto"/>
              <w:jc w:val="center"/>
              <w:rPr>
                <w:rFonts w:ascii="Times New Roman" w:hAnsi="Times New Roman"/>
                <w:color w:val="000000"/>
                <w:sz w:val="28"/>
                <w:szCs w:val="28"/>
                <w:lang w:eastAsia="ar-SA"/>
              </w:rPr>
            </w:pPr>
            <w:r w:rsidRPr="003B10E2">
              <w:rPr>
                <w:rFonts w:ascii="Times New Roman" w:hAnsi="Times New Roman"/>
                <w:color w:val="000000"/>
                <w:sz w:val="28"/>
                <w:szCs w:val="28"/>
                <w:lang w:eastAsia="ar-SA"/>
              </w:rPr>
              <w:t>—</w:t>
            </w:r>
          </w:p>
        </w:tc>
        <w:tc>
          <w:tcPr>
            <w:tcW w:w="1641" w:type="dxa"/>
            <w:tcBorders>
              <w:top w:val="single" w:sz="4" w:space="0" w:color="000000"/>
              <w:left w:val="single" w:sz="4" w:space="0" w:color="000000"/>
              <w:bottom w:val="single" w:sz="4" w:space="0" w:color="000000"/>
              <w:right w:val="single" w:sz="4" w:space="0" w:color="000000"/>
            </w:tcBorders>
            <w:shd w:val="clear" w:color="auto" w:fill="auto"/>
          </w:tcPr>
          <w:p w14:paraId="50CAD5B1" w14:textId="77777777" w:rsidR="000E0FE8" w:rsidRPr="003B10E2" w:rsidRDefault="000E0FE8" w:rsidP="005D28E0">
            <w:pPr>
              <w:widowControl w:val="0"/>
              <w:spacing w:after="0" w:line="240" w:lineRule="auto"/>
              <w:jc w:val="center"/>
            </w:pPr>
            <w:r w:rsidRPr="003B10E2">
              <w:rPr>
                <w:rFonts w:ascii="Times New Roman" w:hAnsi="Times New Roman"/>
                <w:color w:val="000000"/>
                <w:lang w:val="en-US" w:eastAsia="en-US"/>
              </w:rPr>
              <w:t xml:space="preserve">Снижение доли облигаций </w:t>
            </w:r>
          </w:p>
        </w:tc>
        <w:tc>
          <w:tcPr>
            <w:tcW w:w="1642" w:type="dxa"/>
            <w:tcBorders>
              <w:top w:val="single" w:sz="4" w:space="0" w:color="000000"/>
              <w:left w:val="single" w:sz="4" w:space="0" w:color="000000"/>
              <w:bottom w:val="single" w:sz="4" w:space="0" w:color="000000"/>
              <w:right w:val="single" w:sz="4" w:space="0" w:color="000000"/>
            </w:tcBorders>
            <w:shd w:val="clear" w:color="auto" w:fill="auto"/>
          </w:tcPr>
          <w:p w14:paraId="1074BBC0" w14:textId="77777777" w:rsidR="000E0FE8" w:rsidRPr="003B10E2" w:rsidRDefault="000E0FE8" w:rsidP="005D28E0">
            <w:pPr>
              <w:widowControl w:val="0"/>
              <w:spacing w:after="0" w:line="240" w:lineRule="auto"/>
              <w:jc w:val="center"/>
            </w:pPr>
            <w:r w:rsidRPr="003B10E2">
              <w:rPr>
                <w:rFonts w:ascii="Times New Roman" w:hAnsi="Times New Roman"/>
                <w:color w:val="000000"/>
                <w:lang w:val="en-US" w:eastAsia="en-US"/>
              </w:rPr>
              <w:t>Снижение доли облигаций</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14:paraId="69535D0F" w14:textId="77777777" w:rsidR="000E0FE8" w:rsidRPr="003B10E2" w:rsidRDefault="000E0FE8" w:rsidP="005D28E0">
            <w:pPr>
              <w:widowControl w:val="0"/>
              <w:spacing w:after="0" w:line="240" w:lineRule="auto"/>
              <w:jc w:val="center"/>
              <w:rPr>
                <w:rFonts w:ascii="Times New Roman" w:hAnsi="Times New Roman"/>
                <w:color w:val="000000"/>
                <w:sz w:val="28"/>
                <w:szCs w:val="28"/>
                <w:lang w:eastAsia="ar-SA"/>
              </w:rPr>
            </w:pPr>
            <w:r w:rsidRPr="003B10E2">
              <w:rPr>
                <w:rFonts w:ascii="Times New Roman" w:hAnsi="Times New Roman"/>
                <w:color w:val="000000"/>
                <w:sz w:val="28"/>
                <w:szCs w:val="28"/>
                <w:lang w:eastAsia="ar-SA"/>
              </w:rPr>
              <w:t>—</w:t>
            </w:r>
          </w:p>
        </w:tc>
      </w:tr>
      <w:tr w:rsidR="000E0FE8" w:rsidRPr="003B10E2" w14:paraId="1F88811A" w14:textId="77777777" w:rsidTr="005D28E0">
        <w:tc>
          <w:tcPr>
            <w:tcW w:w="1192" w:type="dxa"/>
            <w:tcBorders>
              <w:top w:val="single" w:sz="4" w:space="0" w:color="000000"/>
              <w:left w:val="single" w:sz="4" w:space="0" w:color="000000"/>
              <w:bottom w:val="single" w:sz="4" w:space="0" w:color="000000"/>
              <w:right w:val="single" w:sz="4" w:space="0" w:color="000000"/>
            </w:tcBorders>
            <w:shd w:val="clear" w:color="auto" w:fill="auto"/>
          </w:tcPr>
          <w:p w14:paraId="528E92B4" w14:textId="77777777" w:rsidR="000E0FE8" w:rsidRPr="003B10E2" w:rsidRDefault="000E0FE8" w:rsidP="005D28E0">
            <w:pPr>
              <w:widowControl w:val="0"/>
              <w:spacing w:after="0" w:line="240" w:lineRule="auto"/>
              <w:rPr>
                <w:rFonts w:ascii="Times New Roman" w:hAnsi="Times New Roman"/>
                <w:color w:val="000000"/>
                <w:lang w:eastAsia="en-US"/>
              </w:rPr>
            </w:pPr>
            <w:r w:rsidRPr="003B10E2">
              <w:rPr>
                <w:rFonts w:ascii="Times New Roman" w:hAnsi="Times New Roman"/>
                <w:color w:val="000000"/>
                <w:lang w:eastAsia="en-US"/>
              </w:rPr>
              <w:t>Сильный рост ставок (от 100 б. п.)</w:t>
            </w:r>
          </w:p>
        </w:tc>
        <w:tc>
          <w:tcPr>
            <w:tcW w:w="1641" w:type="dxa"/>
            <w:tcBorders>
              <w:top w:val="single" w:sz="4" w:space="0" w:color="000000"/>
              <w:left w:val="single" w:sz="4" w:space="0" w:color="000000"/>
              <w:bottom w:val="single" w:sz="4" w:space="0" w:color="000000"/>
              <w:right w:val="single" w:sz="4" w:space="0" w:color="000000"/>
            </w:tcBorders>
            <w:shd w:val="clear" w:color="auto" w:fill="auto"/>
          </w:tcPr>
          <w:p w14:paraId="429EE685" w14:textId="77777777" w:rsidR="000E0FE8" w:rsidRPr="003B10E2" w:rsidRDefault="000E0FE8" w:rsidP="005D28E0">
            <w:pPr>
              <w:widowControl w:val="0"/>
              <w:spacing w:after="0" w:line="240" w:lineRule="auto"/>
              <w:jc w:val="center"/>
            </w:pPr>
            <w:r w:rsidRPr="003B10E2">
              <w:rPr>
                <w:rFonts w:ascii="Times New Roman" w:hAnsi="Times New Roman"/>
                <w:color w:val="000000"/>
                <w:lang w:val="en-US" w:eastAsia="en-US"/>
              </w:rPr>
              <w:t xml:space="preserve">Увеличение доли облигаций </w:t>
            </w:r>
          </w:p>
        </w:tc>
        <w:tc>
          <w:tcPr>
            <w:tcW w:w="1640" w:type="dxa"/>
            <w:tcBorders>
              <w:top w:val="single" w:sz="4" w:space="0" w:color="000000"/>
              <w:left w:val="single" w:sz="4" w:space="0" w:color="000000"/>
              <w:bottom w:val="single" w:sz="4" w:space="0" w:color="000000"/>
              <w:right w:val="single" w:sz="4" w:space="0" w:color="000000"/>
            </w:tcBorders>
            <w:shd w:val="clear" w:color="auto" w:fill="auto"/>
          </w:tcPr>
          <w:p w14:paraId="64FE6211" w14:textId="77777777" w:rsidR="000E0FE8" w:rsidRPr="003B10E2" w:rsidRDefault="000E0FE8" w:rsidP="005D28E0">
            <w:pPr>
              <w:widowControl w:val="0"/>
              <w:spacing w:after="0" w:line="240" w:lineRule="auto"/>
              <w:jc w:val="center"/>
            </w:pPr>
            <w:r w:rsidRPr="003B10E2">
              <w:rPr>
                <w:rFonts w:ascii="Times New Roman" w:hAnsi="Times New Roman"/>
                <w:color w:val="000000"/>
                <w:lang w:val="en-US" w:eastAsia="en-US"/>
              </w:rPr>
              <w:t xml:space="preserve">Увеличение доли облигаций </w:t>
            </w:r>
          </w:p>
        </w:tc>
        <w:tc>
          <w:tcPr>
            <w:tcW w:w="1641" w:type="dxa"/>
            <w:tcBorders>
              <w:top w:val="single" w:sz="4" w:space="0" w:color="000000"/>
              <w:left w:val="single" w:sz="4" w:space="0" w:color="000000"/>
              <w:bottom w:val="single" w:sz="4" w:space="0" w:color="000000"/>
              <w:right w:val="single" w:sz="4" w:space="0" w:color="000000"/>
            </w:tcBorders>
            <w:shd w:val="clear" w:color="auto" w:fill="auto"/>
          </w:tcPr>
          <w:p w14:paraId="0E0519A5" w14:textId="77777777" w:rsidR="000E0FE8" w:rsidRPr="003B10E2" w:rsidRDefault="000E0FE8" w:rsidP="005D28E0">
            <w:pPr>
              <w:widowControl w:val="0"/>
              <w:spacing w:after="0" w:line="240" w:lineRule="auto"/>
              <w:jc w:val="center"/>
            </w:pPr>
            <w:r w:rsidRPr="003B10E2">
              <w:rPr>
                <w:rFonts w:ascii="Times New Roman" w:hAnsi="Times New Roman"/>
                <w:color w:val="000000"/>
                <w:lang w:val="en-US" w:eastAsia="en-US"/>
              </w:rPr>
              <w:t xml:space="preserve">Увеличение доли облигаций </w:t>
            </w:r>
          </w:p>
        </w:tc>
        <w:tc>
          <w:tcPr>
            <w:tcW w:w="1642" w:type="dxa"/>
            <w:tcBorders>
              <w:top w:val="single" w:sz="4" w:space="0" w:color="000000"/>
              <w:left w:val="single" w:sz="4" w:space="0" w:color="000000"/>
              <w:bottom w:val="single" w:sz="4" w:space="0" w:color="000000"/>
              <w:right w:val="single" w:sz="4" w:space="0" w:color="000000"/>
            </w:tcBorders>
            <w:shd w:val="clear" w:color="auto" w:fill="auto"/>
          </w:tcPr>
          <w:p w14:paraId="74B57EE5" w14:textId="77777777" w:rsidR="000E0FE8" w:rsidRPr="003B10E2" w:rsidRDefault="000E0FE8" w:rsidP="005D28E0">
            <w:pPr>
              <w:widowControl w:val="0"/>
              <w:spacing w:after="0" w:line="240" w:lineRule="auto"/>
              <w:jc w:val="center"/>
            </w:pPr>
            <w:r w:rsidRPr="003B10E2">
              <w:rPr>
                <w:rFonts w:ascii="Times New Roman" w:hAnsi="Times New Roman"/>
                <w:color w:val="000000"/>
                <w:lang w:val="en-US" w:eastAsia="en-US"/>
              </w:rPr>
              <w:t xml:space="preserve">Увеличение доли облигаций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14:paraId="71D1FA9E" w14:textId="77777777" w:rsidR="000E0FE8" w:rsidRPr="003B10E2" w:rsidRDefault="000E0FE8" w:rsidP="005D28E0">
            <w:pPr>
              <w:widowControl w:val="0"/>
              <w:spacing w:after="0" w:line="240" w:lineRule="auto"/>
              <w:jc w:val="center"/>
            </w:pPr>
            <w:r w:rsidRPr="003B10E2">
              <w:rPr>
                <w:rFonts w:ascii="Times New Roman" w:hAnsi="Times New Roman"/>
                <w:color w:val="000000"/>
                <w:lang w:val="en-US" w:eastAsia="en-US"/>
              </w:rPr>
              <w:t xml:space="preserve">Увеличение доли облигаций </w:t>
            </w:r>
          </w:p>
        </w:tc>
      </w:tr>
      <w:tr w:rsidR="000E0FE8" w:rsidRPr="003B10E2" w14:paraId="5ED184A8" w14:textId="77777777" w:rsidTr="005D28E0">
        <w:tc>
          <w:tcPr>
            <w:tcW w:w="1192" w:type="dxa"/>
            <w:tcBorders>
              <w:top w:val="single" w:sz="4" w:space="0" w:color="000000"/>
              <w:left w:val="single" w:sz="4" w:space="0" w:color="000000"/>
              <w:bottom w:val="single" w:sz="4" w:space="0" w:color="000000"/>
              <w:right w:val="single" w:sz="4" w:space="0" w:color="000000"/>
            </w:tcBorders>
            <w:shd w:val="clear" w:color="auto" w:fill="auto"/>
          </w:tcPr>
          <w:p w14:paraId="52CD861B" w14:textId="77777777" w:rsidR="000E0FE8" w:rsidRPr="003B10E2" w:rsidRDefault="000E0FE8" w:rsidP="005D28E0">
            <w:pPr>
              <w:widowControl w:val="0"/>
              <w:spacing w:after="0" w:line="240" w:lineRule="auto"/>
              <w:rPr>
                <w:rFonts w:ascii="Times New Roman" w:hAnsi="Times New Roman"/>
                <w:color w:val="000000"/>
                <w:lang w:val="en-US" w:eastAsia="en-US"/>
              </w:rPr>
            </w:pPr>
            <w:r w:rsidRPr="003B10E2">
              <w:rPr>
                <w:rFonts w:ascii="Times New Roman" w:hAnsi="Times New Roman"/>
                <w:color w:val="000000"/>
                <w:lang w:val="en-US" w:eastAsia="en-US"/>
              </w:rPr>
              <w:t>Падение рынка акций</w:t>
            </w:r>
          </w:p>
        </w:tc>
        <w:tc>
          <w:tcPr>
            <w:tcW w:w="1641" w:type="dxa"/>
            <w:tcBorders>
              <w:top w:val="single" w:sz="4" w:space="0" w:color="000000"/>
              <w:left w:val="single" w:sz="4" w:space="0" w:color="000000"/>
              <w:bottom w:val="single" w:sz="4" w:space="0" w:color="000000"/>
              <w:right w:val="single" w:sz="4" w:space="0" w:color="000000"/>
            </w:tcBorders>
            <w:shd w:val="clear" w:color="auto" w:fill="auto"/>
          </w:tcPr>
          <w:p w14:paraId="319E9479" w14:textId="77777777" w:rsidR="000E0FE8" w:rsidRPr="003B10E2" w:rsidRDefault="000E0FE8" w:rsidP="005D28E0">
            <w:pPr>
              <w:widowControl w:val="0"/>
              <w:spacing w:after="0" w:line="240" w:lineRule="auto"/>
              <w:jc w:val="center"/>
              <w:rPr>
                <w:rFonts w:ascii="Times New Roman" w:hAnsi="Times New Roman"/>
                <w:color w:val="000000"/>
                <w:sz w:val="28"/>
                <w:szCs w:val="28"/>
                <w:lang w:eastAsia="ar-SA"/>
              </w:rPr>
            </w:pPr>
            <w:r w:rsidRPr="003B10E2">
              <w:rPr>
                <w:rFonts w:ascii="Times New Roman" w:hAnsi="Times New Roman"/>
                <w:color w:val="000000"/>
                <w:sz w:val="28"/>
                <w:szCs w:val="28"/>
                <w:lang w:eastAsia="ar-SA"/>
              </w:rPr>
              <w:t>—</w:t>
            </w:r>
          </w:p>
        </w:tc>
        <w:tc>
          <w:tcPr>
            <w:tcW w:w="1640" w:type="dxa"/>
            <w:tcBorders>
              <w:top w:val="single" w:sz="4" w:space="0" w:color="000000"/>
              <w:left w:val="single" w:sz="4" w:space="0" w:color="000000"/>
              <w:bottom w:val="single" w:sz="4" w:space="0" w:color="000000"/>
              <w:right w:val="single" w:sz="4" w:space="0" w:color="000000"/>
            </w:tcBorders>
            <w:shd w:val="clear" w:color="auto" w:fill="auto"/>
          </w:tcPr>
          <w:p w14:paraId="2BB2B78E" w14:textId="77777777" w:rsidR="000E0FE8" w:rsidRPr="003B10E2" w:rsidRDefault="000E0FE8" w:rsidP="005D28E0">
            <w:pPr>
              <w:widowControl w:val="0"/>
              <w:spacing w:after="0" w:line="240" w:lineRule="auto"/>
              <w:jc w:val="center"/>
              <w:rPr>
                <w:rFonts w:ascii="Times New Roman" w:hAnsi="Times New Roman"/>
                <w:color w:val="000000"/>
                <w:sz w:val="28"/>
                <w:szCs w:val="28"/>
                <w:lang w:eastAsia="ar-SA"/>
              </w:rPr>
            </w:pPr>
            <w:r w:rsidRPr="003B10E2">
              <w:rPr>
                <w:rFonts w:ascii="Times New Roman" w:hAnsi="Times New Roman"/>
                <w:color w:val="000000"/>
                <w:sz w:val="28"/>
                <w:szCs w:val="28"/>
                <w:lang w:eastAsia="ar-SA"/>
              </w:rPr>
              <w:t>—</w:t>
            </w:r>
          </w:p>
        </w:tc>
        <w:tc>
          <w:tcPr>
            <w:tcW w:w="1641" w:type="dxa"/>
            <w:tcBorders>
              <w:top w:val="single" w:sz="4" w:space="0" w:color="000000"/>
              <w:left w:val="single" w:sz="4" w:space="0" w:color="000000"/>
              <w:bottom w:val="single" w:sz="4" w:space="0" w:color="000000"/>
              <w:right w:val="single" w:sz="4" w:space="0" w:color="000000"/>
            </w:tcBorders>
            <w:shd w:val="clear" w:color="auto" w:fill="auto"/>
          </w:tcPr>
          <w:p w14:paraId="02389503" w14:textId="77777777" w:rsidR="000E0FE8" w:rsidRPr="003B10E2" w:rsidRDefault="000E0FE8" w:rsidP="005D28E0">
            <w:pPr>
              <w:widowControl w:val="0"/>
              <w:spacing w:after="0" w:line="240" w:lineRule="auto"/>
              <w:jc w:val="center"/>
            </w:pPr>
            <w:r w:rsidRPr="003B10E2">
              <w:rPr>
                <w:rFonts w:ascii="Times New Roman" w:hAnsi="Times New Roman"/>
                <w:color w:val="000000"/>
                <w:lang w:val="en-US" w:eastAsia="en-US"/>
              </w:rPr>
              <w:t xml:space="preserve">Увеличение доли облигаций </w:t>
            </w:r>
          </w:p>
        </w:tc>
        <w:tc>
          <w:tcPr>
            <w:tcW w:w="1642" w:type="dxa"/>
            <w:tcBorders>
              <w:top w:val="single" w:sz="4" w:space="0" w:color="000000"/>
              <w:left w:val="single" w:sz="4" w:space="0" w:color="000000"/>
              <w:bottom w:val="single" w:sz="4" w:space="0" w:color="000000"/>
              <w:right w:val="single" w:sz="4" w:space="0" w:color="000000"/>
            </w:tcBorders>
            <w:shd w:val="clear" w:color="auto" w:fill="auto"/>
          </w:tcPr>
          <w:p w14:paraId="4FB94012" w14:textId="77777777" w:rsidR="000E0FE8" w:rsidRPr="003B10E2" w:rsidRDefault="000E0FE8" w:rsidP="005D28E0">
            <w:pPr>
              <w:widowControl w:val="0"/>
              <w:spacing w:after="0" w:line="240" w:lineRule="auto"/>
              <w:jc w:val="center"/>
            </w:pPr>
            <w:r w:rsidRPr="003B10E2">
              <w:rPr>
                <w:rFonts w:ascii="Times New Roman" w:hAnsi="Times New Roman"/>
                <w:color w:val="000000"/>
                <w:lang w:val="en-US" w:eastAsia="en-US"/>
              </w:rPr>
              <w:t>Увеличение доли облигаций</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14:paraId="10DBE449" w14:textId="77777777" w:rsidR="000E0FE8" w:rsidRPr="003B10E2" w:rsidRDefault="000E0FE8" w:rsidP="005D28E0">
            <w:pPr>
              <w:widowControl w:val="0"/>
              <w:spacing w:after="0" w:line="240" w:lineRule="auto"/>
              <w:jc w:val="center"/>
              <w:rPr>
                <w:rFonts w:ascii="Times New Roman" w:hAnsi="Times New Roman"/>
                <w:color w:val="000000"/>
                <w:sz w:val="28"/>
                <w:szCs w:val="28"/>
                <w:lang w:eastAsia="ar-SA"/>
              </w:rPr>
            </w:pPr>
            <w:r w:rsidRPr="003B10E2">
              <w:rPr>
                <w:rFonts w:ascii="Times New Roman" w:hAnsi="Times New Roman"/>
                <w:color w:val="000000"/>
                <w:sz w:val="28"/>
                <w:szCs w:val="28"/>
                <w:lang w:eastAsia="ar-SA"/>
              </w:rPr>
              <w:t>—</w:t>
            </w:r>
          </w:p>
        </w:tc>
      </w:tr>
    </w:tbl>
    <w:p w14:paraId="26DB0D74" w14:textId="77777777" w:rsidR="000E0FE8" w:rsidRPr="003B10E2" w:rsidRDefault="000E0FE8" w:rsidP="000E0FE8">
      <w:pPr>
        <w:spacing w:after="0" w:line="360" w:lineRule="auto"/>
      </w:pPr>
      <w:r w:rsidRPr="003B10E2">
        <w:rPr>
          <w:rFonts w:ascii="Times New Roman" w:hAnsi="Times New Roman"/>
          <w:color w:val="000000"/>
          <w:sz w:val="24"/>
          <w:szCs w:val="24"/>
        </w:rPr>
        <w:t>Источник: составлено автором.</w:t>
      </w:r>
    </w:p>
    <w:p w14:paraId="3C9FEE9C" w14:textId="77777777" w:rsidR="000E0FE8" w:rsidRPr="003B10E2" w:rsidRDefault="000E0FE8" w:rsidP="000E0FE8">
      <w:pPr>
        <w:spacing w:after="0" w:line="240" w:lineRule="auto"/>
        <w:jc w:val="both"/>
        <w:rPr>
          <w:rFonts w:ascii="Times" w:eastAsia="Times New Roman" w:hAnsi="Times" w:cs="Times"/>
          <w:color w:val="000000"/>
          <w:sz w:val="28"/>
          <w:szCs w:val="28"/>
          <w:lang w:eastAsia="en-US"/>
        </w:rPr>
      </w:pPr>
    </w:p>
    <w:p w14:paraId="5E91BDD9" w14:textId="77777777"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Реакция инвестиционных фондов на шокирующую ситуацию различна для разных групп инвестиционных фондов. Фонды, поддерживаемые финансово более слабыми корпоративными спонсорами, увеличивают свои вложения в облигации после неблагоприятных потрясений, которые ухудшают их коэффициенты финансирования, то есть соотношение стоимости инвестиционных активов к обязательствам, так как они стремятся уменьшить воспринимаемую уязвимость. Напротив, после того же шока фонды, поддерживаемые финансово более сильными корпорациями, увеличивают доли акций, чтобы извлечь выгоду из более высокой ожидаемой прибыли.</w:t>
      </w:r>
    </w:p>
    <w:p w14:paraId="182D0C3F" w14:textId="77777777"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Эти выводы имеют отношение к финансовой стабильности. Процикличное инвестиционное поведение — это продажа в ответ на падение цен, и наоборот. Инвестиционные фонды, поддерживаемые более слабыми спонсорами, ведут себя проциклично в ответ на рост цен на облигации (обусловленный падением безрисковых ставок) и в ответ на падение стоимости капитала. Распределение активов инвестиционных фондов особенно чувствительно к процентным ставкам. Следовательно, повышение процентных ставок к уровням, в целом соответствующим тем, которые наблюдались до 2008 г. могут побудить фонды покупать облигации (так как они будут стремиться зафиксировать улучшенные коэффициенты финансирования). Эти покупки облигаций могут поддержать ликвидность рынка облигаций и стать важным источником спроса на государственный долг.</w:t>
      </w:r>
    </w:p>
    <w:p w14:paraId="133B7B45" w14:textId="77777777" w:rsidR="000E0FE8" w:rsidRPr="003B10E2" w:rsidRDefault="000E0FE8" w:rsidP="00B13660">
      <w:pPr>
        <w:spacing w:after="0" w:line="360" w:lineRule="auto"/>
        <w:ind w:firstLine="851"/>
        <w:jc w:val="both"/>
        <w:rPr>
          <w:rFonts w:ascii="Times New Roman" w:eastAsia="Times New Roman" w:hAnsi="Times New Roman"/>
          <w:b/>
          <w:color w:val="000000"/>
          <w:sz w:val="32"/>
          <w:szCs w:val="32"/>
        </w:rPr>
      </w:pPr>
      <w:r w:rsidRPr="003B10E2">
        <w:rPr>
          <w:rFonts w:ascii="Times New Roman" w:hAnsi="Times New Roman"/>
          <w:color w:val="000000"/>
          <w:sz w:val="28"/>
          <w:szCs w:val="28"/>
          <w:lang w:eastAsia="ar-SA"/>
        </w:rPr>
        <w:t>Трансформации традиционных стратегий поведения инвесторов затрагивают все типы инвестиционных моделей. Так, модель для оценки аллокативной эффективности (на основе доходности и рискованности распределения активов) функционирования институциональных инвесторов может быть наиболее эффективной в России. На основе вышеприведенного анализа сделаны выводы о системной неэффективности функционирования институциональных инвесторов в России с уровнем риска до 35% и предложены пути повышения эффективности их функционирования.</w:t>
      </w:r>
      <w:r w:rsidRPr="003B10E2">
        <w:rPr>
          <w:color w:val="000000"/>
        </w:rPr>
        <w:t xml:space="preserve"> </w:t>
      </w:r>
      <w:r w:rsidRPr="003B10E2">
        <w:rPr>
          <w:rFonts w:ascii="Times New Roman" w:hAnsi="Times New Roman"/>
          <w:color w:val="000000"/>
          <w:sz w:val="28"/>
          <w:szCs w:val="28"/>
          <w:lang w:eastAsia="ar-SA"/>
        </w:rPr>
        <w:t xml:space="preserve">Модели поведения инвестиционных фондов чувствительны к структурным изменениям, которые влияют на коэффициенты фондирования, то есть отношение инвестиционных активов к обязательствам. </w:t>
      </w:r>
      <w:bookmarkStart w:id="114" w:name="_Toc523499821"/>
      <w:bookmarkStart w:id="115" w:name="_Toc530742368"/>
      <w:bookmarkStart w:id="116" w:name="_Toc76819132"/>
    </w:p>
    <w:p w14:paraId="6BF4CA40" w14:textId="77777777" w:rsidR="000E0FE8" w:rsidRPr="003B10E2" w:rsidRDefault="00B13660" w:rsidP="00B13660">
      <w:pPr>
        <w:pStyle w:val="2"/>
        <w:spacing w:before="0" w:line="360" w:lineRule="auto"/>
        <w:ind w:firstLine="708"/>
        <w:jc w:val="both"/>
        <w:rPr>
          <w:rFonts w:ascii="Times New Roman" w:hAnsi="Times New Roman"/>
          <w:b/>
          <w:color w:val="000000"/>
          <w:sz w:val="28"/>
          <w:szCs w:val="28"/>
        </w:rPr>
      </w:pPr>
      <w:bookmarkStart w:id="117" w:name="_Toc145164375"/>
      <w:r w:rsidRPr="003B10E2">
        <w:rPr>
          <w:rFonts w:ascii="Times New Roman" w:hAnsi="Times New Roman"/>
          <w:b/>
          <w:color w:val="000000"/>
          <w:sz w:val="28"/>
          <w:szCs w:val="28"/>
        </w:rPr>
        <w:t>2</w:t>
      </w:r>
      <w:r w:rsidR="000E0FE8" w:rsidRPr="003B10E2">
        <w:rPr>
          <w:rFonts w:ascii="Times New Roman" w:hAnsi="Times New Roman"/>
          <w:b/>
          <w:color w:val="000000"/>
          <w:sz w:val="28"/>
          <w:szCs w:val="28"/>
        </w:rPr>
        <w:t>.</w:t>
      </w:r>
      <w:r w:rsidRPr="003B10E2">
        <w:rPr>
          <w:rFonts w:ascii="Times New Roman" w:hAnsi="Times New Roman"/>
          <w:b/>
          <w:color w:val="000000"/>
          <w:sz w:val="28"/>
          <w:szCs w:val="28"/>
        </w:rPr>
        <w:t>2</w:t>
      </w:r>
      <w:r w:rsidR="000E0FE8" w:rsidRPr="003B10E2">
        <w:rPr>
          <w:rFonts w:ascii="Times New Roman" w:hAnsi="Times New Roman"/>
          <w:b/>
          <w:color w:val="000000"/>
          <w:sz w:val="28"/>
          <w:szCs w:val="28"/>
        </w:rPr>
        <w:t xml:space="preserve"> </w:t>
      </w:r>
      <w:bookmarkEnd w:id="114"/>
      <w:bookmarkEnd w:id="115"/>
      <w:bookmarkEnd w:id="116"/>
      <w:r w:rsidRPr="003B10E2">
        <w:rPr>
          <w:rFonts w:ascii="Times New Roman" w:hAnsi="Times New Roman"/>
          <w:b/>
          <w:color w:val="000000"/>
          <w:sz w:val="28"/>
          <w:szCs w:val="28"/>
        </w:rPr>
        <w:t>Модели поведения российских инвестиционных фондов в будущем</w:t>
      </w:r>
      <w:bookmarkEnd w:id="117"/>
      <w:r w:rsidRPr="003B10E2">
        <w:rPr>
          <w:rFonts w:ascii="Times New Roman" w:hAnsi="Times New Roman"/>
          <w:b/>
          <w:color w:val="000000"/>
          <w:sz w:val="28"/>
          <w:szCs w:val="28"/>
        </w:rPr>
        <w:t xml:space="preserve"> </w:t>
      </w:r>
    </w:p>
    <w:p w14:paraId="28FFDE54" w14:textId="77777777" w:rsidR="000E0FE8" w:rsidRPr="003B10E2" w:rsidRDefault="00C72198" w:rsidP="000E0FE8">
      <w:pPr>
        <w:spacing w:after="0" w:line="360" w:lineRule="auto"/>
        <w:ind w:firstLine="851"/>
        <w:jc w:val="both"/>
        <w:rPr>
          <w:rFonts w:ascii="Times New Roman" w:hAnsi="Times New Roman"/>
          <w:color w:val="000000"/>
          <w:sz w:val="28"/>
          <w:szCs w:val="28"/>
        </w:rPr>
      </w:pPr>
      <w:r w:rsidRPr="003B10E2">
        <w:rPr>
          <w:noProof/>
        </w:rPr>
        <w:drawing>
          <wp:anchor distT="0" distB="0" distL="114300" distR="114300" simplePos="0" relativeHeight="251653632" behindDoc="0" locked="0" layoutInCell="1" allowOverlap="1" wp14:anchorId="66107C5C" wp14:editId="217FC25F">
            <wp:simplePos x="0" y="0"/>
            <wp:positionH relativeFrom="column">
              <wp:posOffset>-3810</wp:posOffset>
            </wp:positionH>
            <wp:positionV relativeFrom="paragraph">
              <wp:posOffset>727075</wp:posOffset>
            </wp:positionV>
            <wp:extent cx="5886450" cy="3914775"/>
            <wp:effectExtent l="0" t="0" r="0" b="0"/>
            <wp:wrapTopAndBottom/>
            <wp:docPr id="2038763422" name="Рисунок 10" descr="C:\Users\liska\Desktop\вввв.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C:\Users\liska\Desktop\вввв.JPG"/>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20640" cy="3405505"/>
                    </a:xfrm>
                    <a:prstGeom prst="rect">
                      <a:avLst/>
                    </a:prstGeom>
                    <a:noFill/>
                    <a:ln>
                      <a:noFill/>
                    </a:ln>
                  </pic:spPr>
                </pic:pic>
              </a:graphicData>
            </a:graphic>
            <wp14:sizeRelH relativeFrom="page">
              <wp14:pctWidth>0</wp14:pctWidth>
            </wp14:sizeRelH>
            <wp14:sizeRelV relativeFrom="page">
              <wp14:pctHeight>0</wp14:pctHeight>
            </wp14:sizeRelV>
          </wp:anchor>
        </w:drawing>
      </w:r>
      <w:r w:rsidR="000E0FE8" w:rsidRPr="003B10E2">
        <w:rPr>
          <w:rFonts w:ascii="Times New Roman" w:hAnsi="Times New Roman"/>
          <w:color w:val="000000"/>
          <w:sz w:val="28"/>
          <w:szCs w:val="28"/>
        </w:rPr>
        <w:t xml:space="preserve">Структуру инвесторов на российском рынке капитала и объем активов можно представить в виде следующей схемы (рисунок </w:t>
      </w:r>
      <w:r w:rsidR="00294A94" w:rsidRPr="003B10E2">
        <w:rPr>
          <w:rFonts w:ascii="Times New Roman" w:hAnsi="Times New Roman"/>
          <w:color w:val="000000"/>
          <w:sz w:val="28"/>
          <w:szCs w:val="28"/>
        </w:rPr>
        <w:t>29</w:t>
      </w:r>
      <w:r w:rsidR="000E0FE8" w:rsidRPr="003B10E2">
        <w:rPr>
          <w:rFonts w:ascii="Times New Roman" w:hAnsi="Times New Roman"/>
          <w:color w:val="000000"/>
          <w:sz w:val="28"/>
          <w:szCs w:val="28"/>
        </w:rPr>
        <w:t>).</w:t>
      </w:r>
      <w:r w:rsidR="000E0FE8" w:rsidRPr="003B10E2">
        <w:rPr>
          <w:rFonts w:ascii="Times New Roman" w:hAnsi="Times New Roman"/>
          <w:noProof/>
          <w:color w:val="000000"/>
          <w:sz w:val="24"/>
          <w:szCs w:val="24"/>
        </w:rPr>
        <w:t xml:space="preserve"> </w:t>
      </w:r>
    </w:p>
    <w:p w14:paraId="7B0117B3" w14:textId="77777777" w:rsidR="000E0FE8" w:rsidRPr="003B10E2" w:rsidRDefault="000E0FE8" w:rsidP="000E0FE8">
      <w:pPr>
        <w:spacing w:after="0" w:line="240" w:lineRule="auto"/>
        <w:jc w:val="center"/>
        <w:rPr>
          <w:rFonts w:ascii="Times New Roman" w:hAnsi="Times New Roman"/>
          <w:color w:val="000000"/>
          <w:sz w:val="28"/>
          <w:szCs w:val="28"/>
        </w:rPr>
      </w:pPr>
      <w:r w:rsidRPr="003B10E2">
        <w:rPr>
          <w:rFonts w:ascii="Times New Roman" w:hAnsi="Times New Roman"/>
          <w:color w:val="000000"/>
          <w:sz w:val="24"/>
          <w:szCs w:val="24"/>
        </w:rPr>
        <w:t xml:space="preserve">Источник: составлено автором, </w:t>
      </w:r>
      <w:r w:rsidRPr="003B10E2">
        <w:rPr>
          <w:rFonts w:ascii="Times New Roman" w:hAnsi="Times New Roman"/>
          <w:color w:val="000000"/>
          <w:sz w:val="24"/>
          <w:szCs w:val="24"/>
          <w:lang w:val="en-US"/>
        </w:rPr>
        <w:t>Thomson</w:t>
      </w:r>
      <w:r w:rsidRPr="003B10E2">
        <w:rPr>
          <w:rFonts w:ascii="Times New Roman" w:hAnsi="Times New Roman"/>
          <w:color w:val="000000"/>
          <w:sz w:val="24"/>
          <w:szCs w:val="24"/>
        </w:rPr>
        <w:t xml:space="preserve"> </w:t>
      </w:r>
      <w:r w:rsidRPr="003B10E2">
        <w:rPr>
          <w:rFonts w:ascii="Times New Roman" w:hAnsi="Times New Roman"/>
          <w:color w:val="000000"/>
          <w:sz w:val="24"/>
          <w:szCs w:val="24"/>
          <w:lang w:val="en-US"/>
        </w:rPr>
        <w:t>Reuters</w:t>
      </w:r>
      <w:r w:rsidRPr="003B10E2">
        <w:rPr>
          <w:rFonts w:ascii="Times New Roman" w:hAnsi="Times New Roman"/>
          <w:color w:val="000000"/>
          <w:sz w:val="24"/>
          <w:szCs w:val="24"/>
        </w:rPr>
        <w:t>.</w:t>
      </w:r>
    </w:p>
    <w:p w14:paraId="73F73066" w14:textId="77777777"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294A94" w:rsidRPr="003B10E2">
        <w:rPr>
          <w:rFonts w:ascii="Times New Roman" w:hAnsi="Times New Roman"/>
          <w:color w:val="000000"/>
          <w:sz w:val="24"/>
          <w:szCs w:val="24"/>
        </w:rPr>
        <w:t>29</w:t>
      </w:r>
      <w:r w:rsidRPr="003B10E2">
        <w:rPr>
          <w:rFonts w:ascii="Times New Roman" w:hAnsi="Times New Roman"/>
          <w:color w:val="000000"/>
          <w:sz w:val="24"/>
          <w:szCs w:val="24"/>
        </w:rPr>
        <w:t xml:space="preserve"> – Схема особенностей модели поведения инвесторов в России</w:t>
      </w:r>
    </w:p>
    <w:p w14:paraId="6D08BB5A" w14:textId="77777777" w:rsidR="000E0FE8" w:rsidRPr="003B10E2" w:rsidRDefault="000E0FE8" w:rsidP="000E0FE8">
      <w:pPr>
        <w:spacing w:after="0" w:line="240" w:lineRule="auto"/>
        <w:ind w:firstLine="851"/>
        <w:rPr>
          <w:rFonts w:ascii="Times New Roman" w:hAnsi="Times New Roman"/>
          <w:b/>
          <w:color w:val="000000"/>
          <w:sz w:val="28"/>
          <w:szCs w:val="28"/>
        </w:rPr>
      </w:pPr>
    </w:p>
    <w:p w14:paraId="0308671B"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этом контексте слабая стратегия активного управления, ограниченная поведенческими предубеждениями, будет более очевидной. Связи между этими предубеждениями и деятельностью фондов отождествляются с менеджерами фондов, которые не только заблуждаются, но и делают большие ставки на рисковые активы, не производя значительных превышений доходности над фондовыми индексами [257]. Результаты показывают, что фонды России и БРИК в целом часто не стремятся следовать за внутренними фондовыми индексами [261]. В результате они не производят значительных превышений доходности над соответствующими индексами [269].</w:t>
      </w:r>
    </w:p>
    <w:p w14:paraId="74683093"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данном исследовании особое внимание было уделено двум целевым показателям: взаимосвязи между измерением эффективности и сосредоточением инвестиционных стратегий фонда на местных факторах риска и поведенческих соображениях.</w:t>
      </w:r>
    </w:p>
    <w:p w14:paraId="5C1C7954"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Начиная с глобального финансового кризиса 2007-2008 гг., развивающиеся рынки привлекли к себе значительное внимание аналитиков и инвесторов. Ожидалось, что эти страны создадут экономическое чудо, но они все еще должны преодолеть структурные проблемы. С 2001 г. валовой внутренний продукт на душу населения ежегодно увеличивался в пределах от 2,6% в Бразилии, до 10% в Китае. </w:t>
      </w:r>
    </w:p>
    <w:p w14:paraId="4B677B15"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Однако явные поведенческие интерпретации активного управления фондами относительно того, связана ли концентрация портфеля с показателями на рынках БРИКС, изучаются редко.</w:t>
      </w:r>
    </w:p>
    <w:p w14:paraId="5BE9C039"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Финансовый кризис последних лет показал, как за столь короткий период времени финансово-экономические проблемы достигли всех уголков мира. Многие практики утверждают, что худший финансовый период последовал за банкротством </w:t>
      </w:r>
      <w:r w:rsidRPr="003B10E2">
        <w:rPr>
          <w:rFonts w:ascii="Times New Roman" w:hAnsi="Times New Roman"/>
          <w:color w:val="000000"/>
          <w:sz w:val="28"/>
          <w:szCs w:val="28"/>
          <w:lang w:val="en-US"/>
        </w:rPr>
        <w:t>Lehman</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Brothers</w:t>
      </w:r>
      <w:r w:rsidRPr="003B10E2">
        <w:rPr>
          <w:rFonts w:ascii="Times New Roman" w:hAnsi="Times New Roman"/>
          <w:color w:val="000000"/>
          <w:sz w:val="28"/>
          <w:szCs w:val="28"/>
        </w:rPr>
        <w:t xml:space="preserve"> в США в сентябре 2008 г. Этот кризис также сильно ударил по развивающимся рынкам. </w:t>
      </w:r>
      <w:r w:rsidRPr="003B10E2">
        <w:rPr>
          <w:rFonts w:ascii="Times New Roman" w:hAnsi="Times New Roman"/>
          <w:color w:val="000000"/>
          <w:sz w:val="28"/>
          <w:szCs w:val="28"/>
          <w:lang w:val="en-US"/>
        </w:rPr>
        <w:t>VIX</w:t>
      </w:r>
      <w:r w:rsidRPr="003B10E2">
        <w:rPr>
          <w:rFonts w:ascii="Times New Roman" w:hAnsi="Times New Roman"/>
          <w:color w:val="000000"/>
          <w:sz w:val="28"/>
          <w:szCs w:val="28"/>
        </w:rPr>
        <w:t xml:space="preserve"> имеет значительную отрицательную корреляцию на уровне 1-5% с доходностью индексов Бразилии, России и Китая и на уровне 10% с индексом Индии [290]. Это приводит к выводу, что рынки БРИКС не могут рассматриваться в качестве инструмента хеджирования против волатильности на глобальных рынках.</w:t>
      </w:r>
    </w:p>
    <w:p w14:paraId="3180449E"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Уоррен Баффет (2016) отмечает, что «диверсификация — это защита от невежества. Она не имеет смысла для тех, кто знают, что они делают». Активные менеджеры заявляют, что классы активов выбираются с помощью активного выбора и использования, например, времени рынка, ротации сектора или страны. Цель в соответствии с выбранными критериями состоит в том, чтобы гарантировать, что в краткосрочной перспективе инвестиционные решения инвестора не вызовут проблем в достижении планируемого результата и позволят достичь оптимального результата в долгосрочной перспективе. В этом контексте умение измеряется корреляцией между ожидаемой прибылью менеджера и достигнутыми значениями, а масштабируемость — это квадратный корень из числа независимых позиций в портфеле. Таким образом, инвесторы могут достичь одинакового значения целевого информационного соотношения. Правильный компромисс между умением и широтой является одной из причин получения высокой прибыли в портфеле.</w:t>
      </w:r>
    </w:p>
    <w:p w14:paraId="20D5292F"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Если быть точным, коэффициент переноса — это коэффициент корреляции между активными весами и прогнозируемой доходностью, равный единице при отсутствии ограничений в построении портфеля [245]. Существует простое правило: фонды с самой высокой активной долей опережают базовые индексы как до, так и после затрат, в то время как фонды с самой низкой мерой не опережают свои бенчмарки [222]. Современная теория портфеля в рациональном контексте утверждает, что инвесторам приходится снижать риск своих портфелей. Эти стратегии основаны на навыках активных менеджеров, которые могут иметь информационные преимущества в конкретных секторах.</w:t>
      </w:r>
    </w:p>
    <w:p w14:paraId="2C99A400"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Низкие значения </w:t>
      </w:r>
      <w:r w:rsidRPr="003B10E2">
        <w:rPr>
          <w:rFonts w:ascii="Times New Roman" w:hAnsi="Times New Roman"/>
          <w:color w:val="000000"/>
          <w:sz w:val="28"/>
          <w:szCs w:val="28"/>
          <w:lang w:val="en-US"/>
        </w:rPr>
        <w:t>R</w:t>
      </w:r>
      <w:r w:rsidRPr="003B10E2">
        <w:rPr>
          <w:rFonts w:ascii="Times New Roman" w:hAnsi="Times New Roman"/>
          <w:color w:val="000000"/>
          <w:sz w:val="28"/>
          <w:szCs w:val="28"/>
        </w:rPr>
        <w:t>-квадрата указывают на большую избирательность и положительно связаны с размером фонда. Экономика использует междисциплинарные особенности, используя разработки в области социологии и психологии, чтобы объяснить экономическое поведение отдельных агентов и целых рынков. В поведенческих финансах самоуверенность часто интерпретируется следующими способами:</w:t>
      </w:r>
    </w:p>
    <w:p w14:paraId="1D35691F"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а) инвесторы переоценивают точность своей информации;</w:t>
      </w:r>
    </w:p>
    <w:p w14:paraId="250E8AED"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б) инвесторы недооценивают риск.</w:t>
      </w:r>
    </w:p>
    <w:p w14:paraId="39F47692"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Скала (2008) отмечает, что эти два измерения часто смешиваются и просто называются «самоуверенностью» в финансовой литературе.</w:t>
      </w:r>
    </w:p>
    <w:p w14:paraId="72759C06"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Анализируются основные применения самоуверенности в современных финансах с точки зрения финансовых рынков и корпоративного поведения. Это грубое определение самоуверенности как формы неправильной калибровки началось в 1990-х гг. С тех пор самоуверенность также стала полем интереса для экономистов, главным образом в контексте поведения на финансовых рынках. Потенциальное присутствие самоуверенности на рынках и ее сохранение в долгосрочной перспективе стимулировали продолжающееся обсуждение устоявшейся идеи эффективных рынков и рациональности экономических агентов. Наличие самоуверенности на финансовых рынках демонстрируется экспериментально в различных условиях. </w:t>
      </w:r>
    </w:p>
    <w:p w14:paraId="24EF7BFB"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проанализированных ниже моделях поведенческого финансирования самоуверенность часто интерпретируется как любое из этих условий: инвесторы переоценивают точность своей информации и недооценивают риск, что, например, заставляет их удерживать рискованные активы в случае кризиса [284]. </w:t>
      </w:r>
    </w:p>
    <w:p w14:paraId="127411F2"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Предполагая существование таких (и подобных) аспектов самоуверенности, они анализируются как их влияние на финансовые рынки, включая чрезмерные объемы торговли, прибыльность торговли, краткосрочные и долгосрочные оценки активов и доходность акций. Также часто моделируются различные сценарии, подтверждающие сохранение излишней уверенности на рынке. В настоящее время продолжаются дискуссии относительно истоков самоуверенности, ее динамичного или стабильного характера и зависимости от контекста исследования. С одной стороны, имеются данные, свидетельствующие о том, что сосредоточение внимания на местных факторах риска может рассматриваться как симптом управленческих навыков, особенно в том, что касается способности наилучшим образом использовать имеющиеся на тот момент информационные наборы. Действительно, квалифицированные управляющие фондами могли бы иметь информационные преимущества в конкретных секторах и извлекать из них выгоду, чтобы добиться более высоких результатов, удерживая более концентрированные портфели и выбирая прибыльные акции в конкретных секторах.</w:t>
      </w:r>
    </w:p>
    <w:p w14:paraId="09E12884"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Эта переоценка их навыков приводит к инвестициям в конкретные факторы риска. Это может привести к большим потерям или даже просто разочаровывающим результатам. </w:t>
      </w:r>
    </w:p>
    <w:p w14:paraId="1DDBFAE4"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Преимущество этого подхода заключается в том, как решается вопрос о предвзятости в отношении выживаемости [235]. Этот формат затрудняет объединение и последующее применение подхода, основанного на данных соответствующей панели [247]. </w:t>
      </w:r>
    </w:p>
    <w:p w14:paraId="1B34B361"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Факторы основаны на классификации отрасли/сектора потока данных. Цель — сопоставить между собой факторы для местных и нелокальных менеджеров. Анализ показывает, что местный индекс является ориентиром для доходности фонда, в то время как глобальный индекс редко является ключевым при объяснении эффективности фонда. В некоторых случаях глобальный индекс является статистически значимым для глобальных фондов, инвестирующих в экономики БРИКС в качестве формы диверсификации [247]. </w:t>
      </w:r>
    </w:p>
    <w:p w14:paraId="4FD24CB4"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этом случае фонды разных стран демонстрируют разные модели поведения. Структура распределения инвестиций российских фондов по отношению к российскому индексу ММВБ очень похожа на иностранных менеджеров, инвестирующих в Россию, но российские инвесторы менее сосредоточены на внутренних активах, за исключением фондов первого квантиля доходности [216]</w:t>
      </w:r>
      <w:r w:rsidRPr="003B10E2">
        <w:t>.</w:t>
      </w:r>
    </w:p>
    <w:p w14:paraId="51D585A2"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Российские менеджеры фондов получили лучшую доходность, чем их зарубежные коллеги, не производя статистически значимый коэффициент альфа. Наконец, при использовании скорректированного на риск индекса производительности (Сортино-Сатчел) местные менеджеры, по-видимому, лучше используют внутреннюю информацию, лучше оценивая местные риски. Это верно для всех стран БРИКС, за исключением Китая.</w:t>
      </w:r>
    </w:p>
    <w:p w14:paraId="07747571"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Акция инвестиционного фонда (пай) является ценной бумагой, которая подтверждает право его владельца на долю собственности, составляющей инвестиционный фонд, а также наделяет его правом требовать от управляющей компании компетентного доверительного управления инвестиционным фондом и позволяет получать денежную компенсацию при окончании действия договора доверительного управления, заключенного инвестиционным фондом со всеми владельцами инвестиционных паев или акций инвестиционного фонда [1,2].</w:t>
      </w:r>
    </w:p>
    <w:p w14:paraId="19CA1E82"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Российские инвестиционные фонды показали доходность ниже уровня ставок по банковским депозитам, обогнать инфляцию смогли менее трети, попавших в оценочную совокупность.</w:t>
      </w:r>
    </w:p>
    <w:p w14:paraId="7A012C60" w14:textId="77777777" w:rsidR="000E0FE8" w:rsidRPr="003B10E2" w:rsidRDefault="000E0FE8" w:rsidP="000E0FE8">
      <w:pPr>
        <w:spacing w:after="0" w:line="240" w:lineRule="auto"/>
        <w:rPr>
          <w:rFonts w:ascii="Times New Roman" w:hAnsi="Times New Roman"/>
          <w:color w:val="000000"/>
          <w:sz w:val="24"/>
          <w:szCs w:val="24"/>
        </w:rPr>
      </w:pPr>
    </w:p>
    <w:p w14:paraId="1A106633" w14:textId="77777777" w:rsidR="000E0FE8" w:rsidRPr="003B10E2" w:rsidRDefault="000E0FE8" w:rsidP="000E0FE8">
      <w:pPr>
        <w:spacing w:after="0" w:line="360" w:lineRule="auto"/>
        <w:rPr>
          <w:rFonts w:ascii="Times New Roman" w:hAnsi="Times New Roman"/>
          <w:color w:val="000000"/>
          <w:sz w:val="24"/>
          <w:szCs w:val="24"/>
        </w:rPr>
      </w:pPr>
      <w:r w:rsidRPr="003B10E2">
        <w:rPr>
          <w:rFonts w:ascii="Times New Roman" w:hAnsi="Times New Roman"/>
          <w:color w:val="000000"/>
          <w:sz w:val="24"/>
          <w:szCs w:val="24"/>
        </w:rPr>
        <w:t xml:space="preserve">Таблица </w:t>
      </w:r>
      <w:r w:rsidR="00294A94" w:rsidRPr="003B10E2">
        <w:rPr>
          <w:rFonts w:ascii="Times New Roman" w:hAnsi="Times New Roman"/>
          <w:color w:val="000000"/>
          <w:sz w:val="24"/>
          <w:szCs w:val="24"/>
        </w:rPr>
        <w:t>6</w:t>
      </w:r>
      <w:r w:rsidRPr="003B10E2">
        <w:rPr>
          <w:rFonts w:ascii="Times New Roman" w:hAnsi="Times New Roman"/>
          <w:color w:val="000000"/>
          <w:sz w:val="24"/>
          <w:szCs w:val="24"/>
        </w:rPr>
        <w:t xml:space="preserve"> – Приток/отток средств в российские фонды с 30.12.2016 по 24.02.2022, руб.</w:t>
      </w:r>
    </w:p>
    <w:p w14:paraId="022D67CE" w14:textId="77777777" w:rsidR="000E0FE8" w:rsidRPr="003B10E2" w:rsidRDefault="000E0FE8" w:rsidP="000E0FE8">
      <w:pPr>
        <w:spacing w:after="0" w:line="240" w:lineRule="auto"/>
        <w:rPr>
          <w:rFonts w:ascii="Times New Roman" w:hAnsi="Times New Roman"/>
          <w:color w:val="000000"/>
          <w:sz w:val="24"/>
          <w:szCs w:val="24"/>
        </w:rPr>
      </w:pPr>
    </w:p>
    <w:tbl>
      <w:tblPr>
        <w:tblW w:w="9353" w:type="dxa"/>
        <w:tblInd w:w="-5" w:type="dxa"/>
        <w:tblLayout w:type="fixed"/>
        <w:tblLook w:val="0000" w:firstRow="0" w:lastRow="0" w:firstColumn="0" w:lastColumn="0" w:noHBand="0" w:noVBand="0"/>
      </w:tblPr>
      <w:tblGrid>
        <w:gridCol w:w="2413"/>
        <w:gridCol w:w="2144"/>
        <w:gridCol w:w="2179"/>
        <w:gridCol w:w="2617"/>
      </w:tblGrid>
      <w:tr w:rsidR="000E0FE8" w:rsidRPr="003B10E2" w14:paraId="5601621E" w14:textId="77777777" w:rsidTr="005D28E0">
        <w:trPr>
          <w:trHeight w:val="301"/>
        </w:trPr>
        <w:tc>
          <w:tcPr>
            <w:tcW w:w="2413" w:type="dxa"/>
            <w:tcBorders>
              <w:top w:val="single" w:sz="4" w:space="0" w:color="000000"/>
              <w:left w:val="single" w:sz="4" w:space="0" w:color="000000"/>
              <w:bottom w:val="double" w:sz="4" w:space="0" w:color="000000"/>
            </w:tcBorders>
            <w:shd w:val="clear" w:color="auto" w:fill="auto"/>
          </w:tcPr>
          <w:p w14:paraId="22F402EF" w14:textId="77777777"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Категория / Тип фондов</w:t>
            </w:r>
          </w:p>
        </w:tc>
        <w:tc>
          <w:tcPr>
            <w:tcW w:w="2144" w:type="dxa"/>
            <w:tcBorders>
              <w:top w:val="single" w:sz="4" w:space="0" w:color="000000"/>
              <w:left w:val="single" w:sz="4" w:space="0" w:color="000000"/>
              <w:bottom w:val="double" w:sz="4" w:space="0" w:color="000000"/>
            </w:tcBorders>
            <w:shd w:val="clear" w:color="auto" w:fill="auto"/>
          </w:tcPr>
          <w:p w14:paraId="06214E0B" w14:textId="77777777"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Открытые</w:t>
            </w:r>
          </w:p>
        </w:tc>
        <w:tc>
          <w:tcPr>
            <w:tcW w:w="2179" w:type="dxa"/>
            <w:tcBorders>
              <w:top w:val="single" w:sz="4" w:space="0" w:color="000000"/>
              <w:left w:val="single" w:sz="4" w:space="0" w:color="000000"/>
              <w:bottom w:val="double" w:sz="4" w:space="0" w:color="000000"/>
            </w:tcBorders>
            <w:shd w:val="clear" w:color="auto" w:fill="auto"/>
          </w:tcPr>
          <w:p w14:paraId="46BB9D7D" w14:textId="77777777"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Интервальные</w:t>
            </w:r>
          </w:p>
        </w:tc>
        <w:tc>
          <w:tcPr>
            <w:tcW w:w="2617" w:type="dxa"/>
            <w:tcBorders>
              <w:top w:val="single" w:sz="4" w:space="0" w:color="000000"/>
              <w:left w:val="single" w:sz="4" w:space="0" w:color="000000"/>
              <w:bottom w:val="double" w:sz="4" w:space="0" w:color="000000"/>
              <w:right w:val="single" w:sz="4" w:space="0" w:color="000000"/>
            </w:tcBorders>
            <w:shd w:val="clear" w:color="auto" w:fill="auto"/>
          </w:tcPr>
          <w:p w14:paraId="2695A5AB" w14:textId="77777777"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Всего</w:t>
            </w:r>
          </w:p>
        </w:tc>
      </w:tr>
      <w:tr w:rsidR="000E0FE8" w:rsidRPr="003B10E2" w14:paraId="5149CBC9" w14:textId="77777777" w:rsidTr="005D28E0">
        <w:trPr>
          <w:trHeight w:val="301"/>
        </w:trPr>
        <w:tc>
          <w:tcPr>
            <w:tcW w:w="2413" w:type="dxa"/>
            <w:tcBorders>
              <w:top w:val="double" w:sz="4" w:space="0" w:color="000000"/>
              <w:left w:val="single" w:sz="4" w:space="0" w:color="000000"/>
              <w:bottom w:val="single" w:sz="4" w:space="0" w:color="000000"/>
            </w:tcBorders>
            <w:shd w:val="clear" w:color="auto" w:fill="auto"/>
          </w:tcPr>
          <w:p w14:paraId="0E1E004E" w14:textId="77777777" w:rsidR="000E0FE8" w:rsidRPr="003B10E2" w:rsidRDefault="000E0FE8" w:rsidP="005D28E0">
            <w:pPr>
              <w:widowControl w:val="0"/>
              <w:spacing w:after="0" w:line="360" w:lineRule="auto"/>
              <w:rPr>
                <w:rFonts w:ascii="Times New Roman" w:hAnsi="Times New Roman"/>
                <w:color w:val="000000"/>
                <w:sz w:val="24"/>
                <w:szCs w:val="24"/>
              </w:rPr>
            </w:pPr>
            <w:r w:rsidRPr="003B10E2">
              <w:rPr>
                <w:rFonts w:ascii="Times New Roman" w:hAnsi="Times New Roman"/>
                <w:color w:val="000000"/>
                <w:sz w:val="24"/>
                <w:szCs w:val="24"/>
              </w:rPr>
              <w:t>Акции</w:t>
            </w:r>
          </w:p>
        </w:tc>
        <w:tc>
          <w:tcPr>
            <w:tcW w:w="2144" w:type="dxa"/>
            <w:tcBorders>
              <w:top w:val="double" w:sz="4" w:space="0" w:color="000000"/>
              <w:left w:val="single" w:sz="4" w:space="0" w:color="000000"/>
              <w:bottom w:val="single" w:sz="4" w:space="0" w:color="000000"/>
            </w:tcBorders>
            <w:shd w:val="clear" w:color="auto" w:fill="auto"/>
          </w:tcPr>
          <w:p w14:paraId="2FFE56ED" w14:textId="77777777"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-9301876781</w:t>
            </w:r>
          </w:p>
        </w:tc>
        <w:tc>
          <w:tcPr>
            <w:tcW w:w="2179" w:type="dxa"/>
            <w:tcBorders>
              <w:top w:val="double" w:sz="4" w:space="0" w:color="000000"/>
              <w:left w:val="single" w:sz="4" w:space="0" w:color="000000"/>
              <w:bottom w:val="single" w:sz="4" w:space="0" w:color="000000"/>
            </w:tcBorders>
            <w:shd w:val="clear" w:color="auto" w:fill="auto"/>
          </w:tcPr>
          <w:p w14:paraId="4B598A7A" w14:textId="77777777"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-1272719373</w:t>
            </w:r>
          </w:p>
        </w:tc>
        <w:tc>
          <w:tcPr>
            <w:tcW w:w="2617" w:type="dxa"/>
            <w:tcBorders>
              <w:top w:val="double" w:sz="4" w:space="0" w:color="000000"/>
              <w:left w:val="single" w:sz="4" w:space="0" w:color="000000"/>
              <w:bottom w:val="single" w:sz="4" w:space="0" w:color="000000"/>
              <w:right w:val="single" w:sz="4" w:space="0" w:color="000000"/>
            </w:tcBorders>
            <w:shd w:val="clear" w:color="auto" w:fill="auto"/>
          </w:tcPr>
          <w:p w14:paraId="452255FE" w14:textId="77777777"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-10574596154</w:t>
            </w:r>
          </w:p>
        </w:tc>
      </w:tr>
      <w:tr w:rsidR="000E0FE8" w:rsidRPr="003B10E2" w14:paraId="4624A503" w14:textId="77777777" w:rsidTr="005D28E0">
        <w:trPr>
          <w:trHeight w:val="301"/>
        </w:trPr>
        <w:tc>
          <w:tcPr>
            <w:tcW w:w="2413" w:type="dxa"/>
            <w:tcBorders>
              <w:top w:val="single" w:sz="4" w:space="0" w:color="000000"/>
              <w:left w:val="single" w:sz="4" w:space="0" w:color="000000"/>
              <w:bottom w:val="single" w:sz="4" w:space="0" w:color="000000"/>
            </w:tcBorders>
            <w:shd w:val="clear" w:color="auto" w:fill="auto"/>
          </w:tcPr>
          <w:p w14:paraId="171BC80C" w14:textId="77777777" w:rsidR="000E0FE8" w:rsidRPr="003B10E2" w:rsidRDefault="000E0FE8" w:rsidP="005D28E0">
            <w:pPr>
              <w:widowControl w:val="0"/>
              <w:spacing w:after="0" w:line="360" w:lineRule="auto"/>
              <w:rPr>
                <w:rFonts w:ascii="Times New Roman" w:hAnsi="Times New Roman"/>
                <w:color w:val="000000"/>
                <w:sz w:val="24"/>
                <w:szCs w:val="24"/>
              </w:rPr>
            </w:pPr>
            <w:r w:rsidRPr="003B10E2">
              <w:rPr>
                <w:rFonts w:ascii="Times New Roman" w:hAnsi="Times New Roman"/>
                <w:color w:val="000000"/>
                <w:sz w:val="24"/>
                <w:szCs w:val="24"/>
              </w:rPr>
              <w:t>Облигации</w:t>
            </w:r>
          </w:p>
        </w:tc>
        <w:tc>
          <w:tcPr>
            <w:tcW w:w="2144" w:type="dxa"/>
            <w:tcBorders>
              <w:top w:val="single" w:sz="4" w:space="0" w:color="000000"/>
              <w:left w:val="single" w:sz="4" w:space="0" w:color="000000"/>
              <w:bottom w:val="single" w:sz="4" w:space="0" w:color="000000"/>
            </w:tcBorders>
            <w:shd w:val="clear" w:color="auto" w:fill="auto"/>
          </w:tcPr>
          <w:p w14:paraId="1FD628A9" w14:textId="77777777"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10268881695</w:t>
            </w:r>
          </w:p>
        </w:tc>
        <w:tc>
          <w:tcPr>
            <w:tcW w:w="2179" w:type="dxa"/>
            <w:tcBorders>
              <w:top w:val="single" w:sz="4" w:space="0" w:color="000000"/>
              <w:left w:val="single" w:sz="4" w:space="0" w:color="000000"/>
              <w:bottom w:val="single" w:sz="4" w:space="0" w:color="000000"/>
            </w:tcBorders>
            <w:shd w:val="clear" w:color="auto" w:fill="auto"/>
          </w:tcPr>
          <w:p w14:paraId="75E2ACFD" w14:textId="77777777"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-698576,5236</w:t>
            </w:r>
          </w:p>
        </w:tc>
        <w:tc>
          <w:tcPr>
            <w:tcW w:w="2617" w:type="dxa"/>
            <w:tcBorders>
              <w:top w:val="single" w:sz="4" w:space="0" w:color="000000"/>
              <w:left w:val="single" w:sz="4" w:space="0" w:color="000000"/>
              <w:bottom w:val="single" w:sz="4" w:space="0" w:color="000000"/>
              <w:right w:val="single" w:sz="4" w:space="0" w:color="000000"/>
            </w:tcBorders>
            <w:shd w:val="clear" w:color="auto" w:fill="auto"/>
          </w:tcPr>
          <w:p w14:paraId="14135EB3" w14:textId="77777777"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10268183119</w:t>
            </w:r>
          </w:p>
        </w:tc>
      </w:tr>
      <w:tr w:rsidR="000E0FE8" w:rsidRPr="003B10E2" w14:paraId="74BA41C9" w14:textId="77777777" w:rsidTr="005D28E0">
        <w:trPr>
          <w:trHeight w:val="301"/>
        </w:trPr>
        <w:tc>
          <w:tcPr>
            <w:tcW w:w="2413" w:type="dxa"/>
            <w:tcBorders>
              <w:top w:val="single" w:sz="4" w:space="0" w:color="000000"/>
              <w:left w:val="single" w:sz="4" w:space="0" w:color="000000"/>
              <w:bottom w:val="single" w:sz="4" w:space="0" w:color="000000"/>
            </w:tcBorders>
            <w:shd w:val="clear" w:color="auto" w:fill="auto"/>
          </w:tcPr>
          <w:p w14:paraId="06DB2F79" w14:textId="77777777" w:rsidR="000E0FE8" w:rsidRPr="003B10E2" w:rsidRDefault="000E0FE8" w:rsidP="005D28E0">
            <w:pPr>
              <w:widowControl w:val="0"/>
              <w:spacing w:after="0" w:line="360" w:lineRule="auto"/>
              <w:rPr>
                <w:rFonts w:ascii="Times New Roman" w:hAnsi="Times New Roman"/>
                <w:color w:val="000000"/>
                <w:sz w:val="24"/>
                <w:szCs w:val="24"/>
              </w:rPr>
            </w:pPr>
            <w:r w:rsidRPr="003B10E2">
              <w:rPr>
                <w:rFonts w:ascii="Times New Roman" w:hAnsi="Times New Roman"/>
                <w:color w:val="000000"/>
                <w:sz w:val="24"/>
                <w:szCs w:val="24"/>
              </w:rPr>
              <w:t>Смешанный</w:t>
            </w:r>
          </w:p>
        </w:tc>
        <w:tc>
          <w:tcPr>
            <w:tcW w:w="2144" w:type="dxa"/>
            <w:tcBorders>
              <w:top w:val="single" w:sz="4" w:space="0" w:color="000000"/>
              <w:left w:val="single" w:sz="4" w:space="0" w:color="000000"/>
              <w:bottom w:val="single" w:sz="4" w:space="0" w:color="000000"/>
            </w:tcBorders>
            <w:shd w:val="clear" w:color="auto" w:fill="auto"/>
          </w:tcPr>
          <w:p w14:paraId="21B8DE18" w14:textId="77777777"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-2456262066</w:t>
            </w:r>
          </w:p>
        </w:tc>
        <w:tc>
          <w:tcPr>
            <w:tcW w:w="2179" w:type="dxa"/>
            <w:tcBorders>
              <w:top w:val="single" w:sz="4" w:space="0" w:color="000000"/>
              <w:left w:val="single" w:sz="4" w:space="0" w:color="000000"/>
              <w:bottom w:val="single" w:sz="4" w:space="0" w:color="000000"/>
            </w:tcBorders>
            <w:shd w:val="clear" w:color="auto" w:fill="auto"/>
          </w:tcPr>
          <w:p w14:paraId="4C2D0DD8" w14:textId="77777777"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-2421687839</w:t>
            </w:r>
          </w:p>
        </w:tc>
        <w:tc>
          <w:tcPr>
            <w:tcW w:w="2617" w:type="dxa"/>
            <w:tcBorders>
              <w:top w:val="single" w:sz="4" w:space="0" w:color="000000"/>
              <w:left w:val="single" w:sz="4" w:space="0" w:color="000000"/>
              <w:bottom w:val="single" w:sz="4" w:space="0" w:color="000000"/>
              <w:right w:val="single" w:sz="4" w:space="0" w:color="000000"/>
            </w:tcBorders>
            <w:shd w:val="clear" w:color="auto" w:fill="auto"/>
          </w:tcPr>
          <w:p w14:paraId="7778EA1D" w14:textId="77777777"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-4877949905</w:t>
            </w:r>
          </w:p>
        </w:tc>
      </w:tr>
      <w:tr w:rsidR="000E0FE8" w:rsidRPr="003B10E2" w14:paraId="5583B926" w14:textId="77777777" w:rsidTr="005D28E0">
        <w:trPr>
          <w:trHeight w:val="301"/>
        </w:trPr>
        <w:tc>
          <w:tcPr>
            <w:tcW w:w="2413" w:type="dxa"/>
            <w:tcBorders>
              <w:top w:val="single" w:sz="4" w:space="0" w:color="000000"/>
              <w:left w:val="single" w:sz="4" w:space="0" w:color="000000"/>
              <w:bottom w:val="single" w:sz="4" w:space="0" w:color="000000"/>
            </w:tcBorders>
            <w:shd w:val="clear" w:color="auto" w:fill="auto"/>
          </w:tcPr>
          <w:p w14:paraId="287AA18D" w14:textId="77777777" w:rsidR="000E0FE8" w:rsidRPr="003B10E2" w:rsidRDefault="000E0FE8" w:rsidP="005D28E0">
            <w:pPr>
              <w:widowControl w:val="0"/>
              <w:spacing w:after="0" w:line="360" w:lineRule="auto"/>
              <w:rPr>
                <w:rFonts w:ascii="Times New Roman" w:hAnsi="Times New Roman"/>
                <w:color w:val="000000"/>
                <w:sz w:val="24"/>
                <w:szCs w:val="24"/>
              </w:rPr>
            </w:pPr>
            <w:r w:rsidRPr="003B10E2">
              <w:rPr>
                <w:rFonts w:ascii="Times New Roman" w:hAnsi="Times New Roman"/>
                <w:color w:val="000000"/>
                <w:sz w:val="24"/>
                <w:szCs w:val="24"/>
              </w:rPr>
              <w:t>Индексный</w:t>
            </w:r>
          </w:p>
        </w:tc>
        <w:tc>
          <w:tcPr>
            <w:tcW w:w="2144" w:type="dxa"/>
            <w:tcBorders>
              <w:top w:val="single" w:sz="4" w:space="0" w:color="000000"/>
              <w:left w:val="single" w:sz="4" w:space="0" w:color="000000"/>
              <w:bottom w:val="single" w:sz="4" w:space="0" w:color="000000"/>
            </w:tcBorders>
            <w:shd w:val="clear" w:color="auto" w:fill="auto"/>
          </w:tcPr>
          <w:p w14:paraId="0394567F" w14:textId="77777777"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-1180821238</w:t>
            </w:r>
          </w:p>
        </w:tc>
        <w:tc>
          <w:tcPr>
            <w:tcW w:w="2179" w:type="dxa"/>
            <w:tcBorders>
              <w:top w:val="single" w:sz="4" w:space="0" w:color="000000"/>
              <w:left w:val="single" w:sz="4" w:space="0" w:color="000000"/>
              <w:bottom w:val="single" w:sz="4" w:space="0" w:color="000000"/>
            </w:tcBorders>
            <w:shd w:val="clear" w:color="auto" w:fill="auto"/>
          </w:tcPr>
          <w:p w14:paraId="6CC7096B" w14:textId="77777777"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w:t>
            </w:r>
          </w:p>
        </w:tc>
        <w:tc>
          <w:tcPr>
            <w:tcW w:w="2617" w:type="dxa"/>
            <w:tcBorders>
              <w:top w:val="single" w:sz="4" w:space="0" w:color="000000"/>
              <w:left w:val="single" w:sz="4" w:space="0" w:color="000000"/>
              <w:bottom w:val="single" w:sz="4" w:space="0" w:color="000000"/>
              <w:right w:val="single" w:sz="4" w:space="0" w:color="000000"/>
            </w:tcBorders>
            <w:shd w:val="clear" w:color="auto" w:fill="auto"/>
          </w:tcPr>
          <w:p w14:paraId="2AC1526C" w14:textId="77777777"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-1180821238</w:t>
            </w:r>
          </w:p>
        </w:tc>
      </w:tr>
      <w:tr w:rsidR="000E0FE8" w:rsidRPr="003B10E2" w14:paraId="471BE3F7" w14:textId="77777777" w:rsidTr="005D28E0">
        <w:trPr>
          <w:trHeight w:val="301"/>
        </w:trPr>
        <w:tc>
          <w:tcPr>
            <w:tcW w:w="2413" w:type="dxa"/>
            <w:tcBorders>
              <w:top w:val="single" w:sz="4" w:space="0" w:color="000000"/>
              <w:left w:val="single" w:sz="4" w:space="0" w:color="000000"/>
              <w:bottom w:val="single" w:sz="4" w:space="0" w:color="000000"/>
            </w:tcBorders>
            <w:shd w:val="clear" w:color="auto" w:fill="auto"/>
          </w:tcPr>
          <w:p w14:paraId="3962BE52" w14:textId="77777777" w:rsidR="000E0FE8" w:rsidRPr="003B10E2" w:rsidRDefault="000E0FE8" w:rsidP="005D28E0">
            <w:pPr>
              <w:widowControl w:val="0"/>
              <w:spacing w:after="0" w:line="360" w:lineRule="auto"/>
              <w:rPr>
                <w:rFonts w:ascii="Times New Roman" w:hAnsi="Times New Roman"/>
                <w:color w:val="000000"/>
                <w:sz w:val="24"/>
                <w:szCs w:val="24"/>
              </w:rPr>
            </w:pPr>
            <w:r w:rsidRPr="003B10E2">
              <w:rPr>
                <w:rFonts w:ascii="Times New Roman" w:hAnsi="Times New Roman"/>
                <w:color w:val="000000"/>
                <w:sz w:val="24"/>
                <w:szCs w:val="24"/>
              </w:rPr>
              <w:t>Денежный</w:t>
            </w:r>
          </w:p>
        </w:tc>
        <w:tc>
          <w:tcPr>
            <w:tcW w:w="2144" w:type="dxa"/>
            <w:tcBorders>
              <w:top w:val="single" w:sz="4" w:space="0" w:color="000000"/>
              <w:left w:val="single" w:sz="4" w:space="0" w:color="000000"/>
              <w:bottom w:val="single" w:sz="4" w:space="0" w:color="000000"/>
            </w:tcBorders>
            <w:shd w:val="clear" w:color="auto" w:fill="auto"/>
          </w:tcPr>
          <w:p w14:paraId="1C2C2FA0" w14:textId="77777777"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-151776611,7</w:t>
            </w:r>
          </w:p>
        </w:tc>
        <w:tc>
          <w:tcPr>
            <w:tcW w:w="2179" w:type="dxa"/>
            <w:tcBorders>
              <w:top w:val="single" w:sz="4" w:space="0" w:color="000000"/>
              <w:left w:val="single" w:sz="4" w:space="0" w:color="000000"/>
              <w:bottom w:val="single" w:sz="4" w:space="0" w:color="000000"/>
            </w:tcBorders>
            <w:shd w:val="clear" w:color="auto" w:fill="auto"/>
          </w:tcPr>
          <w:p w14:paraId="662BCCD0" w14:textId="77777777"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w:t>
            </w:r>
          </w:p>
        </w:tc>
        <w:tc>
          <w:tcPr>
            <w:tcW w:w="2617" w:type="dxa"/>
            <w:tcBorders>
              <w:top w:val="single" w:sz="4" w:space="0" w:color="000000"/>
              <w:left w:val="single" w:sz="4" w:space="0" w:color="000000"/>
              <w:bottom w:val="single" w:sz="4" w:space="0" w:color="000000"/>
              <w:right w:val="single" w:sz="4" w:space="0" w:color="000000"/>
            </w:tcBorders>
            <w:shd w:val="clear" w:color="auto" w:fill="auto"/>
          </w:tcPr>
          <w:p w14:paraId="395D308A" w14:textId="77777777"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-151776611,7</w:t>
            </w:r>
          </w:p>
        </w:tc>
      </w:tr>
      <w:tr w:rsidR="000E0FE8" w:rsidRPr="003B10E2" w14:paraId="7DF19A80" w14:textId="77777777" w:rsidTr="005D28E0">
        <w:trPr>
          <w:trHeight w:val="301"/>
        </w:trPr>
        <w:tc>
          <w:tcPr>
            <w:tcW w:w="2413" w:type="dxa"/>
            <w:tcBorders>
              <w:top w:val="single" w:sz="4" w:space="0" w:color="000000"/>
              <w:left w:val="single" w:sz="4" w:space="0" w:color="000000"/>
              <w:bottom w:val="single" w:sz="4" w:space="0" w:color="000000"/>
            </w:tcBorders>
            <w:shd w:val="clear" w:color="auto" w:fill="auto"/>
          </w:tcPr>
          <w:p w14:paraId="14055FA9" w14:textId="77777777" w:rsidR="000E0FE8" w:rsidRPr="003B10E2" w:rsidRDefault="000E0FE8" w:rsidP="005D28E0">
            <w:pPr>
              <w:widowControl w:val="0"/>
              <w:spacing w:after="0" w:line="360" w:lineRule="auto"/>
              <w:rPr>
                <w:rFonts w:ascii="Times New Roman" w:hAnsi="Times New Roman"/>
                <w:color w:val="000000"/>
                <w:sz w:val="24"/>
                <w:szCs w:val="24"/>
              </w:rPr>
            </w:pPr>
            <w:r w:rsidRPr="003B10E2">
              <w:rPr>
                <w:rFonts w:ascii="Times New Roman" w:hAnsi="Times New Roman"/>
                <w:color w:val="000000"/>
                <w:sz w:val="24"/>
                <w:szCs w:val="24"/>
              </w:rPr>
              <w:t>Фондов</w:t>
            </w:r>
          </w:p>
        </w:tc>
        <w:tc>
          <w:tcPr>
            <w:tcW w:w="2144" w:type="dxa"/>
            <w:tcBorders>
              <w:top w:val="single" w:sz="4" w:space="0" w:color="000000"/>
              <w:left w:val="single" w:sz="4" w:space="0" w:color="000000"/>
              <w:bottom w:val="single" w:sz="4" w:space="0" w:color="000000"/>
            </w:tcBorders>
            <w:shd w:val="clear" w:color="auto" w:fill="auto"/>
          </w:tcPr>
          <w:p w14:paraId="2D33A392" w14:textId="77777777"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1882087712</w:t>
            </w:r>
          </w:p>
        </w:tc>
        <w:tc>
          <w:tcPr>
            <w:tcW w:w="2179" w:type="dxa"/>
            <w:tcBorders>
              <w:top w:val="single" w:sz="4" w:space="0" w:color="000000"/>
              <w:left w:val="single" w:sz="4" w:space="0" w:color="000000"/>
              <w:bottom w:val="single" w:sz="4" w:space="0" w:color="000000"/>
            </w:tcBorders>
            <w:shd w:val="clear" w:color="auto" w:fill="auto"/>
          </w:tcPr>
          <w:p w14:paraId="3116F553" w14:textId="77777777"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28185651,72</w:t>
            </w:r>
          </w:p>
        </w:tc>
        <w:tc>
          <w:tcPr>
            <w:tcW w:w="2617" w:type="dxa"/>
            <w:tcBorders>
              <w:top w:val="single" w:sz="4" w:space="0" w:color="000000"/>
              <w:left w:val="single" w:sz="4" w:space="0" w:color="000000"/>
              <w:bottom w:val="single" w:sz="4" w:space="0" w:color="000000"/>
              <w:right w:val="single" w:sz="4" w:space="0" w:color="000000"/>
            </w:tcBorders>
            <w:shd w:val="clear" w:color="auto" w:fill="auto"/>
          </w:tcPr>
          <w:p w14:paraId="58CE5076" w14:textId="77777777"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1910273364</w:t>
            </w:r>
          </w:p>
        </w:tc>
      </w:tr>
      <w:tr w:rsidR="000E0FE8" w:rsidRPr="003B10E2" w14:paraId="726026BA" w14:textId="77777777" w:rsidTr="005D28E0">
        <w:trPr>
          <w:trHeight w:val="301"/>
        </w:trPr>
        <w:tc>
          <w:tcPr>
            <w:tcW w:w="2413" w:type="dxa"/>
            <w:tcBorders>
              <w:top w:val="single" w:sz="4" w:space="0" w:color="000000"/>
              <w:left w:val="single" w:sz="4" w:space="0" w:color="000000"/>
              <w:bottom w:val="single" w:sz="4" w:space="0" w:color="000000"/>
            </w:tcBorders>
            <w:shd w:val="clear" w:color="auto" w:fill="auto"/>
          </w:tcPr>
          <w:p w14:paraId="38C12653" w14:textId="77777777" w:rsidR="000E0FE8" w:rsidRPr="003B10E2" w:rsidRDefault="000E0FE8" w:rsidP="005D28E0">
            <w:pPr>
              <w:widowControl w:val="0"/>
              <w:spacing w:after="0" w:line="360" w:lineRule="auto"/>
              <w:rPr>
                <w:rFonts w:ascii="Times New Roman" w:hAnsi="Times New Roman"/>
                <w:color w:val="000000"/>
                <w:sz w:val="24"/>
                <w:szCs w:val="24"/>
              </w:rPr>
            </w:pPr>
            <w:r w:rsidRPr="003B10E2">
              <w:rPr>
                <w:rFonts w:ascii="Times New Roman" w:hAnsi="Times New Roman"/>
                <w:color w:val="000000"/>
                <w:sz w:val="24"/>
                <w:szCs w:val="24"/>
              </w:rPr>
              <w:t>Товарного рынка</w:t>
            </w:r>
          </w:p>
        </w:tc>
        <w:tc>
          <w:tcPr>
            <w:tcW w:w="2144" w:type="dxa"/>
            <w:tcBorders>
              <w:top w:val="single" w:sz="4" w:space="0" w:color="000000"/>
              <w:left w:val="single" w:sz="4" w:space="0" w:color="000000"/>
              <w:bottom w:val="single" w:sz="4" w:space="0" w:color="000000"/>
            </w:tcBorders>
            <w:shd w:val="clear" w:color="auto" w:fill="auto"/>
          </w:tcPr>
          <w:p w14:paraId="64E80183" w14:textId="77777777"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w:t>
            </w:r>
          </w:p>
        </w:tc>
        <w:tc>
          <w:tcPr>
            <w:tcW w:w="2179" w:type="dxa"/>
            <w:tcBorders>
              <w:top w:val="single" w:sz="4" w:space="0" w:color="000000"/>
              <w:left w:val="single" w:sz="4" w:space="0" w:color="000000"/>
              <w:bottom w:val="single" w:sz="4" w:space="0" w:color="000000"/>
            </w:tcBorders>
            <w:shd w:val="clear" w:color="auto" w:fill="auto"/>
          </w:tcPr>
          <w:p w14:paraId="338EE3BE" w14:textId="77777777"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-24683677,26</w:t>
            </w:r>
          </w:p>
        </w:tc>
        <w:tc>
          <w:tcPr>
            <w:tcW w:w="2617" w:type="dxa"/>
            <w:tcBorders>
              <w:top w:val="single" w:sz="4" w:space="0" w:color="000000"/>
              <w:left w:val="single" w:sz="4" w:space="0" w:color="000000"/>
              <w:bottom w:val="single" w:sz="4" w:space="0" w:color="000000"/>
              <w:right w:val="single" w:sz="4" w:space="0" w:color="000000"/>
            </w:tcBorders>
            <w:shd w:val="clear" w:color="auto" w:fill="auto"/>
          </w:tcPr>
          <w:p w14:paraId="0BC3D21C" w14:textId="77777777"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-24683677,26</w:t>
            </w:r>
          </w:p>
        </w:tc>
      </w:tr>
      <w:tr w:rsidR="000E0FE8" w:rsidRPr="003B10E2" w14:paraId="364399EA" w14:textId="77777777" w:rsidTr="005D28E0">
        <w:trPr>
          <w:trHeight w:val="301"/>
        </w:trPr>
        <w:tc>
          <w:tcPr>
            <w:tcW w:w="2413" w:type="dxa"/>
            <w:tcBorders>
              <w:top w:val="single" w:sz="4" w:space="0" w:color="000000"/>
              <w:left w:val="single" w:sz="4" w:space="0" w:color="000000"/>
              <w:bottom w:val="single" w:sz="4" w:space="0" w:color="000000"/>
            </w:tcBorders>
            <w:shd w:val="clear" w:color="auto" w:fill="auto"/>
          </w:tcPr>
          <w:p w14:paraId="6DBAB45D" w14:textId="77777777" w:rsidR="000E0FE8" w:rsidRPr="003B10E2" w:rsidRDefault="000E0FE8" w:rsidP="005D28E0">
            <w:pPr>
              <w:widowControl w:val="0"/>
              <w:spacing w:after="0" w:line="360" w:lineRule="auto"/>
              <w:rPr>
                <w:rFonts w:ascii="Times New Roman" w:hAnsi="Times New Roman"/>
                <w:color w:val="000000"/>
                <w:sz w:val="24"/>
                <w:szCs w:val="24"/>
              </w:rPr>
            </w:pPr>
            <w:r w:rsidRPr="003B10E2">
              <w:rPr>
                <w:rFonts w:ascii="Times New Roman" w:hAnsi="Times New Roman"/>
                <w:color w:val="000000"/>
                <w:sz w:val="24"/>
                <w:szCs w:val="24"/>
              </w:rPr>
              <w:t>Всего</w:t>
            </w:r>
          </w:p>
        </w:tc>
        <w:tc>
          <w:tcPr>
            <w:tcW w:w="2144" w:type="dxa"/>
            <w:tcBorders>
              <w:top w:val="single" w:sz="4" w:space="0" w:color="000000"/>
              <w:left w:val="single" w:sz="4" w:space="0" w:color="000000"/>
              <w:bottom w:val="single" w:sz="4" w:space="0" w:color="000000"/>
            </w:tcBorders>
            <w:shd w:val="clear" w:color="auto" w:fill="auto"/>
          </w:tcPr>
          <w:p w14:paraId="2EA64B4C" w14:textId="77777777"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-939767289,9</w:t>
            </w:r>
          </w:p>
        </w:tc>
        <w:tc>
          <w:tcPr>
            <w:tcW w:w="2179" w:type="dxa"/>
            <w:tcBorders>
              <w:top w:val="single" w:sz="4" w:space="0" w:color="000000"/>
              <w:left w:val="single" w:sz="4" w:space="0" w:color="000000"/>
              <w:bottom w:val="single" w:sz="4" w:space="0" w:color="000000"/>
            </w:tcBorders>
            <w:shd w:val="clear" w:color="auto" w:fill="auto"/>
          </w:tcPr>
          <w:p w14:paraId="3CA371A9" w14:textId="77777777"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-3691603814</w:t>
            </w:r>
          </w:p>
        </w:tc>
        <w:tc>
          <w:tcPr>
            <w:tcW w:w="2617" w:type="dxa"/>
            <w:tcBorders>
              <w:top w:val="single" w:sz="4" w:space="0" w:color="000000"/>
              <w:left w:val="single" w:sz="4" w:space="0" w:color="000000"/>
              <w:bottom w:val="single" w:sz="4" w:space="0" w:color="000000"/>
              <w:right w:val="single" w:sz="4" w:space="0" w:color="000000"/>
            </w:tcBorders>
            <w:shd w:val="clear" w:color="auto" w:fill="auto"/>
          </w:tcPr>
          <w:p w14:paraId="654C2C12" w14:textId="77777777"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-4631371104</w:t>
            </w:r>
          </w:p>
        </w:tc>
      </w:tr>
    </w:tbl>
    <w:p w14:paraId="5A7464A6" w14:textId="77777777" w:rsidR="000E0FE8" w:rsidRPr="003B10E2" w:rsidRDefault="000E0FE8" w:rsidP="000E0FE8">
      <w:pPr>
        <w:spacing w:after="0" w:line="360" w:lineRule="auto"/>
      </w:pPr>
      <w:r w:rsidRPr="003B10E2">
        <w:rPr>
          <w:rFonts w:ascii="Times New Roman" w:hAnsi="Times New Roman"/>
          <w:color w:val="000000"/>
          <w:sz w:val="24"/>
          <w:szCs w:val="24"/>
        </w:rPr>
        <w:t>Источник: Национальная лига управляющих,</w:t>
      </w:r>
      <w:r w:rsidRPr="003B10E2">
        <w:t xml:space="preserve"> </w:t>
      </w:r>
      <w:r w:rsidRPr="003B10E2">
        <w:rPr>
          <w:rFonts w:ascii="Times New Roman" w:hAnsi="Times New Roman"/>
          <w:color w:val="000000"/>
          <w:sz w:val="24"/>
          <w:szCs w:val="24"/>
        </w:rPr>
        <w:t>Thomson Reuters.</w:t>
      </w:r>
    </w:p>
    <w:p w14:paraId="3E460873" w14:textId="77777777" w:rsidR="000E0FE8" w:rsidRPr="003B10E2" w:rsidRDefault="000E0FE8" w:rsidP="000E0FE8">
      <w:pPr>
        <w:spacing w:after="0" w:line="360" w:lineRule="auto"/>
        <w:ind w:firstLine="851"/>
        <w:jc w:val="both"/>
        <w:rPr>
          <w:rFonts w:ascii="Times New Roman" w:hAnsi="Times New Roman"/>
          <w:color w:val="000000"/>
          <w:sz w:val="28"/>
          <w:szCs w:val="28"/>
        </w:rPr>
      </w:pPr>
    </w:p>
    <w:p w14:paraId="1FBEFCF2"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последнее время стала прогрессировать тенденция по возврату в российские юрисдикции институциональных инвесторов, что говорит об улучшении инвестиционного климата. </w:t>
      </w:r>
    </w:p>
    <w:p w14:paraId="7CFA893B"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2012 г. постоянно нагнеталась обстановка, связанная с развитием европейского долгового кризиса, увеличением дефицита бюджета США, что вызвало бы инфраструктурные проблемы и проблемы регулирования курса российской валюты. Наиболее успешные участники инвестиционного рынка — ETF-фонды, которые используют современные механизмы аллокации активов. Традиционные фонды более не выглядят предпочтительными, и сегодня таких вложений инвесторы сторонятся, так как эти участники рынка не зарабатывают дополнительной прибыли инвесторам и берут высокие комиссии за управление.</w:t>
      </w:r>
    </w:p>
    <w:p w14:paraId="326F9AEA"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Тенденция оттока самих фондов с российского рынка продолжается. </w:t>
      </w:r>
      <w:r w:rsidRPr="003B10E2">
        <w:rPr>
          <w:rFonts w:ascii="Times New Roman" w:hAnsi="Times New Roman"/>
          <w:color w:val="000000"/>
          <w:sz w:val="28"/>
          <w:szCs w:val="28"/>
          <w:lang w:eastAsia="ar-SA"/>
        </w:rPr>
        <w:t>Таким образом, текущее состояние рынка институциональных инвесторов в 2017 г. в России находилось на довольно неплохом уровне по сравнению с инвестиционными фондами других стран, при этом вступление России в ВТО может нести в себе определенные риски [260]. Для этого вначале требуется рассмотреть типологию инвесторов институциональных инвесторов в целом.</w:t>
      </w:r>
      <w:r w:rsidRPr="003B10E2">
        <w:rPr>
          <w:rFonts w:ascii="Times New Roman" w:hAnsi="Times New Roman"/>
          <w:color w:val="000000"/>
          <w:sz w:val="28"/>
          <w:szCs w:val="28"/>
        </w:rPr>
        <w:t xml:space="preserve"> Доходы инвестиционных фондов стабильно сохраняются в течение многолетних периодов времени [262]. Более того, поведение потребителя и управляющего фондами играет большую роль в объяснении этих долгосрочных моделей поведения, потому что индивидуальные инвесторы вкладывают значительные средства в выигрышные фонды прошлого года. </w:t>
      </w:r>
    </w:p>
    <w:p w14:paraId="7E96CDDC"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Поперечные регрессии указывают на то, что доходность инвестиционных фондов связана с притоком средств, а не с прошлыми показателями, ставя под сомнение предыдущие выводы о влиянии управленческого таланта менеджера в аллокации активов. Стратегия подражания успешным инвестиционным фондам доказывает свою эффективность. Несколько миллионов частных лиц в настоящее время имеют инвестиции в российские паевые фонды. В то время как часть индивидуальных инвесторов верят в достоинства активного управления в целом, другая часть придерживаются еще более сильных убеждений относительно пассивных стратегий. Среди активно управляемых фондов есть те, кто может опережать рынок в течение длительного периода времени [168]. </w:t>
      </w:r>
    </w:p>
    <w:p w14:paraId="7A645C5E"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Успешные менеджеры по большей части используют свои новые средства, чтобы купить более крупные объемы активов. Таким образом, интересно, что успешные менеджеры также демонстрируют эффект распоряжения. Они продолжают непропорционально инвестировать новые денежные средства в те же самые активы в течение второго и третьего года. Однако, следует отметить, что эти постоянные притоки также оказывают негативное влияние на чистый доход. Тем не менее результаты свидетельствуют о том, что постоянная доходность может быть связана с денежными потоками [228].</w:t>
      </w:r>
    </w:p>
    <w:p w14:paraId="77386E44"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Модель поведения инвестиционного фонда можно оценить при помощи следующих показателей:</w:t>
      </w:r>
    </w:p>
    <w:p w14:paraId="4AEB2B1A"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1) Средневзвешенная доходность активов, находящихся в настоящее время в портфеле. </w:t>
      </w:r>
    </w:p>
    <w:p w14:paraId="3AE15CC9"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2) Средневзвешенная доходность портфелей управления, имеющих те же характеристики [248].</w:t>
      </w:r>
    </w:p>
    <w:p w14:paraId="72B16AC6"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3) Временные ряды средней доходности портфелей, имеющих те же характеристики [240].</w:t>
      </w:r>
    </w:p>
    <w:p w14:paraId="1B5A3361"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4) Операционные расходы, понесенные фондом.</w:t>
      </w:r>
    </w:p>
    <w:p w14:paraId="6E71D70B"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5) Соотношение расходов к доходности [140].</w:t>
      </w:r>
    </w:p>
    <w:p w14:paraId="2053B3CA"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6) Превышение чистой доходности инвестиционного фонда над бенчмарком.</w:t>
      </w:r>
    </w:p>
    <w:p w14:paraId="46250A59" w14:textId="77777777" w:rsidR="000E0FE8" w:rsidRPr="003B10E2" w:rsidRDefault="000E0FE8" w:rsidP="00B13660">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Важно оценить затраты на содержание инвестиционного фонда в течение каждого квартала. Данные о соотношении расходов и чистой прибыли получены непосредственно из базы данных </w:t>
      </w:r>
      <w:r w:rsidRPr="003B10E2">
        <w:rPr>
          <w:rFonts w:ascii="Times New Roman" w:hAnsi="Times New Roman"/>
          <w:color w:val="000000"/>
          <w:sz w:val="28"/>
          <w:szCs w:val="28"/>
          <w:lang w:val="en-US"/>
        </w:rPr>
        <w:t>Thomson</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Reuters</w:t>
      </w:r>
      <w:r w:rsidRPr="003B10E2">
        <w:rPr>
          <w:rFonts w:ascii="Times New Roman" w:hAnsi="Times New Roman"/>
          <w:color w:val="000000"/>
          <w:sz w:val="28"/>
          <w:szCs w:val="28"/>
        </w:rPr>
        <w:t xml:space="preserve"> [149].</w:t>
      </w:r>
    </w:p>
    <w:p w14:paraId="160ADA7E"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Фонды с более высоким уровнем оборачиваемости активов обычно генерируют более экстремальные доходности (как положительные, так и отрицательные) в течение календарного года. Большинство российских фондов используют импульс для добавления новых акций в портфель, важно, чтобы фонды победители реализовывали эти стратегии в большем объеме, чем фонды-проигравшие. Дальнейшее понимание поведения фондов достигается, глядя на большие различия в потоках денежных средств фондов-победителей текущего года и прошлых лет. Следует отметить, что прирост активов в портфеле за предыдущие года обеспечивают буфер, так что такие фонды обычно покупают больше активов, чем продают, даже при отсутствии притока. Таким образом, выводы указывают на два различных аспекта поведения российских инвестиционных фондов, которые объясняют эффективность аллокации активов. Во-первых, увеличение долей растущих бумаг в структуре портфеля во время импульса роста рынка в целом. Во-вторых, выбор момента времени для изменения структуры портфеля фонда. Средние денежные потоки в российские фонды распределяются между победителями и проигравшими и по-прежнему и составляют 2-4% процента в год в течение первых четырех лет после года рейтинга. Потребительские потоки к победителям остаются гораздо выше, чем потоки к проигравшим за этот четырехлетний период. Появляется сильный эффект репутации среди выигравших и проигравших фондов. </w:t>
      </w:r>
    </w:p>
    <w:p w14:paraId="396CC54D"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Фонды-победители превосходят фонды-проигравшие лишь на несколько процентов в год в течение 3-4 лет, следующих за периодом оценки [159]. Это свидетельствует о том, что талантливые менеджеры сосредоточены в фондах роста [153]. Менеджер фонда часто покупает наиболее выигрышные акции прошлого года, но в небольших количествах (пропорционально общей стоимости портфеля). Таким образом, успешные фонды имеют возможность для более высокого уровня вариативности поведения при покупке новых активов в портфель или увеличении текущих долей. </w:t>
      </w:r>
    </w:p>
    <w:p w14:paraId="1CD9F749"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результате управляющие успешными фондами чаще остальных меняют свое поведение в течение текущего или следующего года после демонстрации высоких показателей доходности [150]. Постоянные денежные потоки в успешные фонды в течение четырех лет после попадания в лучшие 5% фондов показывают, что инвесторы привлекаются в результате эффекта репутации, который сохраняется долгое время после повышенной доходности [250]. </w:t>
      </w:r>
    </w:p>
    <w:p w14:paraId="70F07CF7"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Сохранение притока средств в фонды, ориентированные на рост, свидетельствует о том, что цены на доходные активы обычно будут расти в течение нескольких лет. Активы, приобретаемые фондами, влияют на потоки средств в эти фонды. Часто менеджеры фонда держат активы за пределами фонда в период, когда контрольные показатели не выполняются. Активы, приобретенные за счет средств 5 % лучших фондов, обычно растут в цене в результате большого притока денежных средств. Таким образом, покупка новой позиции актива менеджером выигрышного фонда, скорее всего, является гораздо более сильным сигналом, чем добавление больших объемов актива к уже существующей позиции [257].</w:t>
      </w:r>
    </w:p>
    <w:p w14:paraId="54F6FA94"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Выигравшие фонды демонстрируют сильные показатели эффективности в будущих инвестиционных решениях. Тем не менее по-прежнему остается неясным, влияет ли талант менеджера на цены акций [252]. Доходность российских фондов зависит в большей степени от денежных потоков крупнейших фондов, что ставит под сомнение некоторые предварительные исследования о таланте менеджеров. Важно отметить, что нам удалось выяснить, что менеджеры фондов не обладают постоянными навыками аллокации активов.</w:t>
      </w:r>
    </w:p>
    <w:p w14:paraId="21F7DA82"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Чистая доходность паевых инвестиционных фондов весьма предсказуема. Инвестиции в рост в активы с наибольшей чистой доходностью за предыдущий год, это стратегия, которая позволяет зарабатывать примерно на 2-3% выше по сравнению с первым годом после рейтингования. </w:t>
      </w:r>
    </w:p>
    <w:p w14:paraId="3C865F6E"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Кроме того, денежные потоки в фонды-победители со стороны инвесторов сильны и стабильны. Приток наиболее высок для инвестиционных фондов с лучшими прошлыми показателями, которые уменьшают долю активов этих фондов. Однако этот эффект заключается в том, что менеджеры этих лучших по доходности фондов в конечном итоге инвестируют новые потоки средств в акции с высокими ожидаемыми доходностями [133]. По крайней мере, часть роста доходности обусловлена поведением топ-менеджеров, покупающих дополнительные акции с высокой доходностью в прошлом году. Большие денежные поступления позволяют высокопроизводительным фондам увеличить доходность, пассивно держа активы на импульсе роста. Этот импульс роста цены актива в основном происходит в связи с поведением выигрышных фондов. Постоянство доходности российских паевых фондов (под управлением управляющих компаний Сбербанка, ВТБ) может быть объяснено как следствие привычки с высокой доходностью прошлых лет. </w:t>
      </w:r>
    </w:p>
    <w:p w14:paraId="0A07CD44" w14:textId="77777777" w:rsidR="000E0FE8" w:rsidRPr="003B10E2" w:rsidRDefault="000E0FE8" w:rsidP="000E0FE8">
      <w:pPr>
        <w:spacing w:after="0" w:line="360" w:lineRule="auto"/>
        <w:ind w:firstLine="851"/>
        <w:jc w:val="both"/>
        <w:rPr>
          <w:color w:val="000000"/>
        </w:rPr>
      </w:pPr>
      <w:r w:rsidRPr="003B10E2">
        <w:rPr>
          <w:rFonts w:ascii="Times New Roman" w:hAnsi="Times New Roman"/>
          <w:color w:val="000000"/>
          <w:sz w:val="28"/>
          <w:szCs w:val="28"/>
        </w:rPr>
        <w:t>Многолетняя стабильность некоторых фондов обеспечивается сохранением входящих потоков в течение нескольких лет. Таким образом, ожидания инвесторов в некоторой степени реализуются [163].</w:t>
      </w:r>
      <w:r w:rsidRPr="003B10E2">
        <w:rPr>
          <w:color w:val="000000"/>
        </w:rPr>
        <w:t xml:space="preserve"> </w:t>
      </w:r>
      <w:r w:rsidRPr="003B10E2">
        <w:rPr>
          <w:rFonts w:ascii="Times New Roman" w:hAnsi="Times New Roman"/>
          <w:color w:val="000000"/>
          <w:sz w:val="28"/>
          <w:szCs w:val="28"/>
        </w:rPr>
        <w:t xml:space="preserve">До недавнего времени большинство научных исследований рассматривали паевые инвестиционные фонды как самостоятельные субъекты без учета того факта, что они обычно являются частью крупных структур. Недостатки этого представления становятся очевидными, когда фонды принимают стратегические решения с далеко идущими последствиями для деятельности [168]. Правильное поведение менеджера фонда дает способность контролировать торговые издержки и позволяет фондам использовать больше возможностей. </w:t>
      </w:r>
    </w:p>
    <w:p w14:paraId="685A560F"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Например, оценка торговых издержек паевого фонда колеблется от 0,28% до 2,65%. Таким образом, можно было бы ожидать приток средств в более эффективные стратегии, чтобы иметь возможность торговать больше. Используя данные российских паевых фондов акций за период с 2012 по 2021 гг., видна поддержка гипотезы о том, что эффективность торговли паевыми инвестиционными фондами имеет положительное влияние на результативность всех фондов-членов единой структуры. ПИФы под управлением Сбербанка, ВТБ и Альфа-Банка на всем периоде исследования опережают индекс </w:t>
      </w:r>
      <w:r w:rsidRPr="003B10E2">
        <w:rPr>
          <w:rFonts w:ascii="Times New Roman" w:hAnsi="Times New Roman"/>
          <w:color w:val="000000"/>
          <w:sz w:val="28"/>
          <w:szCs w:val="28"/>
          <w:lang w:val="en-US"/>
        </w:rPr>
        <w:t>MICEX</w:t>
      </w:r>
      <w:r w:rsidRPr="003B10E2">
        <w:rPr>
          <w:rFonts w:ascii="Times New Roman" w:hAnsi="Times New Roman"/>
          <w:color w:val="000000"/>
          <w:sz w:val="28"/>
          <w:szCs w:val="28"/>
        </w:rPr>
        <w:t xml:space="preserve"> по доходности, что можно считать основным критерием эффективности [97]. Структуры фондов Сбербанка имеют 5 ПИФов, ВТБ — 6 ПИФов, Альфа-Банк — 4 ПИФа в этом перечне. ПИФы Альфа-Банка не значительно опережают фондовый индекс российского рынка акций (в среднем на 0,5-0,7% годовых). Более эффективная торговля позволяет аффилированным лицам получать большие доходы и держать меньше ликвидных портфелей. Идея заключается в том, что эффективные менеджеры помогают фондам обойти инвестиционные ограничения, связанные с торговыми издержками [87].  Средства, принадлежащие структурам с более эффективными менеджерами, оборачиваются быстрее. Средний портфельный оборот средств из наиболее эффективных структур составляет на шесть процентных пунктов выше, чем у средств с наименее эффективных структур. Они также держат меньше ликвидных портфелей. </w:t>
      </w:r>
    </w:p>
    <w:p w14:paraId="6CA46BAB"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Можно утверждать, что структура организации фондов, а не деятельность в качестве самостоятельных субъектов позволяет взаимным фондам эксплуатировать экономику путем распределения их операционных расходов по различным фондам. </w:t>
      </w:r>
    </w:p>
    <w:p w14:paraId="7AC36060"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Эффективные структуры фондов значительно превосходят по объему активов средства менее неэффективных структур. Разница является статистически значимой во всех случаях на уровне 9%. Это согласуется с мнением о том, что структуры фондов могут обеспечить снижение затрат на обслуживание за счет эксплуатации эффективных торговых десков. Это говорит о том, что разрыв в доходах между более эффективными и менее эффективными российскими фондами акций измеряет не только незаслуженные действия управляющих фондами, но и их ненаблюдаемые торговые издержки [253]. </w:t>
      </w:r>
    </w:p>
    <w:p w14:paraId="34553A63"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Негативный эффект оборачиваемости фонда обусловлен тем, что оборачиваемость портфеля вызывает торговые издержки, которые вредят производительности [283]. </w:t>
      </w:r>
    </w:p>
    <w:p w14:paraId="44ADB704"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Средства, принадлежащие семьям фондов с эффективными торговыми площадками, демонстрируют более высокие обороты. Годовой коэффициент оборачиваемости фонда, определяемый как минимальный объем покупок и продаж активов за год, деленный на средний общий объем активов под управлением в течение календарного года. Менее ликвидные активы связаны с более высокими торговыми издержками, а также с более высокой средней доходностью. Так как средства семей с эффективными торговыми десками способны заключать сделки по более низким ценам, то финансовая теория предполагает, что эти средства должны содержать меньше ликвидных портфелей [243-246].</w:t>
      </w:r>
    </w:p>
    <w:p w14:paraId="5752E021"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Крупным структурам нужно держать меньше наличных. Результаты деятельности показывают, что на все реализуемые модели поведения эффективность менеджера негативно соотносится с долей активов в денежных средствах. Наличное хранение денежных средств в фондах из наиболее эффективных семей примерно 0,5 процентных пункта ниже, чем в фондах из наименее эффективных семей. Это большая разница, учитывая, что фонды в среднем в течение анализируемого периода держат только около 2% своих активов в виде денежных средств.</w:t>
      </w:r>
    </w:p>
    <w:p w14:paraId="216D3D5D"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Основной вывод заключается в том, что эффективные фонды держат менее ликвидные активы. Разница в ликвидности статистически значима во всех случаях как минимум на уровне 5%. Выгода от снижения торговых издержек позволяет фондам иметь больше возможностей среди при покупке неликвидных активов с более высокой потенциальной доходностью.</w:t>
      </w:r>
    </w:p>
    <w:p w14:paraId="76D7D76C" w14:textId="77777777" w:rsidR="000E0FE8" w:rsidRPr="003B10E2" w:rsidRDefault="000E0FE8" w:rsidP="00B13660">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Внедрение меры эффективности торговли, позволяющей проводить содержательные сравнения между паевыми фондами, важно. Ключевая особенность моделей поведения российских фондов акций — это уровень операционных издержек. Именно уровень издержек оказывает наиболее существенное влияние на чистую доходность инвестирования.</w:t>
      </w:r>
      <w:bookmarkStart w:id="118" w:name="_Toc497226935"/>
      <w:bookmarkStart w:id="119" w:name="_Toc497227212"/>
      <w:bookmarkStart w:id="120" w:name="_Toc497237393"/>
      <w:bookmarkStart w:id="121" w:name="_Toc500085737"/>
      <w:bookmarkStart w:id="122" w:name="_Toc502763382"/>
      <w:bookmarkStart w:id="123" w:name="_Toc503179455"/>
      <w:bookmarkStart w:id="124" w:name="_Toc497226936"/>
      <w:bookmarkStart w:id="125" w:name="_Toc497227213"/>
      <w:bookmarkStart w:id="126" w:name="_Toc497237394"/>
      <w:bookmarkStart w:id="127" w:name="_Toc500085738"/>
      <w:bookmarkStart w:id="128" w:name="_Toc502763383"/>
      <w:bookmarkStart w:id="129" w:name="_Toc503179456"/>
      <w:bookmarkStart w:id="130" w:name="_Toc523499829"/>
      <w:bookmarkEnd w:id="118"/>
      <w:bookmarkEnd w:id="119"/>
      <w:bookmarkEnd w:id="120"/>
      <w:bookmarkEnd w:id="121"/>
      <w:bookmarkEnd w:id="122"/>
      <w:bookmarkEnd w:id="123"/>
    </w:p>
    <w:p w14:paraId="517044BE"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Волатильность денежных потоков глобальных инвесторов ниже в социально ответственных фондах, чем обычных фондах. Исследования, касающихся социальной ответственности инвестирования, на сегодняшний день сосредоточены исключительно на том, есть ли разница между производительностью социально ответственных фондов и обычных фондов [196-199]. </w:t>
      </w:r>
    </w:p>
    <w:p w14:paraId="5B0A0643" w14:textId="77777777" w:rsidR="000E0FE8" w:rsidRPr="003B10E2" w:rsidRDefault="000E0FE8" w:rsidP="000E0FE8">
      <w:pPr>
        <w:spacing w:after="0" w:line="240" w:lineRule="auto"/>
        <w:jc w:val="both"/>
        <w:rPr>
          <w:rFonts w:ascii="Times New Roman" w:hAnsi="Times New Roman"/>
          <w:color w:val="000000"/>
          <w:sz w:val="28"/>
          <w:szCs w:val="28"/>
        </w:rPr>
      </w:pPr>
    </w:p>
    <w:p w14:paraId="2A9F1EFE" w14:textId="77777777" w:rsidR="000E0FE8" w:rsidRPr="003B10E2" w:rsidRDefault="000E0FE8" w:rsidP="000E0FE8">
      <w:pPr>
        <w:spacing w:after="0" w:line="240" w:lineRule="auto"/>
        <w:rPr>
          <w:rFonts w:ascii="Times New Roman" w:hAnsi="Times New Roman"/>
          <w:color w:val="000000"/>
          <w:sz w:val="24"/>
          <w:szCs w:val="24"/>
        </w:rPr>
      </w:pPr>
      <w:r w:rsidRPr="003B10E2">
        <w:rPr>
          <w:rFonts w:ascii="Times New Roman" w:hAnsi="Times New Roman"/>
          <w:color w:val="000000"/>
          <w:sz w:val="24"/>
          <w:szCs w:val="24"/>
        </w:rPr>
        <w:t xml:space="preserve">Таблица </w:t>
      </w:r>
      <w:r w:rsidR="00294A94" w:rsidRPr="003B10E2">
        <w:rPr>
          <w:rFonts w:ascii="Times New Roman" w:hAnsi="Times New Roman"/>
          <w:color w:val="000000"/>
          <w:sz w:val="24"/>
          <w:szCs w:val="24"/>
        </w:rPr>
        <w:t>7</w:t>
      </w:r>
      <w:r w:rsidRPr="003B10E2">
        <w:rPr>
          <w:rFonts w:ascii="Times New Roman" w:hAnsi="Times New Roman"/>
          <w:color w:val="000000"/>
          <w:sz w:val="24"/>
          <w:szCs w:val="24"/>
        </w:rPr>
        <w:t xml:space="preserve"> – Российские компании с высоким уровнем социальной ответственности</w:t>
      </w:r>
    </w:p>
    <w:p w14:paraId="3574CA45" w14:textId="77777777" w:rsidR="000E0FE8" w:rsidRPr="003B10E2" w:rsidRDefault="000E0FE8" w:rsidP="000E0FE8">
      <w:pPr>
        <w:spacing w:after="0" w:line="240" w:lineRule="auto"/>
        <w:rPr>
          <w:rFonts w:ascii="Times New Roman" w:hAnsi="Times New Roman"/>
          <w:color w:val="000000"/>
          <w:sz w:val="24"/>
          <w:szCs w:val="24"/>
        </w:rPr>
      </w:pPr>
    </w:p>
    <w:tbl>
      <w:tblPr>
        <w:tblpPr w:leftFromText="180" w:rightFromText="180" w:vertAnchor="text" w:tblpX="1" w:tblpY="1"/>
        <w:tblW w:w="9346" w:type="dxa"/>
        <w:tblLayout w:type="fixed"/>
        <w:tblLook w:val="04A0" w:firstRow="1" w:lastRow="0" w:firstColumn="1" w:lastColumn="0" w:noHBand="0" w:noVBand="1"/>
      </w:tblPr>
      <w:tblGrid>
        <w:gridCol w:w="5235"/>
        <w:gridCol w:w="2126"/>
        <w:gridCol w:w="1985"/>
      </w:tblGrid>
      <w:tr w:rsidR="000E0FE8" w:rsidRPr="003B10E2" w14:paraId="098C4298" w14:textId="77777777" w:rsidTr="005D28E0">
        <w:trPr>
          <w:trHeight w:val="521"/>
        </w:trPr>
        <w:tc>
          <w:tcPr>
            <w:tcW w:w="5235" w:type="dxa"/>
            <w:tcBorders>
              <w:top w:val="single" w:sz="8" w:space="0" w:color="000000"/>
              <w:left w:val="single" w:sz="8" w:space="0" w:color="000000"/>
              <w:bottom w:val="double" w:sz="4" w:space="0" w:color="000000"/>
              <w:right w:val="single" w:sz="8" w:space="0" w:color="000000"/>
            </w:tcBorders>
            <w:shd w:val="clear" w:color="auto" w:fill="auto"/>
            <w:vAlign w:val="center"/>
          </w:tcPr>
          <w:p w14:paraId="5C80844B" w14:textId="77777777"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eastAsia="en-US"/>
              </w:rPr>
            </w:pPr>
            <w:r w:rsidRPr="003B10E2">
              <w:rPr>
                <w:rFonts w:ascii="Times New Roman" w:eastAsia="Times New Roman" w:hAnsi="Times New Roman"/>
                <w:bCs/>
                <w:iCs/>
                <w:color w:val="000000"/>
                <w:sz w:val="24"/>
                <w:szCs w:val="24"/>
                <w:lang w:eastAsia="en-US"/>
              </w:rPr>
              <w:t>Уровень социальной ответственности</w:t>
            </w:r>
          </w:p>
        </w:tc>
        <w:tc>
          <w:tcPr>
            <w:tcW w:w="2126" w:type="dxa"/>
            <w:tcBorders>
              <w:top w:val="single" w:sz="8" w:space="0" w:color="000000"/>
              <w:bottom w:val="double" w:sz="4" w:space="0" w:color="000000"/>
              <w:right w:val="single" w:sz="8" w:space="0" w:color="000000"/>
            </w:tcBorders>
            <w:shd w:val="clear" w:color="auto" w:fill="auto"/>
            <w:vAlign w:val="center"/>
          </w:tcPr>
          <w:p w14:paraId="4960192C" w14:textId="77777777"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eastAsia="en-US"/>
              </w:rPr>
            </w:pPr>
            <w:r w:rsidRPr="003B10E2">
              <w:rPr>
                <w:rFonts w:ascii="Times New Roman" w:eastAsia="Times New Roman" w:hAnsi="Times New Roman"/>
                <w:bCs/>
                <w:iCs/>
                <w:color w:val="000000"/>
                <w:sz w:val="24"/>
                <w:szCs w:val="24"/>
                <w:lang w:eastAsia="en-US"/>
              </w:rPr>
              <w:t>Ранг</w:t>
            </w:r>
          </w:p>
        </w:tc>
        <w:tc>
          <w:tcPr>
            <w:tcW w:w="1985" w:type="dxa"/>
            <w:tcBorders>
              <w:top w:val="single" w:sz="8" w:space="0" w:color="000000"/>
              <w:bottom w:val="double" w:sz="4" w:space="0" w:color="000000"/>
              <w:right w:val="single" w:sz="8" w:space="0" w:color="000000"/>
            </w:tcBorders>
            <w:shd w:val="clear" w:color="auto" w:fill="auto"/>
            <w:vAlign w:val="center"/>
          </w:tcPr>
          <w:p w14:paraId="06B2845B" w14:textId="77777777"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eastAsia="en-US"/>
              </w:rPr>
            </w:pPr>
            <w:r w:rsidRPr="003B10E2">
              <w:rPr>
                <w:rFonts w:ascii="Times New Roman" w:eastAsia="Times New Roman" w:hAnsi="Times New Roman"/>
                <w:bCs/>
                <w:iCs/>
                <w:color w:val="000000"/>
                <w:sz w:val="24"/>
                <w:szCs w:val="24"/>
                <w:lang w:eastAsia="en-US"/>
              </w:rPr>
              <w:t>Балл</w:t>
            </w:r>
          </w:p>
        </w:tc>
      </w:tr>
      <w:tr w:rsidR="000E0FE8" w:rsidRPr="003B10E2" w14:paraId="0CE11A6F" w14:textId="77777777" w:rsidTr="005D28E0">
        <w:trPr>
          <w:trHeight w:val="422"/>
        </w:trPr>
        <w:tc>
          <w:tcPr>
            <w:tcW w:w="5235" w:type="dxa"/>
            <w:tcBorders>
              <w:top w:val="double" w:sz="4" w:space="0" w:color="000000"/>
              <w:left w:val="single" w:sz="8" w:space="0" w:color="000000"/>
              <w:bottom w:val="single" w:sz="8" w:space="0" w:color="000000"/>
              <w:right w:val="single" w:sz="8" w:space="0" w:color="000000"/>
            </w:tcBorders>
            <w:shd w:val="clear" w:color="auto" w:fill="auto"/>
            <w:vAlign w:val="center"/>
          </w:tcPr>
          <w:p w14:paraId="64E38926" w14:textId="77777777" w:rsidR="000E0FE8" w:rsidRPr="003B10E2" w:rsidRDefault="000E0FE8" w:rsidP="005D28E0">
            <w:pPr>
              <w:widowControl w:val="0"/>
              <w:spacing w:after="0" w:line="240" w:lineRule="auto"/>
              <w:jc w:val="both"/>
              <w:rPr>
                <w:rFonts w:ascii="Times New Roman" w:eastAsia="Times New Roman" w:hAnsi="Times New Roman"/>
                <w:bCs/>
                <w:iCs/>
                <w:color w:val="000000"/>
                <w:sz w:val="24"/>
                <w:szCs w:val="24"/>
                <w:lang w:eastAsia="en-US"/>
              </w:rPr>
            </w:pPr>
            <w:r w:rsidRPr="003B10E2">
              <w:rPr>
                <w:rFonts w:ascii="Times New Roman" w:eastAsia="Times New Roman" w:hAnsi="Times New Roman"/>
                <w:bCs/>
                <w:iCs/>
                <w:color w:val="000000"/>
                <w:sz w:val="24"/>
                <w:szCs w:val="24"/>
                <w:lang w:eastAsia="en-US"/>
              </w:rPr>
              <w:t>«Газпром»</w:t>
            </w:r>
          </w:p>
        </w:tc>
        <w:tc>
          <w:tcPr>
            <w:tcW w:w="2126" w:type="dxa"/>
            <w:tcBorders>
              <w:top w:val="double" w:sz="4" w:space="0" w:color="000000"/>
              <w:bottom w:val="single" w:sz="8" w:space="0" w:color="000000"/>
              <w:right w:val="single" w:sz="8" w:space="0" w:color="000000"/>
            </w:tcBorders>
            <w:shd w:val="clear" w:color="auto" w:fill="auto"/>
            <w:vAlign w:val="center"/>
          </w:tcPr>
          <w:p w14:paraId="08115F09" w14:textId="77777777"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eastAsia="en-US"/>
              </w:rPr>
            </w:pPr>
            <w:r w:rsidRPr="003B10E2">
              <w:rPr>
                <w:rFonts w:ascii="Times New Roman" w:eastAsia="Times New Roman" w:hAnsi="Times New Roman"/>
                <w:bCs/>
                <w:iCs/>
                <w:color w:val="000000"/>
                <w:sz w:val="24"/>
                <w:szCs w:val="24"/>
                <w:lang w:eastAsia="en-US"/>
              </w:rPr>
              <w:t>1</w:t>
            </w:r>
          </w:p>
        </w:tc>
        <w:tc>
          <w:tcPr>
            <w:tcW w:w="1985" w:type="dxa"/>
            <w:tcBorders>
              <w:top w:val="double" w:sz="4" w:space="0" w:color="000000"/>
              <w:bottom w:val="single" w:sz="8" w:space="0" w:color="000000"/>
              <w:right w:val="single" w:sz="8" w:space="0" w:color="000000"/>
            </w:tcBorders>
            <w:shd w:val="clear" w:color="auto" w:fill="auto"/>
            <w:vAlign w:val="center"/>
          </w:tcPr>
          <w:p w14:paraId="1D7782C9" w14:textId="77777777"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eastAsia="en-US"/>
              </w:rPr>
            </w:pPr>
            <w:r w:rsidRPr="003B10E2">
              <w:rPr>
                <w:rFonts w:ascii="Times New Roman" w:eastAsia="Times New Roman" w:hAnsi="Times New Roman"/>
                <w:bCs/>
                <w:iCs/>
                <w:color w:val="000000"/>
                <w:sz w:val="24"/>
                <w:szCs w:val="24"/>
                <w:lang w:eastAsia="en-US"/>
              </w:rPr>
              <w:t>9,67</w:t>
            </w:r>
          </w:p>
        </w:tc>
      </w:tr>
      <w:tr w:rsidR="000E0FE8" w:rsidRPr="003B10E2" w14:paraId="38531604" w14:textId="77777777" w:rsidTr="005D28E0">
        <w:trPr>
          <w:trHeight w:val="298"/>
        </w:trPr>
        <w:tc>
          <w:tcPr>
            <w:tcW w:w="5235" w:type="dxa"/>
            <w:tcBorders>
              <w:left w:val="single" w:sz="8" w:space="0" w:color="000000"/>
              <w:bottom w:val="single" w:sz="8" w:space="0" w:color="000000"/>
              <w:right w:val="single" w:sz="8" w:space="0" w:color="000000"/>
            </w:tcBorders>
            <w:shd w:val="clear" w:color="auto" w:fill="auto"/>
            <w:vAlign w:val="center"/>
          </w:tcPr>
          <w:p w14:paraId="32BFDDC1" w14:textId="77777777" w:rsidR="000E0FE8" w:rsidRPr="003B10E2" w:rsidRDefault="000E0FE8" w:rsidP="005D28E0">
            <w:pPr>
              <w:widowControl w:val="0"/>
              <w:spacing w:after="0" w:line="240" w:lineRule="auto"/>
              <w:jc w:val="both"/>
              <w:rPr>
                <w:rFonts w:ascii="Times New Roman" w:eastAsia="Times New Roman" w:hAnsi="Times New Roman"/>
                <w:bCs/>
                <w:iCs/>
                <w:color w:val="000000"/>
                <w:sz w:val="24"/>
                <w:szCs w:val="24"/>
                <w:lang w:eastAsia="en-US"/>
              </w:rPr>
            </w:pPr>
            <w:r w:rsidRPr="003B10E2">
              <w:rPr>
                <w:rFonts w:ascii="Times New Roman" w:eastAsia="Times New Roman" w:hAnsi="Times New Roman"/>
                <w:bCs/>
                <w:iCs/>
                <w:color w:val="000000"/>
                <w:sz w:val="24"/>
                <w:szCs w:val="24"/>
                <w:lang w:eastAsia="en-US"/>
              </w:rPr>
              <w:t>«Алроса»</w:t>
            </w:r>
          </w:p>
        </w:tc>
        <w:tc>
          <w:tcPr>
            <w:tcW w:w="2126" w:type="dxa"/>
            <w:tcBorders>
              <w:bottom w:val="single" w:sz="8" w:space="0" w:color="000000"/>
              <w:right w:val="single" w:sz="8" w:space="0" w:color="000000"/>
            </w:tcBorders>
            <w:shd w:val="clear" w:color="auto" w:fill="auto"/>
            <w:vAlign w:val="center"/>
          </w:tcPr>
          <w:p w14:paraId="05AB0F42" w14:textId="77777777"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eastAsia="en-US"/>
              </w:rPr>
            </w:pPr>
            <w:r w:rsidRPr="003B10E2">
              <w:rPr>
                <w:rFonts w:ascii="Times New Roman" w:eastAsia="Times New Roman" w:hAnsi="Times New Roman"/>
                <w:bCs/>
                <w:iCs/>
                <w:color w:val="000000"/>
                <w:sz w:val="24"/>
                <w:szCs w:val="24"/>
                <w:lang w:eastAsia="en-US"/>
              </w:rPr>
              <w:t>2</w:t>
            </w:r>
          </w:p>
        </w:tc>
        <w:tc>
          <w:tcPr>
            <w:tcW w:w="1985" w:type="dxa"/>
            <w:tcBorders>
              <w:bottom w:val="single" w:sz="8" w:space="0" w:color="000000"/>
              <w:right w:val="single" w:sz="8" w:space="0" w:color="000000"/>
            </w:tcBorders>
            <w:shd w:val="clear" w:color="auto" w:fill="auto"/>
            <w:vAlign w:val="center"/>
          </w:tcPr>
          <w:p w14:paraId="0E74F7CC" w14:textId="77777777"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eastAsia="en-US"/>
              </w:rPr>
            </w:pPr>
            <w:r w:rsidRPr="003B10E2">
              <w:rPr>
                <w:rFonts w:ascii="Times New Roman" w:eastAsia="Times New Roman" w:hAnsi="Times New Roman"/>
                <w:bCs/>
                <w:iCs/>
                <w:color w:val="000000"/>
                <w:sz w:val="24"/>
                <w:szCs w:val="24"/>
                <w:lang w:eastAsia="en-US"/>
              </w:rPr>
              <w:t>9,40</w:t>
            </w:r>
          </w:p>
        </w:tc>
      </w:tr>
      <w:tr w:rsidR="000E0FE8" w:rsidRPr="003B10E2" w14:paraId="56C4BEB1" w14:textId="77777777" w:rsidTr="005D28E0">
        <w:trPr>
          <w:trHeight w:val="372"/>
        </w:trPr>
        <w:tc>
          <w:tcPr>
            <w:tcW w:w="5235" w:type="dxa"/>
            <w:tcBorders>
              <w:left w:val="single" w:sz="8" w:space="0" w:color="000000"/>
              <w:bottom w:val="single" w:sz="8" w:space="0" w:color="000000"/>
              <w:right w:val="single" w:sz="8" w:space="0" w:color="000000"/>
            </w:tcBorders>
            <w:shd w:val="clear" w:color="auto" w:fill="auto"/>
            <w:vAlign w:val="center"/>
          </w:tcPr>
          <w:p w14:paraId="6680672D" w14:textId="77777777" w:rsidR="000E0FE8" w:rsidRPr="003B10E2" w:rsidRDefault="000E0FE8" w:rsidP="005D28E0">
            <w:pPr>
              <w:widowControl w:val="0"/>
              <w:spacing w:after="0" w:line="240" w:lineRule="auto"/>
              <w:jc w:val="both"/>
              <w:rPr>
                <w:rFonts w:ascii="Times New Roman" w:eastAsia="Times New Roman" w:hAnsi="Times New Roman"/>
                <w:bCs/>
                <w:iCs/>
                <w:color w:val="000000"/>
                <w:sz w:val="24"/>
                <w:szCs w:val="24"/>
                <w:lang w:eastAsia="en-US"/>
              </w:rPr>
            </w:pPr>
            <w:r w:rsidRPr="003B10E2">
              <w:rPr>
                <w:rFonts w:ascii="Times New Roman" w:eastAsia="Times New Roman" w:hAnsi="Times New Roman"/>
                <w:bCs/>
                <w:iCs/>
                <w:color w:val="000000"/>
                <w:sz w:val="24"/>
                <w:szCs w:val="24"/>
                <w:lang w:eastAsia="en-US"/>
              </w:rPr>
              <w:t>«ЛУКОЙЛ»</w:t>
            </w:r>
          </w:p>
        </w:tc>
        <w:tc>
          <w:tcPr>
            <w:tcW w:w="2126" w:type="dxa"/>
            <w:tcBorders>
              <w:bottom w:val="single" w:sz="8" w:space="0" w:color="000000"/>
              <w:right w:val="single" w:sz="8" w:space="0" w:color="000000"/>
            </w:tcBorders>
            <w:shd w:val="clear" w:color="auto" w:fill="auto"/>
            <w:vAlign w:val="center"/>
          </w:tcPr>
          <w:p w14:paraId="67030D60" w14:textId="77777777"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eastAsia="en-US"/>
              </w:rPr>
            </w:pPr>
            <w:r w:rsidRPr="003B10E2">
              <w:rPr>
                <w:rFonts w:ascii="Times New Roman" w:eastAsia="Times New Roman" w:hAnsi="Times New Roman"/>
                <w:bCs/>
                <w:iCs/>
                <w:color w:val="000000"/>
                <w:sz w:val="24"/>
                <w:szCs w:val="24"/>
                <w:lang w:eastAsia="en-US"/>
              </w:rPr>
              <w:t>3</w:t>
            </w:r>
          </w:p>
        </w:tc>
        <w:tc>
          <w:tcPr>
            <w:tcW w:w="1985" w:type="dxa"/>
            <w:tcBorders>
              <w:bottom w:val="single" w:sz="8" w:space="0" w:color="000000"/>
              <w:right w:val="single" w:sz="8" w:space="0" w:color="000000"/>
            </w:tcBorders>
            <w:shd w:val="clear" w:color="auto" w:fill="auto"/>
            <w:vAlign w:val="center"/>
          </w:tcPr>
          <w:p w14:paraId="7B250885" w14:textId="77777777"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eastAsia="en-US"/>
              </w:rPr>
            </w:pPr>
            <w:r w:rsidRPr="003B10E2">
              <w:rPr>
                <w:rFonts w:ascii="Times New Roman" w:eastAsia="Times New Roman" w:hAnsi="Times New Roman"/>
                <w:bCs/>
                <w:iCs/>
                <w:color w:val="000000"/>
                <w:sz w:val="24"/>
                <w:szCs w:val="24"/>
                <w:lang w:eastAsia="en-US"/>
              </w:rPr>
              <w:t>9,33</w:t>
            </w:r>
          </w:p>
        </w:tc>
      </w:tr>
      <w:tr w:rsidR="000E0FE8" w:rsidRPr="003B10E2" w14:paraId="7BF7BD37" w14:textId="77777777" w:rsidTr="005D28E0">
        <w:trPr>
          <w:trHeight w:val="392"/>
        </w:trPr>
        <w:tc>
          <w:tcPr>
            <w:tcW w:w="5235" w:type="dxa"/>
            <w:tcBorders>
              <w:left w:val="single" w:sz="8" w:space="0" w:color="000000"/>
              <w:bottom w:val="single" w:sz="8" w:space="0" w:color="000000"/>
              <w:right w:val="single" w:sz="8" w:space="0" w:color="000000"/>
            </w:tcBorders>
            <w:shd w:val="clear" w:color="auto" w:fill="auto"/>
            <w:vAlign w:val="center"/>
          </w:tcPr>
          <w:p w14:paraId="54D46730" w14:textId="77777777" w:rsidR="000E0FE8" w:rsidRPr="003B10E2" w:rsidRDefault="000E0FE8" w:rsidP="005D28E0">
            <w:pPr>
              <w:widowControl w:val="0"/>
              <w:spacing w:after="0" w:line="240" w:lineRule="auto"/>
              <w:jc w:val="both"/>
              <w:rPr>
                <w:rFonts w:ascii="Times New Roman" w:eastAsia="Times New Roman" w:hAnsi="Times New Roman"/>
                <w:bCs/>
                <w:iCs/>
                <w:color w:val="000000"/>
                <w:sz w:val="24"/>
                <w:szCs w:val="24"/>
                <w:lang w:eastAsia="en-US"/>
              </w:rPr>
            </w:pPr>
            <w:r w:rsidRPr="003B10E2">
              <w:rPr>
                <w:rFonts w:ascii="Times New Roman" w:eastAsia="Times New Roman" w:hAnsi="Times New Roman"/>
                <w:bCs/>
                <w:iCs/>
                <w:color w:val="000000"/>
                <w:sz w:val="24"/>
                <w:szCs w:val="24"/>
                <w:lang w:eastAsia="en-US"/>
              </w:rPr>
              <w:t>«Транснефть»</w:t>
            </w:r>
          </w:p>
        </w:tc>
        <w:tc>
          <w:tcPr>
            <w:tcW w:w="2126" w:type="dxa"/>
            <w:tcBorders>
              <w:bottom w:val="single" w:sz="8" w:space="0" w:color="000000"/>
              <w:right w:val="single" w:sz="8" w:space="0" w:color="000000"/>
            </w:tcBorders>
            <w:shd w:val="clear" w:color="auto" w:fill="auto"/>
            <w:vAlign w:val="center"/>
          </w:tcPr>
          <w:p w14:paraId="738782F0" w14:textId="77777777"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eastAsia="en-US"/>
              </w:rPr>
            </w:pPr>
            <w:r w:rsidRPr="003B10E2">
              <w:rPr>
                <w:rFonts w:ascii="Times New Roman" w:eastAsia="Times New Roman" w:hAnsi="Times New Roman"/>
                <w:bCs/>
                <w:iCs/>
                <w:color w:val="000000"/>
                <w:sz w:val="24"/>
                <w:szCs w:val="24"/>
                <w:lang w:eastAsia="en-US"/>
              </w:rPr>
              <w:t>4</w:t>
            </w:r>
          </w:p>
        </w:tc>
        <w:tc>
          <w:tcPr>
            <w:tcW w:w="1985" w:type="dxa"/>
            <w:tcBorders>
              <w:bottom w:val="single" w:sz="8" w:space="0" w:color="000000"/>
              <w:right w:val="single" w:sz="8" w:space="0" w:color="000000"/>
            </w:tcBorders>
            <w:shd w:val="clear" w:color="auto" w:fill="auto"/>
            <w:vAlign w:val="center"/>
          </w:tcPr>
          <w:p w14:paraId="30B71D9C" w14:textId="77777777"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eastAsia="en-US"/>
              </w:rPr>
            </w:pPr>
            <w:r w:rsidRPr="003B10E2">
              <w:rPr>
                <w:rFonts w:ascii="Times New Roman" w:eastAsia="Times New Roman" w:hAnsi="Times New Roman"/>
                <w:bCs/>
                <w:iCs/>
                <w:color w:val="000000"/>
                <w:sz w:val="24"/>
                <w:szCs w:val="24"/>
                <w:lang w:eastAsia="en-US"/>
              </w:rPr>
              <w:t>9,15</w:t>
            </w:r>
          </w:p>
        </w:tc>
      </w:tr>
      <w:tr w:rsidR="000E0FE8" w:rsidRPr="003B10E2" w14:paraId="2EEACA6F" w14:textId="77777777" w:rsidTr="005D28E0">
        <w:trPr>
          <w:trHeight w:val="396"/>
        </w:trPr>
        <w:tc>
          <w:tcPr>
            <w:tcW w:w="5235" w:type="dxa"/>
            <w:tcBorders>
              <w:left w:val="single" w:sz="8" w:space="0" w:color="000000"/>
              <w:bottom w:val="single" w:sz="8" w:space="0" w:color="000000"/>
              <w:right w:val="single" w:sz="8" w:space="0" w:color="000000"/>
            </w:tcBorders>
            <w:shd w:val="clear" w:color="auto" w:fill="auto"/>
            <w:vAlign w:val="center"/>
          </w:tcPr>
          <w:p w14:paraId="6A22D51F" w14:textId="77777777" w:rsidR="000E0FE8" w:rsidRPr="003B10E2" w:rsidRDefault="000E0FE8" w:rsidP="005D28E0">
            <w:pPr>
              <w:widowControl w:val="0"/>
              <w:spacing w:after="0" w:line="240" w:lineRule="auto"/>
              <w:jc w:val="both"/>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«Северсталь»</w:t>
            </w:r>
          </w:p>
        </w:tc>
        <w:tc>
          <w:tcPr>
            <w:tcW w:w="2126" w:type="dxa"/>
            <w:tcBorders>
              <w:bottom w:val="single" w:sz="8" w:space="0" w:color="000000"/>
              <w:right w:val="single" w:sz="8" w:space="0" w:color="000000"/>
            </w:tcBorders>
            <w:shd w:val="clear" w:color="auto" w:fill="auto"/>
            <w:vAlign w:val="center"/>
          </w:tcPr>
          <w:p w14:paraId="55570710" w14:textId="77777777"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5</w:t>
            </w:r>
          </w:p>
        </w:tc>
        <w:tc>
          <w:tcPr>
            <w:tcW w:w="1985" w:type="dxa"/>
            <w:tcBorders>
              <w:bottom w:val="single" w:sz="8" w:space="0" w:color="000000"/>
              <w:right w:val="single" w:sz="8" w:space="0" w:color="000000"/>
            </w:tcBorders>
            <w:shd w:val="clear" w:color="auto" w:fill="auto"/>
            <w:vAlign w:val="center"/>
          </w:tcPr>
          <w:p w14:paraId="06B6D3DF" w14:textId="77777777"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9,00</w:t>
            </w:r>
          </w:p>
        </w:tc>
      </w:tr>
      <w:tr w:rsidR="000E0FE8" w:rsidRPr="003B10E2" w14:paraId="3F0C697D" w14:textId="77777777" w:rsidTr="005D28E0">
        <w:trPr>
          <w:trHeight w:val="414"/>
        </w:trPr>
        <w:tc>
          <w:tcPr>
            <w:tcW w:w="5235" w:type="dxa"/>
            <w:tcBorders>
              <w:left w:val="single" w:sz="8" w:space="0" w:color="000000"/>
              <w:bottom w:val="single" w:sz="8" w:space="0" w:color="000000"/>
              <w:right w:val="single" w:sz="8" w:space="0" w:color="000000"/>
            </w:tcBorders>
            <w:shd w:val="clear" w:color="auto" w:fill="auto"/>
            <w:vAlign w:val="center"/>
          </w:tcPr>
          <w:p w14:paraId="0064D58D" w14:textId="77777777" w:rsidR="000E0FE8" w:rsidRPr="003B10E2" w:rsidRDefault="000E0FE8" w:rsidP="005D28E0">
            <w:pPr>
              <w:widowControl w:val="0"/>
              <w:spacing w:after="0" w:line="240" w:lineRule="auto"/>
              <w:jc w:val="both"/>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«Металлоинвест»</w:t>
            </w:r>
          </w:p>
        </w:tc>
        <w:tc>
          <w:tcPr>
            <w:tcW w:w="2126" w:type="dxa"/>
            <w:tcBorders>
              <w:bottom w:val="single" w:sz="8" w:space="0" w:color="000000"/>
              <w:right w:val="single" w:sz="8" w:space="0" w:color="000000"/>
            </w:tcBorders>
            <w:shd w:val="clear" w:color="auto" w:fill="auto"/>
            <w:vAlign w:val="center"/>
          </w:tcPr>
          <w:p w14:paraId="376131CE" w14:textId="77777777"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6</w:t>
            </w:r>
          </w:p>
        </w:tc>
        <w:tc>
          <w:tcPr>
            <w:tcW w:w="1985" w:type="dxa"/>
            <w:tcBorders>
              <w:bottom w:val="single" w:sz="8" w:space="0" w:color="000000"/>
              <w:right w:val="single" w:sz="8" w:space="0" w:color="000000"/>
            </w:tcBorders>
            <w:shd w:val="clear" w:color="auto" w:fill="auto"/>
            <w:vAlign w:val="center"/>
          </w:tcPr>
          <w:p w14:paraId="26C06C6D" w14:textId="77777777"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8,56</w:t>
            </w:r>
          </w:p>
        </w:tc>
      </w:tr>
      <w:tr w:rsidR="000E0FE8" w:rsidRPr="003B10E2" w14:paraId="125C358B" w14:textId="77777777" w:rsidTr="005D28E0">
        <w:trPr>
          <w:trHeight w:val="410"/>
        </w:trPr>
        <w:tc>
          <w:tcPr>
            <w:tcW w:w="5235" w:type="dxa"/>
            <w:tcBorders>
              <w:left w:val="single" w:sz="8" w:space="0" w:color="000000"/>
              <w:bottom w:val="single" w:sz="8" w:space="0" w:color="000000"/>
              <w:right w:val="single" w:sz="8" w:space="0" w:color="000000"/>
            </w:tcBorders>
            <w:shd w:val="clear" w:color="auto" w:fill="auto"/>
            <w:vAlign w:val="center"/>
          </w:tcPr>
          <w:p w14:paraId="5A37BCB8" w14:textId="77777777" w:rsidR="000E0FE8" w:rsidRPr="003B10E2" w:rsidRDefault="000E0FE8" w:rsidP="005D28E0">
            <w:pPr>
              <w:widowControl w:val="0"/>
              <w:spacing w:after="0" w:line="240" w:lineRule="auto"/>
              <w:jc w:val="both"/>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«СОГАЗ»</w:t>
            </w:r>
          </w:p>
        </w:tc>
        <w:tc>
          <w:tcPr>
            <w:tcW w:w="2126" w:type="dxa"/>
            <w:tcBorders>
              <w:bottom w:val="single" w:sz="8" w:space="0" w:color="000000"/>
              <w:right w:val="single" w:sz="8" w:space="0" w:color="000000"/>
            </w:tcBorders>
            <w:shd w:val="clear" w:color="auto" w:fill="auto"/>
            <w:vAlign w:val="center"/>
          </w:tcPr>
          <w:p w14:paraId="274FD6A8" w14:textId="77777777"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7</w:t>
            </w:r>
          </w:p>
        </w:tc>
        <w:tc>
          <w:tcPr>
            <w:tcW w:w="1985" w:type="dxa"/>
            <w:tcBorders>
              <w:bottom w:val="single" w:sz="8" w:space="0" w:color="000000"/>
              <w:right w:val="single" w:sz="8" w:space="0" w:color="000000"/>
            </w:tcBorders>
            <w:shd w:val="clear" w:color="auto" w:fill="auto"/>
            <w:vAlign w:val="center"/>
          </w:tcPr>
          <w:p w14:paraId="3CEAAF84" w14:textId="77777777"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8,50</w:t>
            </w:r>
          </w:p>
        </w:tc>
      </w:tr>
      <w:tr w:rsidR="000E0FE8" w:rsidRPr="003B10E2" w14:paraId="00045F11" w14:textId="77777777" w:rsidTr="005D28E0">
        <w:trPr>
          <w:trHeight w:val="281"/>
        </w:trPr>
        <w:tc>
          <w:tcPr>
            <w:tcW w:w="5235" w:type="dxa"/>
            <w:tcBorders>
              <w:left w:val="single" w:sz="8" w:space="0" w:color="000000"/>
              <w:bottom w:val="single" w:sz="8" w:space="0" w:color="000000"/>
              <w:right w:val="single" w:sz="8" w:space="0" w:color="000000"/>
            </w:tcBorders>
            <w:shd w:val="clear" w:color="auto" w:fill="auto"/>
            <w:vAlign w:val="center"/>
          </w:tcPr>
          <w:p w14:paraId="767EE01F" w14:textId="77777777" w:rsidR="000E0FE8" w:rsidRPr="003B10E2" w:rsidRDefault="000E0FE8" w:rsidP="005D28E0">
            <w:pPr>
              <w:widowControl w:val="0"/>
              <w:spacing w:after="0" w:line="240" w:lineRule="auto"/>
              <w:jc w:val="both"/>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«ВТБ»</w:t>
            </w:r>
          </w:p>
        </w:tc>
        <w:tc>
          <w:tcPr>
            <w:tcW w:w="2126" w:type="dxa"/>
            <w:tcBorders>
              <w:bottom w:val="single" w:sz="8" w:space="0" w:color="000000"/>
              <w:right w:val="single" w:sz="8" w:space="0" w:color="000000"/>
            </w:tcBorders>
            <w:shd w:val="clear" w:color="auto" w:fill="auto"/>
            <w:vAlign w:val="center"/>
          </w:tcPr>
          <w:p w14:paraId="7C69022A" w14:textId="77777777"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8</w:t>
            </w:r>
          </w:p>
        </w:tc>
        <w:tc>
          <w:tcPr>
            <w:tcW w:w="1985" w:type="dxa"/>
            <w:tcBorders>
              <w:bottom w:val="single" w:sz="8" w:space="0" w:color="000000"/>
              <w:right w:val="single" w:sz="8" w:space="0" w:color="000000"/>
            </w:tcBorders>
            <w:shd w:val="clear" w:color="auto" w:fill="auto"/>
            <w:vAlign w:val="center"/>
          </w:tcPr>
          <w:p w14:paraId="6384FDAA" w14:textId="77777777"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8,45</w:t>
            </w:r>
          </w:p>
        </w:tc>
      </w:tr>
      <w:tr w:rsidR="000E0FE8" w:rsidRPr="003B10E2" w14:paraId="7AE21C6B" w14:textId="77777777" w:rsidTr="005D28E0">
        <w:trPr>
          <w:trHeight w:val="360"/>
        </w:trPr>
        <w:tc>
          <w:tcPr>
            <w:tcW w:w="5235" w:type="dxa"/>
            <w:tcBorders>
              <w:left w:val="single" w:sz="8" w:space="0" w:color="000000"/>
              <w:bottom w:val="single" w:sz="8" w:space="0" w:color="000000"/>
              <w:right w:val="single" w:sz="8" w:space="0" w:color="000000"/>
            </w:tcBorders>
            <w:shd w:val="clear" w:color="auto" w:fill="auto"/>
            <w:vAlign w:val="center"/>
          </w:tcPr>
          <w:p w14:paraId="42BFCFC4" w14:textId="77777777" w:rsidR="000E0FE8" w:rsidRPr="003B10E2" w:rsidRDefault="000E0FE8" w:rsidP="005D28E0">
            <w:pPr>
              <w:widowControl w:val="0"/>
              <w:spacing w:after="0" w:line="240" w:lineRule="auto"/>
              <w:jc w:val="both"/>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«Ростех»</w:t>
            </w:r>
          </w:p>
        </w:tc>
        <w:tc>
          <w:tcPr>
            <w:tcW w:w="2126" w:type="dxa"/>
            <w:tcBorders>
              <w:bottom w:val="single" w:sz="8" w:space="0" w:color="000000"/>
              <w:right w:val="single" w:sz="8" w:space="0" w:color="000000"/>
            </w:tcBorders>
            <w:shd w:val="clear" w:color="auto" w:fill="auto"/>
            <w:vAlign w:val="center"/>
          </w:tcPr>
          <w:p w14:paraId="53925BB5" w14:textId="77777777"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9</w:t>
            </w:r>
          </w:p>
        </w:tc>
        <w:tc>
          <w:tcPr>
            <w:tcW w:w="1985" w:type="dxa"/>
            <w:tcBorders>
              <w:bottom w:val="single" w:sz="8" w:space="0" w:color="000000"/>
              <w:right w:val="single" w:sz="8" w:space="0" w:color="000000"/>
            </w:tcBorders>
            <w:shd w:val="clear" w:color="auto" w:fill="auto"/>
            <w:vAlign w:val="center"/>
          </w:tcPr>
          <w:p w14:paraId="30D51DB9" w14:textId="77777777"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8,40</w:t>
            </w:r>
          </w:p>
        </w:tc>
      </w:tr>
      <w:tr w:rsidR="000E0FE8" w:rsidRPr="003B10E2" w14:paraId="2320A73B" w14:textId="77777777" w:rsidTr="005D28E0">
        <w:trPr>
          <w:trHeight w:val="382"/>
        </w:trPr>
        <w:tc>
          <w:tcPr>
            <w:tcW w:w="5235" w:type="dxa"/>
            <w:tcBorders>
              <w:left w:val="single" w:sz="8" w:space="0" w:color="000000"/>
              <w:bottom w:val="single" w:sz="8" w:space="0" w:color="000000"/>
              <w:right w:val="single" w:sz="8" w:space="0" w:color="000000"/>
            </w:tcBorders>
            <w:shd w:val="clear" w:color="auto" w:fill="auto"/>
            <w:vAlign w:val="center"/>
          </w:tcPr>
          <w:p w14:paraId="4F692962" w14:textId="77777777" w:rsidR="000E0FE8" w:rsidRPr="003B10E2" w:rsidRDefault="000E0FE8" w:rsidP="005D28E0">
            <w:pPr>
              <w:widowControl w:val="0"/>
              <w:spacing w:after="0" w:line="240" w:lineRule="auto"/>
              <w:jc w:val="both"/>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«НоваТЭК»</w:t>
            </w:r>
          </w:p>
        </w:tc>
        <w:tc>
          <w:tcPr>
            <w:tcW w:w="2126" w:type="dxa"/>
            <w:tcBorders>
              <w:bottom w:val="single" w:sz="8" w:space="0" w:color="000000"/>
              <w:right w:val="single" w:sz="8" w:space="0" w:color="000000"/>
            </w:tcBorders>
            <w:shd w:val="clear" w:color="auto" w:fill="auto"/>
            <w:vAlign w:val="center"/>
          </w:tcPr>
          <w:p w14:paraId="10657FD4" w14:textId="77777777"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10</w:t>
            </w:r>
          </w:p>
        </w:tc>
        <w:tc>
          <w:tcPr>
            <w:tcW w:w="1985" w:type="dxa"/>
            <w:tcBorders>
              <w:bottom w:val="single" w:sz="8" w:space="0" w:color="000000"/>
              <w:right w:val="single" w:sz="8" w:space="0" w:color="000000"/>
            </w:tcBorders>
            <w:shd w:val="clear" w:color="auto" w:fill="auto"/>
            <w:vAlign w:val="center"/>
          </w:tcPr>
          <w:p w14:paraId="20E598B9" w14:textId="77777777"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8,33</w:t>
            </w:r>
          </w:p>
        </w:tc>
      </w:tr>
      <w:tr w:rsidR="000E0FE8" w:rsidRPr="003B10E2" w14:paraId="26F9C544" w14:textId="77777777" w:rsidTr="005D28E0">
        <w:trPr>
          <w:trHeight w:val="418"/>
        </w:trPr>
        <w:tc>
          <w:tcPr>
            <w:tcW w:w="5235" w:type="dxa"/>
            <w:tcBorders>
              <w:left w:val="single" w:sz="8" w:space="0" w:color="000000"/>
              <w:bottom w:val="single" w:sz="8" w:space="0" w:color="000000"/>
              <w:right w:val="single" w:sz="8" w:space="0" w:color="000000"/>
            </w:tcBorders>
            <w:shd w:val="clear" w:color="auto" w:fill="auto"/>
            <w:vAlign w:val="center"/>
          </w:tcPr>
          <w:p w14:paraId="36BC5ADA" w14:textId="77777777" w:rsidR="000E0FE8" w:rsidRPr="003B10E2" w:rsidRDefault="000E0FE8" w:rsidP="005D28E0">
            <w:pPr>
              <w:widowControl w:val="0"/>
              <w:spacing w:after="0" w:line="240" w:lineRule="auto"/>
              <w:jc w:val="both"/>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«Росатом»</w:t>
            </w:r>
          </w:p>
        </w:tc>
        <w:tc>
          <w:tcPr>
            <w:tcW w:w="2126" w:type="dxa"/>
            <w:tcBorders>
              <w:bottom w:val="single" w:sz="8" w:space="0" w:color="000000"/>
              <w:right w:val="single" w:sz="8" w:space="0" w:color="000000"/>
            </w:tcBorders>
            <w:shd w:val="clear" w:color="auto" w:fill="auto"/>
            <w:vAlign w:val="center"/>
          </w:tcPr>
          <w:p w14:paraId="72F61D8E" w14:textId="77777777"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11</w:t>
            </w:r>
          </w:p>
        </w:tc>
        <w:tc>
          <w:tcPr>
            <w:tcW w:w="1985" w:type="dxa"/>
            <w:tcBorders>
              <w:bottom w:val="single" w:sz="8" w:space="0" w:color="000000"/>
              <w:right w:val="single" w:sz="8" w:space="0" w:color="000000"/>
            </w:tcBorders>
            <w:shd w:val="clear" w:color="auto" w:fill="auto"/>
            <w:vAlign w:val="center"/>
          </w:tcPr>
          <w:p w14:paraId="66D8D1E9" w14:textId="77777777"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8,21</w:t>
            </w:r>
          </w:p>
        </w:tc>
      </w:tr>
      <w:tr w:rsidR="000E0FE8" w:rsidRPr="003B10E2" w14:paraId="4BF53259" w14:textId="77777777" w:rsidTr="005D28E0">
        <w:trPr>
          <w:trHeight w:val="440"/>
        </w:trPr>
        <w:tc>
          <w:tcPr>
            <w:tcW w:w="5235" w:type="dxa"/>
            <w:tcBorders>
              <w:left w:val="single" w:sz="8" w:space="0" w:color="000000"/>
              <w:bottom w:val="single" w:sz="8" w:space="0" w:color="000000"/>
              <w:right w:val="single" w:sz="8" w:space="0" w:color="000000"/>
            </w:tcBorders>
            <w:shd w:val="clear" w:color="auto" w:fill="auto"/>
            <w:vAlign w:val="center"/>
          </w:tcPr>
          <w:p w14:paraId="57119193" w14:textId="77777777" w:rsidR="000E0FE8" w:rsidRPr="003B10E2" w:rsidRDefault="000E0FE8" w:rsidP="005D28E0">
            <w:pPr>
              <w:widowControl w:val="0"/>
              <w:spacing w:after="0" w:line="240" w:lineRule="auto"/>
              <w:jc w:val="both"/>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«Аэрофлот»</w:t>
            </w:r>
          </w:p>
        </w:tc>
        <w:tc>
          <w:tcPr>
            <w:tcW w:w="2126" w:type="dxa"/>
            <w:tcBorders>
              <w:bottom w:val="single" w:sz="8" w:space="0" w:color="000000"/>
              <w:right w:val="single" w:sz="8" w:space="0" w:color="000000"/>
            </w:tcBorders>
            <w:shd w:val="clear" w:color="auto" w:fill="auto"/>
            <w:vAlign w:val="center"/>
          </w:tcPr>
          <w:p w14:paraId="580AA65E" w14:textId="77777777"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12</w:t>
            </w:r>
          </w:p>
        </w:tc>
        <w:tc>
          <w:tcPr>
            <w:tcW w:w="1985" w:type="dxa"/>
            <w:tcBorders>
              <w:bottom w:val="single" w:sz="8" w:space="0" w:color="000000"/>
              <w:right w:val="single" w:sz="8" w:space="0" w:color="000000"/>
            </w:tcBorders>
            <w:shd w:val="clear" w:color="auto" w:fill="auto"/>
            <w:vAlign w:val="center"/>
          </w:tcPr>
          <w:p w14:paraId="2B9D488E" w14:textId="77777777"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8,00</w:t>
            </w:r>
          </w:p>
        </w:tc>
      </w:tr>
      <w:tr w:rsidR="000E0FE8" w:rsidRPr="003B10E2" w14:paraId="76BCFE08" w14:textId="77777777" w:rsidTr="005D28E0">
        <w:trPr>
          <w:trHeight w:val="281"/>
        </w:trPr>
        <w:tc>
          <w:tcPr>
            <w:tcW w:w="5235" w:type="dxa"/>
            <w:tcBorders>
              <w:left w:val="single" w:sz="8" w:space="0" w:color="000000"/>
              <w:bottom w:val="single" w:sz="8" w:space="0" w:color="000000"/>
              <w:right w:val="single" w:sz="8" w:space="0" w:color="000000"/>
            </w:tcBorders>
            <w:shd w:val="clear" w:color="auto" w:fill="auto"/>
            <w:vAlign w:val="center"/>
          </w:tcPr>
          <w:p w14:paraId="1899541B" w14:textId="77777777" w:rsidR="000E0FE8" w:rsidRPr="003B10E2" w:rsidRDefault="000E0FE8" w:rsidP="005D28E0">
            <w:pPr>
              <w:widowControl w:val="0"/>
              <w:spacing w:after="0" w:line="240" w:lineRule="auto"/>
              <w:jc w:val="both"/>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РЖД</w:t>
            </w:r>
          </w:p>
        </w:tc>
        <w:tc>
          <w:tcPr>
            <w:tcW w:w="2126" w:type="dxa"/>
            <w:tcBorders>
              <w:bottom w:val="single" w:sz="8" w:space="0" w:color="000000"/>
              <w:right w:val="single" w:sz="8" w:space="0" w:color="000000"/>
            </w:tcBorders>
            <w:shd w:val="clear" w:color="auto" w:fill="auto"/>
            <w:vAlign w:val="center"/>
          </w:tcPr>
          <w:p w14:paraId="4D3C4622" w14:textId="77777777"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13</w:t>
            </w:r>
          </w:p>
        </w:tc>
        <w:tc>
          <w:tcPr>
            <w:tcW w:w="1985" w:type="dxa"/>
            <w:tcBorders>
              <w:bottom w:val="single" w:sz="8" w:space="0" w:color="000000"/>
              <w:right w:val="single" w:sz="8" w:space="0" w:color="000000"/>
            </w:tcBorders>
            <w:shd w:val="clear" w:color="auto" w:fill="auto"/>
            <w:vAlign w:val="center"/>
          </w:tcPr>
          <w:p w14:paraId="1C5B5448" w14:textId="77777777"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7,95</w:t>
            </w:r>
          </w:p>
        </w:tc>
      </w:tr>
      <w:tr w:rsidR="000E0FE8" w:rsidRPr="003B10E2" w14:paraId="6FEF4406" w14:textId="77777777" w:rsidTr="005D28E0">
        <w:trPr>
          <w:trHeight w:val="309"/>
        </w:trPr>
        <w:tc>
          <w:tcPr>
            <w:tcW w:w="5235" w:type="dxa"/>
            <w:tcBorders>
              <w:left w:val="single" w:sz="8" w:space="0" w:color="000000"/>
              <w:bottom w:val="single" w:sz="8" w:space="0" w:color="000000"/>
              <w:right w:val="single" w:sz="8" w:space="0" w:color="000000"/>
            </w:tcBorders>
            <w:shd w:val="clear" w:color="auto" w:fill="auto"/>
            <w:vAlign w:val="center"/>
          </w:tcPr>
          <w:p w14:paraId="4B6A7BBB" w14:textId="77777777" w:rsidR="000E0FE8" w:rsidRPr="003B10E2" w:rsidRDefault="000E0FE8" w:rsidP="005D28E0">
            <w:pPr>
              <w:widowControl w:val="0"/>
              <w:spacing w:after="0" w:line="240" w:lineRule="auto"/>
              <w:jc w:val="both"/>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«Газпромбанк»</w:t>
            </w:r>
          </w:p>
        </w:tc>
        <w:tc>
          <w:tcPr>
            <w:tcW w:w="2126" w:type="dxa"/>
            <w:tcBorders>
              <w:bottom w:val="single" w:sz="8" w:space="0" w:color="000000"/>
              <w:right w:val="single" w:sz="8" w:space="0" w:color="000000"/>
            </w:tcBorders>
            <w:shd w:val="clear" w:color="auto" w:fill="auto"/>
            <w:vAlign w:val="center"/>
          </w:tcPr>
          <w:p w14:paraId="4F199477" w14:textId="77777777"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14</w:t>
            </w:r>
          </w:p>
        </w:tc>
        <w:tc>
          <w:tcPr>
            <w:tcW w:w="1985" w:type="dxa"/>
            <w:tcBorders>
              <w:bottom w:val="single" w:sz="8" w:space="0" w:color="000000"/>
              <w:right w:val="single" w:sz="8" w:space="0" w:color="000000"/>
            </w:tcBorders>
            <w:shd w:val="clear" w:color="auto" w:fill="auto"/>
            <w:vAlign w:val="center"/>
          </w:tcPr>
          <w:p w14:paraId="236189C6" w14:textId="77777777"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7,88</w:t>
            </w:r>
          </w:p>
        </w:tc>
      </w:tr>
      <w:tr w:rsidR="000E0FE8" w:rsidRPr="003B10E2" w14:paraId="2859E552" w14:textId="77777777" w:rsidTr="005D28E0">
        <w:trPr>
          <w:trHeight w:val="354"/>
        </w:trPr>
        <w:tc>
          <w:tcPr>
            <w:tcW w:w="5235" w:type="dxa"/>
            <w:tcBorders>
              <w:left w:val="single" w:sz="8" w:space="0" w:color="000000"/>
              <w:bottom w:val="single" w:sz="8" w:space="0" w:color="000000"/>
              <w:right w:val="single" w:sz="8" w:space="0" w:color="000000"/>
            </w:tcBorders>
            <w:shd w:val="clear" w:color="auto" w:fill="auto"/>
            <w:vAlign w:val="center"/>
          </w:tcPr>
          <w:p w14:paraId="491184E1" w14:textId="77777777" w:rsidR="000E0FE8" w:rsidRPr="003B10E2" w:rsidRDefault="000E0FE8" w:rsidP="005D28E0">
            <w:pPr>
              <w:widowControl w:val="0"/>
              <w:spacing w:after="0" w:line="240" w:lineRule="auto"/>
              <w:jc w:val="both"/>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Трубная металлургическая компания</w:t>
            </w:r>
          </w:p>
        </w:tc>
        <w:tc>
          <w:tcPr>
            <w:tcW w:w="2126" w:type="dxa"/>
            <w:tcBorders>
              <w:bottom w:val="single" w:sz="8" w:space="0" w:color="000000"/>
              <w:right w:val="single" w:sz="8" w:space="0" w:color="000000"/>
            </w:tcBorders>
            <w:shd w:val="clear" w:color="auto" w:fill="auto"/>
            <w:vAlign w:val="center"/>
          </w:tcPr>
          <w:p w14:paraId="40237864" w14:textId="77777777"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15</w:t>
            </w:r>
          </w:p>
        </w:tc>
        <w:tc>
          <w:tcPr>
            <w:tcW w:w="1985" w:type="dxa"/>
            <w:tcBorders>
              <w:bottom w:val="single" w:sz="8" w:space="0" w:color="000000"/>
              <w:right w:val="single" w:sz="8" w:space="0" w:color="000000"/>
            </w:tcBorders>
            <w:shd w:val="clear" w:color="auto" w:fill="auto"/>
            <w:vAlign w:val="center"/>
          </w:tcPr>
          <w:p w14:paraId="2BCE6733" w14:textId="77777777"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7,80</w:t>
            </w:r>
          </w:p>
        </w:tc>
      </w:tr>
      <w:tr w:rsidR="000E0FE8" w:rsidRPr="003B10E2" w14:paraId="03733885" w14:textId="77777777" w:rsidTr="005D28E0">
        <w:trPr>
          <w:trHeight w:val="425"/>
        </w:trPr>
        <w:tc>
          <w:tcPr>
            <w:tcW w:w="5235" w:type="dxa"/>
            <w:tcBorders>
              <w:left w:val="single" w:sz="8" w:space="0" w:color="000000"/>
              <w:bottom w:val="single" w:sz="8" w:space="0" w:color="000000"/>
              <w:right w:val="single" w:sz="8" w:space="0" w:color="000000"/>
            </w:tcBorders>
            <w:shd w:val="clear" w:color="auto" w:fill="auto"/>
            <w:vAlign w:val="center"/>
          </w:tcPr>
          <w:p w14:paraId="1BBF53CE" w14:textId="77777777" w:rsidR="000E0FE8" w:rsidRPr="003B10E2" w:rsidRDefault="000E0FE8" w:rsidP="005D28E0">
            <w:pPr>
              <w:widowControl w:val="0"/>
              <w:spacing w:after="0" w:line="240" w:lineRule="auto"/>
              <w:jc w:val="both"/>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«Норильский никель»</w:t>
            </w:r>
          </w:p>
        </w:tc>
        <w:tc>
          <w:tcPr>
            <w:tcW w:w="2126" w:type="dxa"/>
            <w:tcBorders>
              <w:bottom w:val="single" w:sz="8" w:space="0" w:color="000000"/>
              <w:right w:val="single" w:sz="8" w:space="0" w:color="000000"/>
            </w:tcBorders>
            <w:shd w:val="clear" w:color="auto" w:fill="auto"/>
            <w:vAlign w:val="center"/>
          </w:tcPr>
          <w:p w14:paraId="15FED796" w14:textId="77777777"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16</w:t>
            </w:r>
          </w:p>
        </w:tc>
        <w:tc>
          <w:tcPr>
            <w:tcW w:w="1985" w:type="dxa"/>
            <w:tcBorders>
              <w:bottom w:val="single" w:sz="8" w:space="0" w:color="000000"/>
              <w:right w:val="single" w:sz="8" w:space="0" w:color="000000"/>
            </w:tcBorders>
            <w:shd w:val="clear" w:color="auto" w:fill="auto"/>
            <w:vAlign w:val="center"/>
          </w:tcPr>
          <w:p w14:paraId="6CA14F7C" w14:textId="77777777"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7,74</w:t>
            </w:r>
          </w:p>
        </w:tc>
      </w:tr>
      <w:tr w:rsidR="000E0FE8" w:rsidRPr="003B10E2" w14:paraId="0EDFAFAA" w14:textId="77777777" w:rsidTr="005D28E0">
        <w:trPr>
          <w:trHeight w:val="337"/>
        </w:trPr>
        <w:tc>
          <w:tcPr>
            <w:tcW w:w="5235" w:type="dxa"/>
            <w:tcBorders>
              <w:left w:val="single" w:sz="8" w:space="0" w:color="000000"/>
              <w:bottom w:val="single" w:sz="8" w:space="0" w:color="000000"/>
              <w:right w:val="single" w:sz="8" w:space="0" w:color="000000"/>
            </w:tcBorders>
            <w:shd w:val="clear" w:color="auto" w:fill="auto"/>
            <w:vAlign w:val="center"/>
          </w:tcPr>
          <w:p w14:paraId="764BEC27" w14:textId="77777777" w:rsidR="000E0FE8" w:rsidRPr="003B10E2" w:rsidRDefault="000E0FE8" w:rsidP="005D28E0">
            <w:pPr>
              <w:widowControl w:val="0"/>
              <w:spacing w:after="0" w:line="240" w:lineRule="auto"/>
              <w:jc w:val="both"/>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«Роснефть»</w:t>
            </w:r>
          </w:p>
        </w:tc>
        <w:tc>
          <w:tcPr>
            <w:tcW w:w="2126" w:type="dxa"/>
            <w:tcBorders>
              <w:bottom w:val="single" w:sz="8" w:space="0" w:color="000000"/>
              <w:right w:val="single" w:sz="8" w:space="0" w:color="000000"/>
            </w:tcBorders>
            <w:shd w:val="clear" w:color="auto" w:fill="auto"/>
            <w:vAlign w:val="center"/>
          </w:tcPr>
          <w:p w14:paraId="59AF89F4" w14:textId="77777777"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17</w:t>
            </w:r>
          </w:p>
        </w:tc>
        <w:tc>
          <w:tcPr>
            <w:tcW w:w="1985" w:type="dxa"/>
            <w:tcBorders>
              <w:bottom w:val="single" w:sz="8" w:space="0" w:color="000000"/>
              <w:right w:val="single" w:sz="8" w:space="0" w:color="000000"/>
            </w:tcBorders>
            <w:shd w:val="clear" w:color="auto" w:fill="auto"/>
            <w:vAlign w:val="center"/>
          </w:tcPr>
          <w:p w14:paraId="3E4C4429" w14:textId="77777777"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7,67</w:t>
            </w:r>
          </w:p>
        </w:tc>
      </w:tr>
      <w:tr w:rsidR="000E0FE8" w:rsidRPr="003B10E2" w14:paraId="0B9C600F" w14:textId="77777777" w:rsidTr="005D28E0">
        <w:trPr>
          <w:trHeight w:val="313"/>
        </w:trPr>
        <w:tc>
          <w:tcPr>
            <w:tcW w:w="5235" w:type="dxa"/>
            <w:tcBorders>
              <w:left w:val="single" w:sz="8" w:space="0" w:color="000000"/>
              <w:bottom w:val="single" w:sz="8" w:space="0" w:color="000000"/>
              <w:right w:val="single" w:sz="8" w:space="0" w:color="000000"/>
            </w:tcBorders>
            <w:shd w:val="clear" w:color="auto" w:fill="auto"/>
            <w:vAlign w:val="center"/>
          </w:tcPr>
          <w:p w14:paraId="3662CD46" w14:textId="77777777" w:rsidR="000E0FE8" w:rsidRPr="003B10E2" w:rsidRDefault="000E0FE8" w:rsidP="005D28E0">
            <w:pPr>
              <w:widowControl w:val="0"/>
              <w:spacing w:after="0" w:line="240" w:lineRule="auto"/>
              <w:jc w:val="both"/>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«Уралвагонзавод»</w:t>
            </w:r>
          </w:p>
        </w:tc>
        <w:tc>
          <w:tcPr>
            <w:tcW w:w="2126" w:type="dxa"/>
            <w:tcBorders>
              <w:bottom w:val="single" w:sz="8" w:space="0" w:color="000000"/>
              <w:right w:val="single" w:sz="8" w:space="0" w:color="000000"/>
            </w:tcBorders>
            <w:shd w:val="clear" w:color="auto" w:fill="auto"/>
            <w:vAlign w:val="center"/>
          </w:tcPr>
          <w:p w14:paraId="0769B8F8" w14:textId="77777777"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18</w:t>
            </w:r>
          </w:p>
        </w:tc>
        <w:tc>
          <w:tcPr>
            <w:tcW w:w="1985" w:type="dxa"/>
            <w:tcBorders>
              <w:bottom w:val="single" w:sz="8" w:space="0" w:color="000000"/>
              <w:right w:val="single" w:sz="8" w:space="0" w:color="000000"/>
            </w:tcBorders>
            <w:shd w:val="clear" w:color="auto" w:fill="auto"/>
            <w:vAlign w:val="center"/>
          </w:tcPr>
          <w:p w14:paraId="7DE9C0F5" w14:textId="77777777"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7,50</w:t>
            </w:r>
          </w:p>
        </w:tc>
      </w:tr>
      <w:tr w:rsidR="000E0FE8" w:rsidRPr="003B10E2" w14:paraId="0E9C9F5B" w14:textId="77777777" w:rsidTr="005D28E0">
        <w:trPr>
          <w:trHeight w:val="330"/>
        </w:trPr>
        <w:tc>
          <w:tcPr>
            <w:tcW w:w="5235" w:type="dxa"/>
            <w:tcBorders>
              <w:left w:val="single" w:sz="8" w:space="0" w:color="000000"/>
              <w:bottom w:val="single" w:sz="8" w:space="0" w:color="000000"/>
              <w:right w:val="single" w:sz="8" w:space="0" w:color="000000"/>
            </w:tcBorders>
            <w:shd w:val="clear" w:color="auto" w:fill="auto"/>
            <w:vAlign w:val="center"/>
          </w:tcPr>
          <w:p w14:paraId="091DC60A" w14:textId="77777777" w:rsidR="000E0FE8" w:rsidRPr="003B10E2" w:rsidRDefault="000E0FE8" w:rsidP="005D28E0">
            <w:pPr>
              <w:widowControl w:val="0"/>
              <w:spacing w:after="0" w:line="240" w:lineRule="auto"/>
              <w:jc w:val="both"/>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«Россельхозбанк»</w:t>
            </w:r>
          </w:p>
        </w:tc>
        <w:tc>
          <w:tcPr>
            <w:tcW w:w="2126" w:type="dxa"/>
            <w:tcBorders>
              <w:bottom w:val="single" w:sz="8" w:space="0" w:color="000000"/>
              <w:right w:val="single" w:sz="8" w:space="0" w:color="000000"/>
            </w:tcBorders>
            <w:shd w:val="clear" w:color="auto" w:fill="auto"/>
            <w:vAlign w:val="center"/>
          </w:tcPr>
          <w:p w14:paraId="56433603" w14:textId="77777777"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19</w:t>
            </w:r>
          </w:p>
        </w:tc>
        <w:tc>
          <w:tcPr>
            <w:tcW w:w="1985" w:type="dxa"/>
            <w:tcBorders>
              <w:bottom w:val="single" w:sz="8" w:space="0" w:color="000000"/>
              <w:right w:val="single" w:sz="8" w:space="0" w:color="000000"/>
            </w:tcBorders>
            <w:shd w:val="clear" w:color="auto" w:fill="auto"/>
            <w:vAlign w:val="center"/>
          </w:tcPr>
          <w:p w14:paraId="6B7BFCC2" w14:textId="77777777"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7,38</w:t>
            </w:r>
          </w:p>
        </w:tc>
      </w:tr>
      <w:tr w:rsidR="000E0FE8" w:rsidRPr="003B10E2" w14:paraId="4A716F13" w14:textId="77777777" w:rsidTr="005D28E0">
        <w:trPr>
          <w:trHeight w:val="420"/>
        </w:trPr>
        <w:tc>
          <w:tcPr>
            <w:tcW w:w="5235" w:type="dxa"/>
            <w:tcBorders>
              <w:left w:val="single" w:sz="8" w:space="0" w:color="000000"/>
              <w:bottom w:val="single" w:sz="4" w:space="0" w:color="000000"/>
              <w:right w:val="single" w:sz="8" w:space="0" w:color="000000"/>
            </w:tcBorders>
            <w:shd w:val="clear" w:color="auto" w:fill="auto"/>
            <w:vAlign w:val="center"/>
          </w:tcPr>
          <w:p w14:paraId="299A29B8" w14:textId="77777777" w:rsidR="000E0FE8" w:rsidRPr="003B10E2" w:rsidRDefault="000E0FE8" w:rsidP="005D28E0">
            <w:pPr>
              <w:widowControl w:val="0"/>
              <w:spacing w:after="0" w:line="240" w:lineRule="auto"/>
              <w:jc w:val="both"/>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«Еврохим»</w:t>
            </w:r>
          </w:p>
        </w:tc>
        <w:tc>
          <w:tcPr>
            <w:tcW w:w="2126" w:type="dxa"/>
            <w:tcBorders>
              <w:bottom w:val="single" w:sz="4" w:space="0" w:color="000000"/>
              <w:right w:val="single" w:sz="8" w:space="0" w:color="000000"/>
            </w:tcBorders>
            <w:shd w:val="clear" w:color="auto" w:fill="auto"/>
            <w:vAlign w:val="center"/>
          </w:tcPr>
          <w:p w14:paraId="1A3F5282" w14:textId="77777777"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20</w:t>
            </w:r>
          </w:p>
        </w:tc>
        <w:tc>
          <w:tcPr>
            <w:tcW w:w="1985" w:type="dxa"/>
            <w:tcBorders>
              <w:bottom w:val="single" w:sz="4" w:space="0" w:color="000000"/>
              <w:right w:val="single" w:sz="8" w:space="0" w:color="000000"/>
            </w:tcBorders>
            <w:shd w:val="clear" w:color="auto" w:fill="auto"/>
            <w:vAlign w:val="center"/>
          </w:tcPr>
          <w:p w14:paraId="0A4D16D4" w14:textId="77777777"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7,15</w:t>
            </w:r>
          </w:p>
        </w:tc>
      </w:tr>
    </w:tbl>
    <w:p w14:paraId="7CBEFE3F" w14:textId="77777777" w:rsidR="000E0FE8" w:rsidRPr="003B10E2" w:rsidRDefault="000E0FE8" w:rsidP="000E0FE8">
      <w:pPr>
        <w:spacing w:after="0" w:line="360" w:lineRule="auto"/>
      </w:pPr>
      <w:r w:rsidRPr="003B10E2">
        <w:rPr>
          <w:rFonts w:ascii="Times New Roman" w:hAnsi="Times New Roman"/>
          <w:color w:val="000000"/>
          <w:sz w:val="24"/>
          <w:szCs w:val="24"/>
        </w:rPr>
        <w:t xml:space="preserve">Источник: </w:t>
      </w:r>
      <w:r w:rsidRPr="003B10E2">
        <w:rPr>
          <w:rFonts w:ascii="Times New Roman" w:hAnsi="Times New Roman"/>
          <w:color w:val="000000"/>
          <w:sz w:val="24"/>
          <w:szCs w:val="24"/>
          <w:lang w:val="en-US"/>
        </w:rPr>
        <w:t>Thomson</w:t>
      </w:r>
      <w:r w:rsidRPr="003B10E2">
        <w:rPr>
          <w:rFonts w:ascii="Times New Roman" w:hAnsi="Times New Roman"/>
          <w:color w:val="000000"/>
          <w:sz w:val="24"/>
          <w:szCs w:val="24"/>
        </w:rPr>
        <w:t xml:space="preserve"> </w:t>
      </w:r>
      <w:r w:rsidRPr="003B10E2">
        <w:rPr>
          <w:rFonts w:ascii="Times New Roman" w:hAnsi="Times New Roman"/>
          <w:color w:val="000000"/>
          <w:sz w:val="24"/>
          <w:szCs w:val="24"/>
          <w:lang w:val="en-US"/>
        </w:rPr>
        <w:t>Reuters</w:t>
      </w:r>
      <w:r w:rsidRPr="003B10E2">
        <w:rPr>
          <w:rFonts w:ascii="Times New Roman" w:hAnsi="Times New Roman"/>
          <w:color w:val="000000"/>
          <w:sz w:val="24"/>
          <w:szCs w:val="24"/>
        </w:rPr>
        <w:t>.</w:t>
      </w:r>
    </w:p>
    <w:p w14:paraId="462CA8A1" w14:textId="77777777" w:rsidR="000E0FE8" w:rsidRPr="003B10E2" w:rsidRDefault="000E0FE8" w:rsidP="000E0FE8">
      <w:pPr>
        <w:spacing w:after="0" w:line="360" w:lineRule="auto"/>
        <w:ind w:firstLine="851"/>
        <w:jc w:val="both"/>
        <w:rPr>
          <w:rFonts w:ascii="Times New Roman" w:hAnsi="Times New Roman"/>
          <w:color w:val="000000"/>
          <w:sz w:val="28"/>
          <w:szCs w:val="28"/>
        </w:rPr>
      </w:pPr>
    </w:p>
    <w:p w14:paraId="3A4DF823"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Из таблицы </w:t>
      </w:r>
      <w:r w:rsidR="00294A94" w:rsidRPr="003B10E2">
        <w:rPr>
          <w:rFonts w:ascii="Times New Roman" w:hAnsi="Times New Roman"/>
          <w:color w:val="000000"/>
          <w:sz w:val="28"/>
          <w:szCs w:val="28"/>
        </w:rPr>
        <w:t>7</w:t>
      </w:r>
      <w:r w:rsidRPr="003B10E2">
        <w:rPr>
          <w:rFonts w:ascii="Times New Roman" w:hAnsi="Times New Roman"/>
          <w:color w:val="000000"/>
          <w:sz w:val="28"/>
          <w:szCs w:val="28"/>
        </w:rPr>
        <w:t xml:space="preserve"> видно, что структуры фондов Сбербанка, ВТБ и Альфа-банка также являются наиболее социально ответственными компаниями в России [184]. Кроме этого, к ним относится фонды Газпромбанка, но они представлены в основном ПИФами облигаций. ПИФы акций Газпромбанка, несмотря на социальную ответственность и наличие крупной инвестиционной структуры, не относятся к эффективным фондам в результате анализа в предыдущем разделе.</w:t>
      </w:r>
    </w:p>
    <w:p w14:paraId="5C3533C6"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Изучение поведения социально ориентированных инвесторов также важно с академической точки зрения: социально ориентированные инвесторы выводили капитал с меньшей скоростью, чем обычные инвесторы в период 1999 по 2001 гг., предполагая, что социально ориентированные инвесторы более лояльны. </w:t>
      </w:r>
    </w:p>
    <w:p w14:paraId="001023B3"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Изучение взаимосвязи между потоком средств и эффективностью фонда обеспечивает дополнительное понимание. Есть несколько конкурирующих гипотез относительно того, каким образом социально ориентированные инвесторы (СОИ) влияют на принятие решений фондом, каждый из которых делает эмпирический прогноз для будущих денежных потоков и производительности [134]. Различия между поведением СОИ и обычными инвесторами являются значимыми для молодых и зрелых фондов. </w:t>
      </w:r>
    </w:p>
    <w:p w14:paraId="06364BAB"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контексте гипотезы эффективного рынка взаимосвязь между денежными потоками и доходность фонда — это финансовая аномалия. Одним из объяснений аномалии производительности потока является то, что действия инвесторов могут быть вызваны отчасти психологическими предубеждениями [138]. Инвесторы паевого фонда игнорируют предыдущие убеждения относительно управленческого таланта менеджера и вместо этого просто покупают наиболее доходные за прошлый год паи фондов. В существующей финансовой литературе нет никаких доказательств, свидетельствующих о том, что все группы инвесторов обращают внимание на характеристики фонда, не связанные с его доходностью. </w:t>
      </w:r>
    </w:p>
    <w:p w14:paraId="6C019717"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Есть некоторые споры относительно того, каким рискам подвержены фонды в результате влияния потоков денежных средств. Один из подходов к контролю переменных, который может объяснить динамику движения денежных потоков фондов, является включение дополнительных объясняющих переменных в регрессионном анализе. Кроме того, разница сохраняется по мере старения фондов. Более низкая волатильность денежных потоков фондов может представлять сглаживание потребления со стороны инвесторов. Поступления денежных средств из обычных фондов увеличиваются на 0,5360% за каждый процент падения в предыдущем году. Теория перспектив Канемана и Тверски [191] дает одно объяснение асимметричного эффекта на результаты деятельности, предполагая, что позиции инвесторов подвержены как риску потерь, так и риску выигрышей.</w:t>
      </w:r>
    </w:p>
    <w:p w14:paraId="140E4F27" w14:textId="77777777" w:rsidR="000E0FE8" w:rsidRPr="003B10E2" w:rsidRDefault="000E0FE8" w:rsidP="000E0FE8">
      <w:pPr>
        <w:spacing w:after="0" w:line="360" w:lineRule="auto"/>
        <w:ind w:firstLine="851"/>
        <w:jc w:val="both"/>
        <w:rPr>
          <w:rFonts w:ascii="Times New Roman" w:hAnsi="Times New Roman"/>
          <w:color w:val="000000"/>
          <w:sz w:val="24"/>
          <w:szCs w:val="24"/>
        </w:rPr>
      </w:pPr>
      <w:r w:rsidRPr="003B10E2">
        <w:rPr>
          <w:rFonts w:ascii="Times New Roman" w:hAnsi="Times New Roman"/>
          <w:color w:val="000000"/>
          <w:sz w:val="28"/>
          <w:szCs w:val="28"/>
        </w:rPr>
        <w:t>Кроме того, Линч и Мусто (2003) утверждают, что инвесторы могут ожидать, что руководство компании заменит менеджеров плохо работающих фондов, и ожидаемая отдача увеличится в результате этого. Настроения инвесторов изменяются во времени и играют ключевую роль в формировании денежных потоков в паевые инвестиционные фонды разных классов риска. Развитие более глубокого понимания роли сезонности в управлении денежными потоками между различными классами активов паевых фондов может улучшить понимание того, как настроение инвесторов способствует сезонности цен на активы. Например, денежные потоки между фондами денежного рынка и капитала сильно зависят от сезона и относительной рискованности [235].</w:t>
      </w:r>
    </w:p>
    <w:p w14:paraId="03FF4DEF" w14:textId="77777777" w:rsidR="000E0FE8" w:rsidRPr="003B10E2" w:rsidRDefault="000E0FE8" w:rsidP="000E0FE8">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Сезонность коррелирует со временем сезонной вариации </w:t>
      </w:r>
      <w:r w:rsidR="00D32EE3" w:rsidRPr="003B10E2">
        <w:rPr>
          <w:rFonts w:ascii="Times New Roman" w:hAnsi="Times New Roman"/>
          <w:color w:val="000000"/>
          <w:sz w:val="28"/>
          <w:szCs w:val="28"/>
        </w:rPr>
        <w:t>неприятия</w:t>
      </w:r>
      <w:r w:rsidRPr="003B10E2">
        <w:rPr>
          <w:rFonts w:ascii="Times New Roman" w:hAnsi="Times New Roman"/>
          <w:color w:val="000000"/>
          <w:sz w:val="28"/>
          <w:szCs w:val="28"/>
        </w:rPr>
        <w:t xml:space="preserve"> риск</w:t>
      </w:r>
      <w:r w:rsidR="00D32EE3" w:rsidRPr="003B10E2">
        <w:rPr>
          <w:rFonts w:ascii="Times New Roman" w:hAnsi="Times New Roman"/>
          <w:color w:val="000000"/>
          <w:sz w:val="28"/>
          <w:szCs w:val="28"/>
        </w:rPr>
        <w:t>а</w:t>
      </w:r>
      <w:r w:rsidRPr="003B10E2">
        <w:rPr>
          <w:rFonts w:ascii="Times New Roman" w:hAnsi="Times New Roman"/>
          <w:color w:val="000000"/>
          <w:sz w:val="28"/>
          <w:szCs w:val="28"/>
        </w:rPr>
        <w:t xml:space="preserve">. Сезонное изменение потоков фонда по категориям риска является последовательным. Люди под влиянием сезонных факторов склонны менять настроение. Изучение паевых инвестиционных фондов представляют собой уникальную возможность изучить настроения о степени </w:t>
      </w:r>
      <w:r w:rsidR="00D32EE3" w:rsidRPr="003B10E2">
        <w:rPr>
          <w:rFonts w:ascii="Times New Roman" w:hAnsi="Times New Roman"/>
          <w:color w:val="000000"/>
          <w:sz w:val="28"/>
          <w:szCs w:val="28"/>
        </w:rPr>
        <w:t>неприятия</w:t>
      </w:r>
      <w:r w:rsidRPr="003B10E2">
        <w:rPr>
          <w:rFonts w:ascii="Times New Roman" w:hAnsi="Times New Roman"/>
          <w:color w:val="000000"/>
          <w:sz w:val="28"/>
          <w:szCs w:val="28"/>
        </w:rPr>
        <w:t xml:space="preserve"> риск</w:t>
      </w:r>
      <w:r w:rsidR="00D32EE3" w:rsidRPr="003B10E2">
        <w:rPr>
          <w:rFonts w:ascii="Times New Roman" w:hAnsi="Times New Roman"/>
          <w:color w:val="000000"/>
          <w:sz w:val="28"/>
          <w:szCs w:val="28"/>
        </w:rPr>
        <w:t>а</w:t>
      </w:r>
      <w:r w:rsidRPr="003B10E2">
        <w:rPr>
          <w:rFonts w:ascii="Times New Roman" w:hAnsi="Times New Roman"/>
          <w:color w:val="000000"/>
          <w:sz w:val="28"/>
          <w:szCs w:val="28"/>
        </w:rPr>
        <w:t xml:space="preserve">. Денежные потоки паевых инвестиционных фондов в значительной степени являются результатом индивидуальных решений инвестора. Уменьшение дневного света, которое происходит осенью каждого года, как правило, приводит к заметному ухудшению настроения людей. Медицинские данные показывают, что до 10% населения страдает от очень тяжелой клинической депрессии [135]. </w:t>
      </w:r>
    </w:p>
    <w:p w14:paraId="745D773A"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Доказательства того, что негативные настроения варьируются сезонно, мотивирует нас рассмотреть, есть ли систематическая сезонность в выборе индивидуального инвестора и систематическая сезонность в денежных потоках между активами различных классов риска. </w:t>
      </w:r>
    </w:p>
    <w:p w14:paraId="40B3EF1F"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Потоки в фонды облигаций выше средних осенью и зимой и согласуются с депрессией людей. Ежемесячные сдвиги между потоками в фонды облигаций и акций в России связаны с совокупными движениями избыточной доходности на рынке ценных бумаг. Если инвесторы проявляют поведение «полета к ликвидности» во время сбоев рынка, а рыночные сбои происходят с большей частотой осенью, это может приводить к наблюдаемым сезонным потокам из рискованного фонда. Сезонная структура потоков паевого фонда согласуется с индивидуальной психологией инвестора. Они становятся все более склонными к риску осенью. </w:t>
      </w:r>
    </w:p>
    <w:p w14:paraId="51E94643"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Сезонная форма депрессии затрагивает от 1% до 10% населения в зависимости от местоположения и диагностических критериев, и большая часть остальной части населения испытывают депрессию и неприятие риска. Наиболее плодотворной может быть рекламная кампания, которая агрессивно продвигает безопасные классы ПИФов осенью, когда многие индивидуальные инвесторы более склонны к риску, чем обычно. </w:t>
      </w:r>
    </w:p>
    <w:p w14:paraId="7D39558C"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Теория агентства — это предположение, которое объясняет отношения между принципалами и агентами в бизнесе. Теория агентства связана с решением проблем, которые могут существовать в агентских отношениях из-за неконтролируемых целей или различных уровней отношения к риску. Наиболее распространенные агентские отношения в финансах происходят между акционерами (принципалом) и руководителями компаний (агентами).</w:t>
      </w:r>
    </w:p>
    <w:p w14:paraId="1B93DA91"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Эмпирические данные для финансовых компаний неоднозначны. Для выборки из 181 крупных банков из 15 европейских стран за период 2012-2017 гг. подтверждено, что государственные банки показывают более низкий уровень рентабельности, чем в частных банках, и что более высокая концентрация собственности ассоциируется с более высоким качеством кредита, более низким риском активов [175]. </w:t>
      </w:r>
    </w:p>
    <w:p w14:paraId="1234A626"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Теория агентства предсказывают большие проблемы агентства для паевых инвестиционных фондов из-за более высоких производственных затрат. Различные инвестиционные способности и стили поведения могут быть альтернативными драйверами специфических различий фонда. Некоторые исследования обнаружили негативное отношение между входящими денежными потоками паевого фонда и показателями фонда. Результаты согласованы для всех типов фондов на основе инвестиционных целей за исключением российских корпоративных облигаций. </w:t>
      </w:r>
    </w:p>
    <w:p w14:paraId="08D6BF7F" w14:textId="77777777" w:rsidR="000E0FE8" w:rsidRPr="003B10E2" w:rsidRDefault="000E0FE8" w:rsidP="00B13660">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Тем не менее российские фонды облигаций имеют значительно более высокие сборы, чем фонды других стран. Это согласуется с тем, что фонды имеют высокие агентские и эксплуатационные расходы из-за отсутствия возможности мониторинга рынка индивидуальными инвесторами [172]. Связь между доходностью фонда и сборами может быть установлена как сочетание некоторых параметров структуры собственности основателя фонда. Ключевая особенность моделей поведения российских фондов акций — это уровень операционных издержек. Именно уровень издержек оказывает наиболее существенной влияние на чистую доходность инвестирования.</w:t>
      </w:r>
      <w:bookmarkEnd w:id="124"/>
      <w:bookmarkEnd w:id="125"/>
      <w:bookmarkEnd w:id="126"/>
      <w:bookmarkEnd w:id="127"/>
      <w:bookmarkEnd w:id="128"/>
      <w:bookmarkEnd w:id="129"/>
      <w:bookmarkEnd w:id="130"/>
    </w:p>
    <w:p w14:paraId="317D2DC0" w14:textId="77777777" w:rsidR="000E0FE8" w:rsidRPr="003B10E2" w:rsidRDefault="000E0FE8" w:rsidP="000E0FE8">
      <w:pPr>
        <w:spacing w:after="0" w:line="360" w:lineRule="auto"/>
        <w:ind w:firstLine="851"/>
        <w:jc w:val="both"/>
        <w:rPr>
          <w:rFonts w:ascii="Times New Roman" w:hAnsi="Times New Roman"/>
          <w:color w:val="000000"/>
          <w:sz w:val="28"/>
          <w:szCs w:val="28"/>
          <w:lang w:eastAsia="ar-SA"/>
        </w:rPr>
      </w:pPr>
      <w:bookmarkStart w:id="131" w:name="_Hlk131419283"/>
      <w:r w:rsidRPr="003B10E2">
        <w:rPr>
          <w:rFonts w:ascii="Times New Roman" w:hAnsi="Times New Roman"/>
          <w:color w:val="000000"/>
          <w:sz w:val="28"/>
          <w:szCs w:val="28"/>
          <w:lang w:eastAsia="ar-SA"/>
        </w:rPr>
        <w:t>В этой части работы исследуются аспекты путей повышения эффективности поведения инвесторов согласно с принципами портфельной теории</w:t>
      </w:r>
      <w:bookmarkEnd w:id="131"/>
      <w:r w:rsidRPr="003B10E2">
        <w:rPr>
          <w:rFonts w:ascii="Times New Roman" w:hAnsi="Times New Roman"/>
          <w:color w:val="000000"/>
          <w:sz w:val="28"/>
          <w:szCs w:val="28"/>
          <w:lang w:eastAsia="ar-SA"/>
        </w:rPr>
        <w:t xml:space="preserve"> [154]. В современных условиях успешное функционирование и развитие институциональных инвесторов в решающей степени зависит от адекватной оценки основателями и инвесторами фонда перспектив относительно привлечения средств в индустрию институциональных инвесторов в целом.</w:t>
      </w:r>
    </w:p>
    <w:p w14:paraId="2A50E496" w14:textId="77777777"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Кризисная составляющая экономического развития, а также недооцененные риски могут привести к невосполнимым финансовым потерям институциональных инвесторов. Повышенная волатильность увеличивает вероятность дефолта по отдельным бумагам. Поэтому важным направлением стратегии развития институциональных инвесторов является повышение уровня надежности институциональных инвесторов.</w:t>
      </w:r>
    </w:p>
    <w:p w14:paraId="7C5E0D0E" w14:textId="77777777" w:rsidR="000E0FE8" w:rsidRPr="003B10E2" w:rsidRDefault="000E0FE8" w:rsidP="000E0FE8">
      <w:pPr>
        <w:spacing w:after="0" w:line="360" w:lineRule="auto"/>
        <w:ind w:firstLine="851"/>
        <w:jc w:val="both"/>
        <w:rPr>
          <w:rFonts w:ascii="Times New Roman" w:hAnsi="Times New Roman"/>
          <w:color w:val="000000"/>
          <w:sz w:val="28"/>
          <w:szCs w:val="28"/>
          <w:lang w:eastAsia="ar-SA"/>
        </w:rPr>
      </w:pPr>
      <w:bookmarkStart w:id="132" w:name="_Hlk138270138"/>
      <w:r w:rsidRPr="003B10E2">
        <w:rPr>
          <w:rFonts w:ascii="Times New Roman" w:hAnsi="Times New Roman"/>
          <w:color w:val="000000"/>
          <w:sz w:val="28"/>
          <w:szCs w:val="28"/>
          <w:lang w:eastAsia="ar-SA"/>
        </w:rPr>
        <w:t>Финансовый кризис 2008-2009 гг., разрушивший модели либеральной экономики, усилил системные риски финансового сектора. Для обеспечения эффективности управления инвестиционным фондам следует постоянно осуществлять риск-менеджмент и стресс-тестирования. Глубина наблюдаемого кризиса и системность возникших проблем позволяют предположить, что затронутыми оказались фундаментальные основы финансовой глобальной архитектуры. Кризис финансовой глобализации усиливает неопределенность движения финансового капитала. Повышение уровня надежности институциональных инвесторов должно стать одним из основного направления развития посткризисной экономики [156]. В связи с этим в большей мере ответственность регулирующих органов, акционеров и персонала институциональных инвесторов за правильное определение направлений развития инвестиционного фонда и формирование его стратегии [164].</w:t>
      </w:r>
    </w:p>
    <w:p w14:paraId="3F27C5A0" w14:textId="77777777"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 xml:space="preserve">Само понятие «стратегия» имеет очень разнообразные определения в научной литературе. В зависимости от целей исследования, определение стратегии может быть как общим, так и развернутым. Стратегия инвестиционного фонда показывает вектор его позитивного развития в целях удовлетворения экономических потребностей инвесторов при условии соблюдения требований регулирующих органов и современных тенденций конкурентной среды. С точки зрения реализации частных целей стратегического развития (для достижения максимальной эффективности, прибыльности, конкурентоспособности инвестиционного фонда и максимизации стоимости), акционерам и персоналу инвестиционного фонда целесообразно выстраивать системы управления на основе матричных и когнитивных моделей финансового поведения и передовых управленческих технологий. </w:t>
      </w:r>
    </w:p>
    <w:p w14:paraId="73D5688F" w14:textId="77777777"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В целях конкретизации функциональных ожиданий различных субъектов финансовых отношений к понятиям «финансовая устойчивость» и «надежность», которые относятся к инвестиционным фондам, следует использовать триединый подход к пониманию со стороны менеджеров, инвесторов и регулирующих органов. В этой связи информационной базой для определения уровня финансовой устойчивости служат статические и динамические показатели инвестиционного фонда с определенной периодичностью их составления. Финансовая устойчивость инвестиционного фонда характеризуется достаточностью собственного капитала, его доходностью, уровнем кредитного плеча, уровнем рентабельности капитала, ликвидности [166]. Стратегия распределения как главная составляющая корпоративной стратегии финансового поведения инвестиционного фонда направлена на достижение определенного уровня доходности, ликвидности и просадки портфелей инвестиционного фонда. Цель маркетинговой стратегии: рост доли рынка инвестиционного фонда, разработка и внедрение финансовых инноваций и технологий, развитие качественно новых инвестиционных продуктов и увеличение их емкости [168]. Целевым критерием информационной стратегии является формирование информационного пространства инвестиционного фонда.</w:t>
      </w:r>
    </w:p>
    <w:p w14:paraId="5D192331" w14:textId="77777777"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Нам хотелось бы выделить основные типы применяемых в настоящее время стратегий поведения инвесторов.</w:t>
      </w:r>
    </w:p>
    <w:p w14:paraId="286808B6" w14:textId="77777777"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1) Максимизация доходности [174]. Наиболее часто используется на начальном этапе распределения активов фонда, поскольку служит главным образом для формирования успешной инвестиционной истории [177]. Такая стратегия позволяет усилить эффективность маркетинговой составляющей инвестиционного фонда.</w:t>
      </w:r>
    </w:p>
    <w:p w14:paraId="3A22F5E6" w14:textId="77777777"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 xml:space="preserve">2) Стратегия гибких инвестиций. Иногда выделяется особый период распределения активов инвестиционного фонда — road show. Данная стратегия подразумевает большие расходы на маркетинг и поддержание доходности фонда на определенном уровне. </w:t>
      </w:r>
    </w:p>
    <w:p w14:paraId="6A4052D7" w14:textId="77777777"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3) Минимизация риска. Данная стратегия применяется в периоды отсутствия необходимости привлечения дополнительных средств и позволяет сохранить достигнутые ранее финансовые результаты на желаемом уровне. Целесообразно использовать в периоды неопределенности и повышенных рисков.</w:t>
      </w:r>
    </w:p>
    <w:p w14:paraId="40B6FD96" w14:textId="77777777"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 xml:space="preserve">Инвесторы, вкладывающие средства в российские и китайские инвестиционные фонды, обычно понимают риски, характерные для институциональных инвесторов развивающихся стран, но всё чаще направляют свои средства в фонды, расположенные странах БРИКС и странах Азиатско-тихоокеанского региона, поскольку надежность управления данными фондами находится на более высоком уровне. Историческая доходность управления активами инвестиционного фонда не является исключительным фактором при выборе инвестиционного фонда для инвестирования, поскольку часто этот показатель существенно зависит от конъюнктуры рынка, либо от удачно выбранной стратегии управления. В то время как надежность фонда является показателем, свойственным определенному фонду либо группе фондов, расположенных в одной юрисдикции, и является более стабильным фактором. </w:t>
      </w:r>
      <w:r w:rsidRPr="003B10E2">
        <w:rPr>
          <w:rFonts w:ascii="Times New Roman" w:hAnsi="Times New Roman"/>
          <w:color w:val="000000"/>
          <w:sz w:val="28"/>
          <w:szCs w:val="28"/>
        </w:rPr>
        <w:t>Расходование накоплений и инвестиционные решения должны быть согласованы и взаимосвязаны между собой, поскольку являются производными от риск-аппетита инвестора [19] с точки зрения постсовременной портфельной теории [153]. Вместо этого рискованная доля портфеля должна корректироваться после каждого изменения котировок ценных бумаг.</w:t>
      </w:r>
    </w:p>
    <w:p w14:paraId="472B4A85" w14:textId="77777777"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rPr>
        <w:t>В 1990 г. Норвегия решила направлять свои доходы от нефти и газа в специальный нефтяной фонд (</w:t>
      </w:r>
      <w:r w:rsidRPr="003B10E2">
        <w:rPr>
          <w:rFonts w:ascii="Times New Roman" w:hAnsi="Times New Roman"/>
          <w:color w:val="000000"/>
          <w:sz w:val="28"/>
          <w:szCs w:val="28"/>
          <w:lang w:val="en-US"/>
        </w:rPr>
        <w:t>Oil</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Fund</w:t>
      </w:r>
      <w:r w:rsidRPr="003B10E2">
        <w:rPr>
          <w:rFonts w:ascii="Times New Roman" w:hAnsi="Times New Roman"/>
          <w:color w:val="000000"/>
          <w:sz w:val="28"/>
          <w:szCs w:val="28"/>
        </w:rPr>
        <w:t>), который сейчас называется Государственным пенсионным фондом (</w:t>
      </w:r>
      <w:r w:rsidRPr="003B10E2">
        <w:rPr>
          <w:rFonts w:ascii="Times New Roman" w:hAnsi="Times New Roman"/>
          <w:color w:val="000000"/>
          <w:sz w:val="28"/>
          <w:szCs w:val="28"/>
          <w:lang w:val="en-US"/>
        </w:rPr>
        <w:t>Government</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Pension</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Fund</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Global</w:t>
      </w:r>
      <w:r w:rsidRPr="003B10E2">
        <w:rPr>
          <w:rFonts w:ascii="Times New Roman" w:hAnsi="Times New Roman"/>
          <w:color w:val="000000"/>
          <w:sz w:val="28"/>
          <w:szCs w:val="28"/>
        </w:rPr>
        <w:t xml:space="preserve">). Вопреки названию он не связан с пенсионной системой. Так как </w:t>
      </w:r>
      <w:r w:rsidRPr="003B10E2">
        <w:rPr>
          <w:rFonts w:ascii="Times New Roman" w:hAnsi="Times New Roman"/>
          <w:color w:val="000000"/>
          <w:sz w:val="28"/>
          <w:szCs w:val="28"/>
          <w:lang w:val="en-US"/>
        </w:rPr>
        <w:t>GPFG</w:t>
      </w:r>
      <w:r w:rsidRPr="003B10E2">
        <w:rPr>
          <w:rFonts w:ascii="Times New Roman" w:hAnsi="Times New Roman"/>
          <w:color w:val="000000"/>
          <w:sz w:val="28"/>
          <w:szCs w:val="28"/>
        </w:rPr>
        <w:t xml:space="preserve"> активно инвестирует в инфраструктурные проекты, чистые денежные потоки фонда в течение некоторых периодов были отрицательными [178]. В результате роста добычи нефти в Норвегии и сохранения высоких цен на нефть вплоть до 2015 г. активы фонда выросли до 7,4 трлн норвежских крон (845 млрд долл.). При этом кумулятивная доходность фонда с 2008 г. составила около 280% (рисунок </w:t>
      </w:r>
      <w:r w:rsidR="009C0C92" w:rsidRPr="003B10E2">
        <w:rPr>
          <w:rFonts w:ascii="Times New Roman" w:hAnsi="Times New Roman"/>
          <w:color w:val="000000"/>
          <w:sz w:val="28"/>
          <w:szCs w:val="28"/>
        </w:rPr>
        <w:t>30</w:t>
      </w:r>
      <w:r w:rsidRPr="003B10E2">
        <w:rPr>
          <w:rFonts w:ascii="Times New Roman" w:hAnsi="Times New Roman"/>
          <w:color w:val="000000"/>
          <w:sz w:val="28"/>
          <w:szCs w:val="28"/>
        </w:rPr>
        <w:t xml:space="preserve">). </w:t>
      </w:r>
    </w:p>
    <w:p w14:paraId="62D6A0CA" w14:textId="77777777" w:rsidR="000E0FE8" w:rsidRPr="003B10E2" w:rsidRDefault="00C72198" w:rsidP="000E0FE8">
      <w:pPr>
        <w:spacing w:after="0" w:line="240" w:lineRule="auto"/>
        <w:jc w:val="center"/>
        <w:rPr>
          <w:rFonts w:ascii="Times New Roman" w:hAnsi="Times New Roman"/>
          <w:color w:val="000000"/>
          <w:sz w:val="24"/>
          <w:szCs w:val="24"/>
          <w:lang w:val="en-US"/>
        </w:rPr>
      </w:pPr>
      <w:r>
        <w:rPr>
          <w:rFonts w:ascii="Times New Roman" w:hAnsi="Times New Roman"/>
          <w:noProof/>
          <w:color w:val="000000"/>
          <w:sz w:val="24"/>
          <w:szCs w:val="24"/>
        </w:rPr>
        <w:drawing>
          <wp:inline distT="0" distB="0" distL="0" distR="0" wp14:anchorId="3D506E09" wp14:editId="519A1999">
            <wp:extent cx="5981065" cy="3018790"/>
            <wp:effectExtent l="0" t="0" r="0" b="0"/>
            <wp:docPr id="65" name="Рисунок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5"/>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81065" cy="3018790"/>
                    </a:xfrm>
                    <a:prstGeom prst="rect">
                      <a:avLst/>
                    </a:prstGeom>
                    <a:noFill/>
                  </pic:spPr>
                </pic:pic>
              </a:graphicData>
            </a:graphic>
          </wp:inline>
        </w:drawing>
      </w:r>
      <w:r w:rsidR="000E0FE8" w:rsidRPr="003B10E2">
        <w:rPr>
          <w:rFonts w:ascii="Times New Roman" w:hAnsi="Times New Roman"/>
          <w:color w:val="000000"/>
          <w:sz w:val="24"/>
          <w:szCs w:val="24"/>
        </w:rPr>
        <w:t>Источник</w:t>
      </w:r>
      <w:r w:rsidR="000E0FE8" w:rsidRPr="003B10E2">
        <w:rPr>
          <w:rFonts w:ascii="Times New Roman" w:hAnsi="Times New Roman"/>
          <w:color w:val="000000"/>
          <w:sz w:val="24"/>
          <w:szCs w:val="24"/>
          <w:lang w:val="en-US"/>
        </w:rPr>
        <w:t>: Norges Bank Investment Management (</w:t>
      </w:r>
      <w:hyperlink r:id="rId46">
        <w:r w:rsidR="000E0FE8" w:rsidRPr="003B10E2">
          <w:rPr>
            <w:rFonts w:ascii="Times New Roman" w:hAnsi="Times New Roman"/>
            <w:color w:val="000000"/>
            <w:sz w:val="24"/>
            <w:szCs w:val="24"/>
            <w:lang w:val="en-US"/>
          </w:rPr>
          <w:t>http://www.nbim.no/en/</w:t>
        </w:r>
      </w:hyperlink>
      <w:r w:rsidR="000E0FE8" w:rsidRPr="003B10E2">
        <w:rPr>
          <w:rFonts w:ascii="Times New Roman" w:hAnsi="Times New Roman"/>
          <w:color w:val="000000"/>
          <w:sz w:val="24"/>
          <w:szCs w:val="24"/>
          <w:lang w:val="en-US"/>
        </w:rPr>
        <w:t>).</w:t>
      </w:r>
    </w:p>
    <w:p w14:paraId="5EE3425E" w14:textId="77777777"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9C0C92" w:rsidRPr="003B10E2">
        <w:rPr>
          <w:rFonts w:ascii="Times New Roman" w:hAnsi="Times New Roman"/>
          <w:color w:val="000000"/>
          <w:sz w:val="24"/>
          <w:szCs w:val="24"/>
        </w:rPr>
        <w:t>30</w:t>
      </w:r>
      <w:r w:rsidRPr="003B10E2">
        <w:rPr>
          <w:rFonts w:ascii="Times New Roman" w:hAnsi="Times New Roman"/>
          <w:color w:val="000000"/>
          <w:sz w:val="24"/>
          <w:szCs w:val="24"/>
        </w:rPr>
        <w:t xml:space="preserve"> – Кумулятивная доходность </w:t>
      </w:r>
      <w:r w:rsidRPr="003B10E2">
        <w:rPr>
          <w:rFonts w:ascii="Times New Roman" w:hAnsi="Times New Roman"/>
          <w:color w:val="000000"/>
          <w:sz w:val="24"/>
          <w:szCs w:val="24"/>
          <w:lang w:val="en-US"/>
        </w:rPr>
        <w:t>GPFG</w:t>
      </w:r>
      <w:r w:rsidRPr="003B10E2">
        <w:rPr>
          <w:rFonts w:ascii="Times New Roman" w:hAnsi="Times New Roman"/>
          <w:color w:val="000000"/>
          <w:sz w:val="24"/>
          <w:szCs w:val="24"/>
        </w:rPr>
        <w:t xml:space="preserve"> </w:t>
      </w:r>
      <w:r w:rsidRPr="003B10E2">
        <w:rPr>
          <w:rFonts w:ascii="Times New Roman" w:hAnsi="Times New Roman"/>
          <w:color w:val="000000"/>
          <w:sz w:val="24"/>
          <w:szCs w:val="24"/>
          <w:lang w:val="en-US"/>
        </w:rPr>
        <w:t>c</w:t>
      </w:r>
      <w:r w:rsidRPr="003B10E2">
        <w:rPr>
          <w:rFonts w:ascii="Times New Roman" w:hAnsi="Times New Roman"/>
          <w:color w:val="000000"/>
          <w:sz w:val="24"/>
          <w:szCs w:val="24"/>
        </w:rPr>
        <w:t xml:space="preserve"> 1998 г., %</w:t>
      </w:r>
    </w:p>
    <w:p w14:paraId="4F75F9F2" w14:textId="77777777" w:rsidR="000E0FE8" w:rsidRPr="003B10E2" w:rsidRDefault="000E0FE8" w:rsidP="000E0FE8">
      <w:pPr>
        <w:spacing w:before="100" w:after="100" w:line="360" w:lineRule="auto"/>
        <w:jc w:val="center"/>
        <w:rPr>
          <w:rFonts w:ascii="Times New Roman" w:hAnsi="Times New Roman"/>
          <w:color w:val="000000"/>
          <w:sz w:val="24"/>
          <w:szCs w:val="24"/>
        </w:rPr>
      </w:pPr>
    </w:p>
    <w:p w14:paraId="7C02A508"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Парламент Норвегии установил следующие лимиты на инвестиции </w:t>
      </w:r>
      <w:r w:rsidRPr="003B10E2">
        <w:rPr>
          <w:rFonts w:ascii="Times New Roman" w:hAnsi="Times New Roman"/>
          <w:color w:val="000000"/>
          <w:sz w:val="28"/>
          <w:szCs w:val="28"/>
          <w:lang w:val="en-US"/>
        </w:rPr>
        <w:t>GPFG</w:t>
      </w:r>
      <w:r w:rsidRPr="003B10E2">
        <w:rPr>
          <w:rFonts w:ascii="Times New Roman" w:hAnsi="Times New Roman"/>
          <w:color w:val="000000"/>
          <w:sz w:val="28"/>
          <w:szCs w:val="28"/>
        </w:rPr>
        <w:t xml:space="preserve">: 60% </w:t>
      </w:r>
      <w:r w:rsidRPr="003B10E2">
        <w:rPr>
          <w:rFonts w:ascii="Times New Roman" w:hAnsi="Times New Roman"/>
          <w:color w:val="000000"/>
          <w:sz w:val="28"/>
          <w:szCs w:val="28"/>
          <w:lang w:eastAsia="ar-SA"/>
        </w:rPr>
        <w:t>—</w:t>
      </w:r>
      <w:r w:rsidRPr="003B10E2">
        <w:rPr>
          <w:rFonts w:ascii="Times New Roman" w:hAnsi="Times New Roman"/>
          <w:color w:val="000000"/>
          <w:sz w:val="28"/>
          <w:szCs w:val="28"/>
        </w:rPr>
        <w:t xml:space="preserve"> акции, 5% </w:t>
      </w:r>
      <w:r w:rsidRPr="003B10E2">
        <w:rPr>
          <w:rFonts w:ascii="Times New Roman" w:hAnsi="Times New Roman"/>
          <w:color w:val="000000"/>
          <w:sz w:val="28"/>
          <w:szCs w:val="28"/>
          <w:lang w:eastAsia="ar-SA"/>
        </w:rPr>
        <w:t>—</w:t>
      </w:r>
      <w:r w:rsidRPr="003B10E2">
        <w:rPr>
          <w:rFonts w:ascii="Times New Roman" w:hAnsi="Times New Roman"/>
          <w:color w:val="000000"/>
          <w:sz w:val="28"/>
          <w:szCs w:val="28"/>
        </w:rPr>
        <w:t xml:space="preserve"> недвижимость, остальное </w:t>
      </w:r>
      <w:r w:rsidRPr="003B10E2">
        <w:rPr>
          <w:rFonts w:ascii="Times New Roman" w:hAnsi="Times New Roman"/>
          <w:color w:val="000000"/>
          <w:sz w:val="28"/>
          <w:szCs w:val="28"/>
          <w:lang w:eastAsia="ar-SA"/>
        </w:rPr>
        <w:t>—</w:t>
      </w:r>
      <w:r w:rsidRPr="003B10E2">
        <w:rPr>
          <w:rFonts w:ascii="Times New Roman" w:hAnsi="Times New Roman"/>
          <w:color w:val="000000"/>
          <w:sz w:val="28"/>
          <w:szCs w:val="28"/>
        </w:rPr>
        <w:t xml:space="preserve"> облигации [126]. Для поддержания лимитов производится регулярная оценка и корректировка портфеля фонда.</w:t>
      </w:r>
    </w:p>
    <w:p w14:paraId="0C82283C"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Основной целью в 2001 г. было разработано бюджетное правило следующего содержания.</w:t>
      </w:r>
    </w:p>
    <w:p w14:paraId="784E30E1"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1) Расходование средств </w:t>
      </w:r>
      <w:r w:rsidRPr="003B10E2">
        <w:rPr>
          <w:rFonts w:ascii="Times New Roman" w:hAnsi="Times New Roman"/>
          <w:color w:val="000000"/>
          <w:sz w:val="28"/>
          <w:szCs w:val="28"/>
          <w:lang w:val="en-US"/>
        </w:rPr>
        <w:t>GPFG</w:t>
      </w:r>
      <w:r w:rsidRPr="003B10E2">
        <w:rPr>
          <w:rFonts w:ascii="Times New Roman" w:hAnsi="Times New Roman"/>
          <w:color w:val="000000"/>
          <w:sz w:val="28"/>
          <w:szCs w:val="28"/>
        </w:rPr>
        <w:t xml:space="preserve"> должно сглаживать поток государственных расходов.</w:t>
      </w:r>
    </w:p>
    <w:p w14:paraId="6AB61295"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2) Ежегодный дефицит государственного бюджета Норвегии (без учета нефтяных доходов), который покрывается из </w:t>
      </w:r>
      <w:r w:rsidRPr="003B10E2">
        <w:rPr>
          <w:rFonts w:ascii="Times New Roman" w:hAnsi="Times New Roman"/>
          <w:color w:val="000000"/>
          <w:sz w:val="28"/>
          <w:szCs w:val="28"/>
          <w:lang w:val="en-US"/>
        </w:rPr>
        <w:t>GPFG</w:t>
      </w:r>
      <w:r w:rsidRPr="003B10E2">
        <w:rPr>
          <w:rFonts w:ascii="Times New Roman" w:hAnsi="Times New Roman"/>
          <w:color w:val="000000"/>
          <w:sz w:val="28"/>
          <w:szCs w:val="28"/>
        </w:rPr>
        <w:t xml:space="preserve">, должен составлять не более 4% стоимости активов </w:t>
      </w:r>
      <w:r w:rsidRPr="003B10E2">
        <w:rPr>
          <w:rFonts w:ascii="Times New Roman" w:hAnsi="Times New Roman"/>
          <w:color w:val="000000"/>
          <w:sz w:val="28"/>
          <w:szCs w:val="28"/>
          <w:lang w:val="en-US"/>
        </w:rPr>
        <w:t>GPFG</w:t>
      </w:r>
      <w:r w:rsidRPr="003B10E2">
        <w:rPr>
          <w:rFonts w:ascii="Times New Roman" w:hAnsi="Times New Roman"/>
          <w:color w:val="000000"/>
          <w:sz w:val="28"/>
          <w:szCs w:val="28"/>
        </w:rPr>
        <w:t xml:space="preserve"> на начало года.</w:t>
      </w:r>
    </w:p>
    <w:p w14:paraId="65F3DF3A" w14:textId="77777777" w:rsidR="000E0FE8" w:rsidRPr="003B10E2" w:rsidRDefault="000E0FE8" w:rsidP="000E0FE8">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3) Временные отступления от вышеуказанной нормы допускаются, когда необходимо сгладить циклические колебания бюджетных доходов.</w:t>
      </w:r>
    </w:p>
    <w:p w14:paraId="57C7B2FF" w14:textId="77777777" w:rsidR="000E0FE8" w:rsidRPr="003B10E2" w:rsidRDefault="000E0FE8" w:rsidP="000E0FE8">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Проблема заключается в том, что в нестабильной экономической ситуации стоимость активов фонда может существенно колебаться [269]. Третий пункт правила показывает, что сглаживание не должно мешать дискретной фискальной политике как контрциклический инструмент. </w:t>
      </w:r>
    </w:p>
    <w:p w14:paraId="232AD54D" w14:textId="77777777" w:rsidR="000E0FE8" w:rsidRPr="003B10E2" w:rsidRDefault="000E0FE8" w:rsidP="000E0FE8">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Стратегии инвестирования фонда и расходования доходов должны быть взаимосвязаны. Существует практика перераспределения активов в инвестиционных портфелях фонда после существенного изменения цен, что не всегда оправдано, когда фонд обязан сглаживать поток текущих расходов. Часто неблагоприятная конъюнктура рынка может привести к тому, что риск портфеля должен быть уменьшен, чтобы обеспечивать сглаживание расходов бюджета. В начале 1990-х гг. на смену ей пришла постсовременная портфельная теория [237]. Теория имеет смысл, только если она основана на эмпирических расчетах.</w:t>
      </w:r>
    </w:p>
    <w:p w14:paraId="3D45BDB2" w14:textId="77777777" w:rsidR="000E0FE8" w:rsidRDefault="000E0FE8" w:rsidP="00B13660">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Теория временных предпочтений предполагает, что оптимальный риск должен положительно зависеть от нормальной ставки доходности [129]. Бюджетное правило не принимает во внимание риск (хотя, исходя из теории, он должен учитываться). Ежегодные расходы фонда должны зависеть от нормальной нормы прибыли с поправкой на риск. Возникает вопрос: какую ставку использовать для поправки на риск </w:t>
      </w:r>
      <w:r w:rsidRPr="003B10E2">
        <w:rPr>
          <w:rFonts w:ascii="Times New Roman" w:hAnsi="Times New Roman"/>
          <w:color w:val="000000"/>
          <w:sz w:val="28"/>
          <w:szCs w:val="28"/>
          <w:lang w:eastAsia="ar-SA"/>
        </w:rPr>
        <w:t>—</w:t>
      </w:r>
      <w:r w:rsidRPr="003B10E2">
        <w:rPr>
          <w:rFonts w:ascii="Times New Roman" w:hAnsi="Times New Roman"/>
          <w:color w:val="000000"/>
          <w:sz w:val="28"/>
          <w:szCs w:val="28"/>
        </w:rPr>
        <w:t xml:space="preserve"> текущую безрисковую или нормальную безрисковую? Бюджет имеет неинвестиционные доходы (аналог трудового дохода индивидуального инвестора) и инвестиционные доходы, которые можно считать аналогом доходов инвестора. </w:t>
      </w:r>
      <w:bookmarkEnd w:id="132"/>
    </w:p>
    <w:p w14:paraId="378B1D85" w14:textId="77777777" w:rsidR="007C437C" w:rsidRPr="003B10E2" w:rsidRDefault="007C437C" w:rsidP="00B13660">
      <w:pPr>
        <w:spacing w:after="0" w:line="360" w:lineRule="auto"/>
        <w:ind w:firstLine="851"/>
        <w:contextualSpacing/>
        <w:jc w:val="both"/>
        <w:rPr>
          <w:rFonts w:ascii="Times New Roman" w:hAnsi="Times New Roman"/>
          <w:b/>
          <w:bCs/>
          <w:color w:val="000000"/>
          <w:sz w:val="32"/>
          <w:szCs w:val="32"/>
        </w:rPr>
      </w:pPr>
    </w:p>
    <w:p w14:paraId="6EF85892" w14:textId="77777777" w:rsidR="000E0FE8" w:rsidRDefault="00B13660" w:rsidP="000E0FE8">
      <w:pPr>
        <w:pStyle w:val="2"/>
        <w:spacing w:before="0" w:line="360" w:lineRule="auto"/>
        <w:ind w:firstLine="708"/>
        <w:jc w:val="both"/>
        <w:rPr>
          <w:rFonts w:ascii="Times New Roman" w:hAnsi="Times New Roman"/>
          <w:b/>
          <w:bCs/>
          <w:color w:val="000000"/>
          <w:sz w:val="28"/>
          <w:szCs w:val="28"/>
        </w:rPr>
      </w:pPr>
      <w:bookmarkStart w:id="133" w:name="_Toc497226240"/>
      <w:bookmarkStart w:id="134" w:name="_Toc497226344"/>
      <w:bookmarkStart w:id="135" w:name="_Toc497226911"/>
      <w:bookmarkStart w:id="136" w:name="_Toc497227188"/>
      <w:bookmarkStart w:id="137" w:name="_Toc497237369"/>
      <w:bookmarkStart w:id="138" w:name="_Toc500085715"/>
      <w:bookmarkStart w:id="139" w:name="_Toc502763360"/>
      <w:bookmarkStart w:id="140" w:name="_Toc503179434"/>
      <w:bookmarkStart w:id="141" w:name="_Toc523499799"/>
      <w:bookmarkStart w:id="142" w:name="_Toc530742359"/>
      <w:bookmarkStart w:id="143" w:name="_Toc76819136"/>
      <w:bookmarkStart w:id="144" w:name="_Toc145164376"/>
      <w:r w:rsidRPr="003B10E2">
        <w:rPr>
          <w:rFonts w:ascii="Times New Roman" w:hAnsi="Times New Roman"/>
          <w:b/>
          <w:bCs/>
          <w:color w:val="000000"/>
          <w:sz w:val="28"/>
          <w:szCs w:val="28"/>
        </w:rPr>
        <w:t>2</w:t>
      </w:r>
      <w:r w:rsidR="000E0FE8" w:rsidRPr="003B10E2">
        <w:rPr>
          <w:rFonts w:ascii="Times New Roman" w:hAnsi="Times New Roman"/>
          <w:b/>
          <w:bCs/>
          <w:color w:val="000000"/>
          <w:sz w:val="28"/>
          <w:szCs w:val="28"/>
        </w:rPr>
        <w:t>.</w:t>
      </w:r>
      <w:r w:rsidRPr="003B10E2">
        <w:rPr>
          <w:rFonts w:ascii="Times New Roman" w:hAnsi="Times New Roman"/>
          <w:b/>
          <w:bCs/>
          <w:color w:val="000000"/>
          <w:sz w:val="28"/>
          <w:szCs w:val="28"/>
        </w:rPr>
        <w:t>3</w:t>
      </w:r>
      <w:r w:rsidR="000E0FE8" w:rsidRPr="003B10E2">
        <w:rPr>
          <w:rFonts w:ascii="Times New Roman" w:hAnsi="Times New Roman"/>
          <w:b/>
          <w:bCs/>
          <w:color w:val="000000"/>
          <w:sz w:val="28"/>
          <w:szCs w:val="28"/>
        </w:rPr>
        <w:t xml:space="preserve"> </w:t>
      </w:r>
      <w:bookmarkEnd w:id="133"/>
      <w:bookmarkEnd w:id="134"/>
      <w:bookmarkEnd w:id="135"/>
      <w:bookmarkEnd w:id="136"/>
      <w:bookmarkEnd w:id="137"/>
      <w:bookmarkEnd w:id="138"/>
      <w:bookmarkEnd w:id="139"/>
      <w:bookmarkEnd w:id="140"/>
      <w:bookmarkEnd w:id="141"/>
      <w:bookmarkEnd w:id="142"/>
      <w:bookmarkEnd w:id="143"/>
      <w:r w:rsidRPr="003B10E2">
        <w:rPr>
          <w:rFonts w:ascii="Times New Roman" w:hAnsi="Times New Roman"/>
          <w:b/>
          <w:bCs/>
          <w:color w:val="000000"/>
          <w:sz w:val="28"/>
          <w:szCs w:val="28"/>
        </w:rPr>
        <w:t>Прогноз долгосрочных инвестиционных стратегий глобальных институциональных инвесторов с учетом структурных сдвигов</w:t>
      </w:r>
      <w:bookmarkEnd w:id="144"/>
    </w:p>
    <w:p w14:paraId="486AD066" w14:textId="77777777" w:rsidR="007C437C" w:rsidRPr="007C437C" w:rsidRDefault="007C437C" w:rsidP="007C437C"/>
    <w:p w14:paraId="44C9C088"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России и Китае активно развивается законодательство в области регулирования рынка криптоактивов. Появление криптоактивов началось с создания биткойна. Биткойн был создан Сатоси Накамото, который опубликовал 31 октября 2008 г. аналитическую статью под названием «Биткойн: пиринговая система электронной наличности». Проект был реализован с открытым исходным кодом и выпущен в январе 2009 г. Другие криптовалюты начали появляться, начиная с 2011 г.</w:t>
      </w:r>
    </w:p>
    <w:p w14:paraId="0AEBF554"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2013 году некоторые веб-сайты начали прием биткойнов. Expedia стал принимать биткойны в июне 2014 года, Microsoft — в декабре 2014 года. Первый биткойн-банкомат был установлен в октябре 2013 года в Ванкувере в Канаде.</w:t>
      </w:r>
    </w:p>
    <w:p w14:paraId="192F5BC7"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Криптоактив </w:t>
      </w:r>
      <w:r w:rsidRPr="003B10E2">
        <w:rPr>
          <w:rFonts w:ascii="Times New Roman" w:hAnsi="Times New Roman"/>
          <w:color w:val="000000"/>
          <w:sz w:val="28"/>
          <w:szCs w:val="28"/>
          <w:lang w:eastAsia="ar-SA"/>
        </w:rPr>
        <w:t>—</w:t>
      </w:r>
      <w:r w:rsidRPr="003B10E2">
        <w:rPr>
          <w:rFonts w:ascii="Times New Roman" w:hAnsi="Times New Roman"/>
          <w:color w:val="000000"/>
          <w:sz w:val="28"/>
          <w:szCs w:val="28"/>
        </w:rPr>
        <w:t xml:space="preserve"> это цифровые данные, принадлежность которых может быть подтверждена цифровой подписью и существование которых может быть доказано с помощью независимой системы. Криптовалюта </w:t>
      </w:r>
      <w:r w:rsidRPr="003B10E2">
        <w:rPr>
          <w:rFonts w:ascii="Times New Roman" w:hAnsi="Times New Roman"/>
          <w:color w:val="000000"/>
          <w:sz w:val="28"/>
          <w:szCs w:val="28"/>
          <w:lang w:eastAsia="ar-SA"/>
        </w:rPr>
        <w:t>—</w:t>
      </w:r>
      <w:r w:rsidRPr="003B10E2">
        <w:rPr>
          <w:rFonts w:ascii="Times New Roman" w:hAnsi="Times New Roman"/>
          <w:color w:val="000000"/>
          <w:sz w:val="28"/>
          <w:szCs w:val="28"/>
        </w:rPr>
        <w:t xml:space="preserve"> это независимая система, а криптоактивы </w:t>
      </w:r>
      <w:r w:rsidRPr="003B10E2">
        <w:rPr>
          <w:rFonts w:ascii="Times New Roman" w:hAnsi="Times New Roman"/>
          <w:color w:val="000000"/>
          <w:sz w:val="28"/>
          <w:szCs w:val="28"/>
          <w:lang w:eastAsia="ar-SA"/>
        </w:rPr>
        <w:t>—</w:t>
      </w:r>
      <w:r w:rsidRPr="003B10E2">
        <w:rPr>
          <w:rFonts w:ascii="Times New Roman" w:hAnsi="Times New Roman"/>
          <w:color w:val="000000"/>
          <w:sz w:val="28"/>
          <w:szCs w:val="28"/>
        </w:rPr>
        <w:t xml:space="preserve"> это зависимые системы, цена которых может быть выражена в криптовалютах.</w:t>
      </w:r>
    </w:p>
    <w:p w14:paraId="48E0A6FA"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Особенностью генерации биткойна является то, что награда будет уменьшаться до нуля, пока не будет достигнут потолок эмиссии биткойна в 21 млн биткойнов. Другими словами, биткойн имеет предел эмиссии [288]. Для хранения всех криптоактивов используются кошельки или счета на криптобиржах.  Первая программа-кошелек была выпущена в 2009 году Сатоси Накамото в качестве открытого исходного кода.</w:t>
      </w:r>
    </w:p>
    <w:p w14:paraId="6D729BCF"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Право собственности на биткойны подразумевает, что пользователь может потратить биткойны, связанные с конкретным адресом. Для этого плательщик должен подписывать сделки с использованием соответствующего частного ключа, который представляет собой файл. Если секретный ключ утерян, то других доказательства собственности не могут быть применены, таким образом криптоактив становится непригодным для использования, и его стоимость становится равной нулю. Например, в 2013 году один из пользователей утверждал, что потерял 7500 биткойнов на сумму 7,5 миллиона долларов, когда он случайно выбросил жесткий диск со своим закрытым электронным ключом.</w:t>
      </w:r>
    </w:p>
    <w:p w14:paraId="60D04FFB"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Чтобы понять особенности ценообразования биткойна, следует рассмотреть, как формируется спрос и предложение на этом рынке. Во-первых, предложение ограничено и составляет 21 млн биткойнов. При этом предложение будет падать вплоть до полной остановки эмиссии в конце 30-х годов 21 века. Цель снижения темпов роста предложения </w:t>
      </w:r>
      <w:r w:rsidRPr="003B10E2">
        <w:rPr>
          <w:rFonts w:ascii="Times New Roman" w:hAnsi="Times New Roman"/>
          <w:color w:val="000000"/>
          <w:sz w:val="28"/>
          <w:szCs w:val="28"/>
          <w:lang w:eastAsia="ar-SA"/>
        </w:rPr>
        <w:t>—</w:t>
      </w:r>
      <w:r w:rsidRPr="003B10E2">
        <w:rPr>
          <w:rFonts w:ascii="Times New Roman" w:hAnsi="Times New Roman"/>
          <w:color w:val="000000"/>
          <w:sz w:val="28"/>
          <w:szCs w:val="28"/>
        </w:rPr>
        <w:t xml:space="preserve"> создание дефицита на рынке. Кроме того, награда за производство будет уменьшаться на 50% через каждые 210 000 блоков (рисунок </w:t>
      </w:r>
      <w:r w:rsidR="009C0C92" w:rsidRPr="003B10E2">
        <w:rPr>
          <w:rFonts w:ascii="Times New Roman" w:hAnsi="Times New Roman"/>
          <w:color w:val="000000"/>
          <w:sz w:val="28"/>
          <w:szCs w:val="28"/>
        </w:rPr>
        <w:t>31</w:t>
      </w:r>
      <w:r w:rsidRPr="003B10E2">
        <w:rPr>
          <w:rFonts w:ascii="Times New Roman" w:hAnsi="Times New Roman"/>
          <w:color w:val="000000"/>
          <w:sz w:val="28"/>
          <w:szCs w:val="28"/>
        </w:rPr>
        <w:t>).</w:t>
      </w:r>
    </w:p>
    <w:p w14:paraId="32992CB9" w14:textId="77777777" w:rsidR="000E0FE8" w:rsidRPr="003B10E2" w:rsidRDefault="00C72198" w:rsidP="000E0FE8">
      <w:pPr>
        <w:spacing w:after="0" w:line="360" w:lineRule="auto"/>
        <w:jc w:val="both"/>
        <w:rPr>
          <w:rFonts w:ascii="Times New Roman" w:hAnsi="Times New Roman"/>
          <w:color w:val="000000"/>
          <w:sz w:val="28"/>
          <w:szCs w:val="28"/>
        </w:rPr>
      </w:pPr>
      <w:r w:rsidRPr="003B10E2">
        <w:rPr>
          <w:noProof/>
        </w:rPr>
        <w:drawing>
          <wp:inline distT="0" distB="0" distL="0" distR="0" wp14:anchorId="1FD4E39E" wp14:editId="452CE07E">
            <wp:extent cx="5946140" cy="3495040"/>
            <wp:effectExtent l="0" t="0" r="0" b="0"/>
            <wp:docPr id="29" name="Рисунок 20" descr="Описание: C:\Users\Алексей\Desktop\УМ\Миркин\Диссер 2017\Бит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0" descr="Описание: C:\Users\Алексей\Desktop\УМ\Миркин\Диссер 2017\Бит1.PNG"/>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6140" cy="3495040"/>
                    </a:xfrm>
                    <a:prstGeom prst="rect">
                      <a:avLst/>
                    </a:prstGeom>
                    <a:noFill/>
                    <a:ln>
                      <a:noFill/>
                    </a:ln>
                  </pic:spPr>
                </pic:pic>
              </a:graphicData>
            </a:graphic>
          </wp:inline>
        </w:drawing>
      </w:r>
    </w:p>
    <w:p w14:paraId="39557532" w14:textId="77777777"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Источник: </w:t>
      </w:r>
      <w:r w:rsidRPr="003B10E2">
        <w:rPr>
          <w:rFonts w:ascii="Times New Roman" w:hAnsi="Times New Roman"/>
          <w:color w:val="000000"/>
          <w:sz w:val="24"/>
          <w:szCs w:val="24"/>
          <w:lang w:val="en-US"/>
        </w:rPr>
        <w:t>Thomson</w:t>
      </w:r>
      <w:r w:rsidRPr="003B10E2">
        <w:rPr>
          <w:rFonts w:ascii="Times New Roman" w:hAnsi="Times New Roman"/>
          <w:color w:val="000000"/>
          <w:sz w:val="24"/>
          <w:szCs w:val="24"/>
        </w:rPr>
        <w:t xml:space="preserve"> </w:t>
      </w:r>
      <w:r w:rsidRPr="003B10E2">
        <w:rPr>
          <w:rFonts w:ascii="Times New Roman" w:hAnsi="Times New Roman"/>
          <w:color w:val="000000"/>
          <w:sz w:val="24"/>
          <w:szCs w:val="24"/>
          <w:lang w:val="en-US"/>
        </w:rPr>
        <w:t>Reuters</w:t>
      </w:r>
      <w:r w:rsidRPr="003B10E2">
        <w:rPr>
          <w:rFonts w:ascii="Times New Roman" w:hAnsi="Times New Roman"/>
          <w:color w:val="000000"/>
          <w:sz w:val="24"/>
          <w:szCs w:val="24"/>
        </w:rPr>
        <w:t xml:space="preserve">, </w:t>
      </w:r>
      <w:r w:rsidRPr="003B10E2">
        <w:rPr>
          <w:rFonts w:ascii="Times New Roman" w:hAnsi="Times New Roman"/>
          <w:color w:val="000000"/>
          <w:sz w:val="24"/>
          <w:szCs w:val="24"/>
          <w:lang w:val="en-US"/>
        </w:rPr>
        <w:t>Thomson</w:t>
      </w:r>
      <w:r w:rsidRPr="003B10E2">
        <w:rPr>
          <w:rFonts w:ascii="Times New Roman" w:hAnsi="Times New Roman"/>
          <w:color w:val="000000"/>
          <w:sz w:val="24"/>
          <w:szCs w:val="24"/>
        </w:rPr>
        <w:t xml:space="preserve"> </w:t>
      </w:r>
      <w:r w:rsidRPr="003B10E2">
        <w:rPr>
          <w:rFonts w:ascii="Times New Roman" w:hAnsi="Times New Roman"/>
          <w:color w:val="000000"/>
          <w:sz w:val="24"/>
          <w:szCs w:val="24"/>
          <w:lang w:val="en-US"/>
        </w:rPr>
        <w:t>Reuters</w:t>
      </w:r>
      <w:r w:rsidRPr="003B10E2">
        <w:rPr>
          <w:rFonts w:ascii="Times New Roman" w:hAnsi="Times New Roman"/>
          <w:color w:val="000000"/>
          <w:sz w:val="24"/>
          <w:szCs w:val="24"/>
        </w:rPr>
        <w:t>, Мейнхард и Михайлов (2020).</w:t>
      </w:r>
    </w:p>
    <w:p w14:paraId="1E7DDDA7" w14:textId="77777777" w:rsidR="000E0FE8" w:rsidRPr="003B10E2" w:rsidRDefault="000E0FE8" w:rsidP="000E0FE8">
      <w:pPr>
        <w:spacing w:after="0" w:line="240" w:lineRule="auto"/>
        <w:jc w:val="center"/>
        <w:rPr>
          <w:rFonts w:ascii="Times New Roman" w:hAnsi="Times New Roman"/>
          <w:color w:val="000000"/>
          <w:sz w:val="24"/>
          <w:szCs w:val="24"/>
        </w:rPr>
      </w:pPr>
      <w:bookmarkStart w:id="145" w:name="_Hlk116515260"/>
      <w:r w:rsidRPr="003B10E2">
        <w:rPr>
          <w:rFonts w:ascii="Times New Roman" w:hAnsi="Times New Roman"/>
          <w:color w:val="000000"/>
          <w:sz w:val="24"/>
          <w:szCs w:val="24"/>
        </w:rPr>
        <w:t xml:space="preserve">Рисунок </w:t>
      </w:r>
      <w:r w:rsidR="009C0C92" w:rsidRPr="003B10E2">
        <w:rPr>
          <w:rFonts w:ascii="Times New Roman" w:hAnsi="Times New Roman"/>
          <w:color w:val="000000"/>
          <w:sz w:val="24"/>
          <w:szCs w:val="24"/>
        </w:rPr>
        <w:t>31</w:t>
      </w:r>
      <w:r w:rsidRPr="003B10E2">
        <w:rPr>
          <w:rFonts w:ascii="Times New Roman" w:hAnsi="Times New Roman"/>
          <w:color w:val="000000"/>
          <w:sz w:val="24"/>
          <w:szCs w:val="24"/>
        </w:rPr>
        <w:t xml:space="preserve"> – Динамика предложения биткойна и денежной базы, %</w:t>
      </w:r>
      <w:bookmarkEnd w:id="145"/>
    </w:p>
    <w:p w14:paraId="5DAD0504" w14:textId="77777777" w:rsidR="000E0FE8" w:rsidRPr="003B10E2" w:rsidRDefault="000E0FE8" w:rsidP="000E0FE8">
      <w:pPr>
        <w:spacing w:after="0" w:line="360" w:lineRule="auto"/>
        <w:ind w:firstLine="851"/>
        <w:jc w:val="center"/>
        <w:rPr>
          <w:rFonts w:ascii="Times New Roman" w:hAnsi="Times New Roman"/>
          <w:color w:val="000000"/>
          <w:sz w:val="24"/>
          <w:szCs w:val="24"/>
        </w:rPr>
      </w:pPr>
    </w:p>
    <w:p w14:paraId="51A650E1" w14:textId="77777777" w:rsidR="000E0FE8" w:rsidRPr="003B10E2" w:rsidRDefault="000E0FE8" w:rsidP="000E0FE8">
      <w:pPr>
        <w:spacing w:after="0" w:line="360" w:lineRule="auto"/>
        <w:ind w:firstLine="851"/>
        <w:rPr>
          <w:rFonts w:ascii="Times New Roman" w:hAnsi="Times New Roman"/>
          <w:color w:val="000000"/>
          <w:sz w:val="28"/>
          <w:szCs w:val="28"/>
        </w:rPr>
      </w:pPr>
    </w:p>
    <w:p w14:paraId="7479AD30"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Процесс эмиссии биткойна основан на идеях Милтона Фридмана. Фридман утверждал, что «наиболее важная величина, которую монетарные власти могут эффективно контролировать и за которую несут ответственность — это денежная база». Это предотвращает то, что Фридман описывает как «оппортунистическое поведение» и может являться «эффективной страховкой от крупных денежных нарушений». Хотя процесс эмиссии биткойна немного отклоняется от программы, которую разработал Милтон Фридман, денежная база биткойна известна в любой момент времени [258]. Эмиссия новых биткойнов снижается в два раза каждые четыре года, пока размер биткойнов в обращении не достигнет 21 миллиона, тогда эмиссия прекратится. Деньги побудили общество отказаться от бартерной системы и позволили людям в дальнейшем специализироваться на определенной экономической деятельности [255].</w:t>
      </w:r>
    </w:p>
    <w:p w14:paraId="7AF60864"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Понимание характеристик денег необходимо оценить, чтобы выяснить, действительно ли биткойн выполняет эти требования. Для того, чтобы быть законной, какая-либо валюта должна удовлетворять трем требованиям и выступать:</w:t>
      </w:r>
    </w:p>
    <w:p w14:paraId="4BACCB34" w14:textId="77777777" w:rsidR="000E0FE8" w:rsidRPr="003B10E2" w:rsidRDefault="000E0FE8" w:rsidP="000E0FE8">
      <w:pPr>
        <w:pStyle w:val="aff8"/>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1) средством обмена;</w:t>
      </w:r>
    </w:p>
    <w:p w14:paraId="3EFC72DE" w14:textId="77777777" w:rsidR="000E0FE8" w:rsidRPr="003B10E2" w:rsidRDefault="000E0FE8" w:rsidP="000E0FE8">
      <w:pPr>
        <w:pStyle w:val="aff8"/>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2) средством учета;</w:t>
      </w:r>
    </w:p>
    <w:p w14:paraId="75CF747B" w14:textId="77777777" w:rsidR="000E0FE8" w:rsidRPr="003B10E2" w:rsidRDefault="000E0FE8" w:rsidP="000E0FE8">
      <w:pPr>
        <w:pStyle w:val="aff8"/>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3) мерой стоимости [256].</w:t>
      </w:r>
    </w:p>
    <w:p w14:paraId="32B4779D" w14:textId="77777777" w:rsidR="000E0FE8" w:rsidRPr="003B10E2" w:rsidRDefault="000E0FE8" w:rsidP="000E0FE8">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ab/>
        <w:t xml:space="preserve">2015 год стал ключевым для признания биткойна как актива. В работах Ермак (2013) и Ло и Ван (2014) впервые было предложено классифицировать биткойн в качестве валюты. В 2015 году Европейский Союз признал криптовалюту. В некоторых странах в настоящее время биткойн признан в качестве товара или финансового актива. В России окончательный статус биткойна и криптоактивов в целом пока не определен (рисунки </w:t>
      </w:r>
      <w:r w:rsidR="009C0C92" w:rsidRPr="003B10E2">
        <w:rPr>
          <w:rFonts w:ascii="Times New Roman" w:hAnsi="Times New Roman"/>
          <w:color w:val="000000"/>
          <w:sz w:val="28"/>
          <w:szCs w:val="28"/>
        </w:rPr>
        <w:t>32</w:t>
      </w:r>
      <w:r w:rsidRPr="003B10E2">
        <w:rPr>
          <w:rFonts w:ascii="Times New Roman" w:hAnsi="Times New Roman"/>
          <w:color w:val="000000"/>
          <w:sz w:val="28"/>
          <w:szCs w:val="28"/>
        </w:rPr>
        <w:t>-</w:t>
      </w:r>
      <w:r w:rsidR="009C0C92" w:rsidRPr="003B10E2">
        <w:rPr>
          <w:rFonts w:ascii="Times New Roman" w:hAnsi="Times New Roman"/>
          <w:color w:val="000000"/>
          <w:sz w:val="28"/>
          <w:szCs w:val="28"/>
        </w:rPr>
        <w:t>36</w:t>
      </w:r>
      <w:r w:rsidRPr="003B10E2">
        <w:rPr>
          <w:rFonts w:ascii="Times New Roman" w:hAnsi="Times New Roman"/>
          <w:color w:val="000000"/>
          <w:sz w:val="28"/>
          <w:szCs w:val="28"/>
        </w:rPr>
        <w:t xml:space="preserve">). </w:t>
      </w:r>
    </w:p>
    <w:p w14:paraId="505D8F49" w14:textId="77777777" w:rsidR="000E0FE8" w:rsidRPr="003B10E2" w:rsidRDefault="00C72198" w:rsidP="000E0FE8">
      <w:pPr>
        <w:keepNext/>
        <w:keepLines/>
        <w:spacing w:before="40" w:after="0" w:line="276" w:lineRule="auto"/>
        <w:jc w:val="both"/>
        <w:outlineLvl w:val="1"/>
        <w:rPr>
          <w:rFonts w:ascii="Palatino Linotype" w:eastAsia="Times New Roman" w:hAnsi="Palatino Linotype"/>
          <w:bCs/>
          <w:color w:val="000000"/>
          <w:sz w:val="20"/>
          <w:lang w:val="en-US" w:eastAsia="zh-CN" w:bidi="en-US"/>
        </w:rPr>
      </w:pPr>
      <w:bookmarkStart w:id="146" w:name="_Toc144837934"/>
      <w:bookmarkStart w:id="147" w:name="_Toc144838212"/>
      <w:bookmarkStart w:id="148" w:name="_Toc145163889"/>
      <w:bookmarkStart w:id="149" w:name="_Toc145164258"/>
      <w:bookmarkStart w:id="150" w:name="_Toc145164377"/>
      <w:r w:rsidRPr="003B10E2">
        <w:rPr>
          <w:noProof/>
        </w:rPr>
        <w:drawing>
          <wp:inline distT="0" distB="0" distL="0" distR="0" wp14:anchorId="65AD0F2C" wp14:editId="3B2BFD2D">
            <wp:extent cx="5941060" cy="3225800"/>
            <wp:effectExtent l="0" t="0" r="0" b="0"/>
            <wp:docPr id="30" name="Рисунок 5" descr="Изображение выглядит как текст, линия, снимок экрана, График&#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Изображение выглядит как текст, линия, снимок экрана, График&#10;&#10;Автоматически созданное описание"/>
                    <pic:cNvPicPr>
                      <a:picLocks/>
                    </pic:cNvPicPr>
                  </pic:nvPicPr>
                  <pic:blipFill>
                    <a:blip r:embed="rId48">
                      <a:grayscl/>
                      <a:extLst>
                        <a:ext uri="{28A0092B-C50C-407E-A947-70E740481C1C}">
                          <a14:useLocalDpi xmlns:a14="http://schemas.microsoft.com/office/drawing/2010/main" val="0"/>
                        </a:ext>
                      </a:extLst>
                    </a:blip>
                    <a:srcRect/>
                    <a:stretch>
                      <a:fillRect/>
                    </a:stretch>
                  </pic:blipFill>
                  <pic:spPr bwMode="auto">
                    <a:xfrm>
                      <a:off x="0" y="0"/>
                      <a:ext cx="5941060" cy="3225800"/>
                    </a:xfrm>
                    <a:prstGeom prst="rect">
                      <a:avLst/>
                    </a:prstGeom>
                    <a:noFill/>
                    <a:ln>
                      <a:noFill/>
                    </a:ln>
                  </pic:spPr>
                </pic:pic>
              </a:graphicData>
            </a:graphic>
          </wp:inline>
        </w:drawing>
      </w:r>
      <w:bookmarkEnd w:id="146"/>
      <w:bookmarkEnd w:id="147"/>
      <w:bookmarkEnd w:id="148"/>
      <w:bookmarkEnd w:id="149"/>
      <w:bookmarkEnd w:id="150"/>
    </w:p>
    <w:p w14:paraId="304EC7C6" w14:textId="77777777"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Источник: </w:t>
      </w:r>
      <w:r w:rsidRPr="003B10E2">
        <w:rPr>
          <w:rFonts w:ascii="Times New Roman" w:hAnsi="Times New Roman"/>
          <w:color w:val="000000"/>
          <w:sz w:val="24"/>
          <w:szCs w:val="24"/>
          <w:lang w:val="en-US"/>
        </w:rPr>
        <w:t>Thomson</w:t>
      </w:r>
      <w:r w:rsidRPr="003B10E2">
        <w:rPr>
          <w:rFonts w:ascii="Times New Roman" w:hAnsi="Times New Roman"/>
          <w:color w:val="000000"/>
          <w:sz w:val="24"/>
          <w:szCs w:val="24"/>
        </w:rPr>
        <w:t xml:space="preserve"> </w:t>
      </w:r>
      <w:r w:rsidRPr="003B10E2">
        <w:rPr>
          <w:rFonts w:ascii="Times New Roman" w:hAnsi="Times New Roman"/>
          <w:color w:val="000000"/>
          <w:sz w:val="24"/>
          <w:szCs w:val="24"/>
          <w:lang w:val="en-US"/>
        </w:rPr>
        <w:t>Reuters</w:t>
      </w:r>
      <w:r w:rsidRPr="003B10E2">
        <w:rPr>
          <w:rFonts w:ascii="Times New Roman" w:hAnsi="Times New Roman"/>
          <w:color w:val="000000"/>
          <w:sz w:val="24"/>
          <w:szCs w:val="24"/>
        </w:rPr>
        <w:t>.</w:t>
      </w:r>
    </w:p>
    <w:p w14:paraId="5952D21E" w14:textId="77777777" w:rsidR="000E0FE8" w:rsidRPr="003B10E2" w:rsidRDefault="000E0FE8" w:rsidP="000E0FE8">
      <w:pPr>
        <w:spacing w:after="0" w:line="240" w:lineRule="auto"/>
        <w:jc w:val="center"/>
        <w:rPr>
          <w:rFonts w:ascii="Times New Roman" w:hAnsi="Times New Roman"/>
          <w:color w:val="000000"/>
          <w:sz w:val="24"/>
          <w:szCs w:val="24"/>
        </w:rPr>
      </w:pPr>
      <w:bookmarkStart w:id="151" w:name="_Hlk116515491"/>
      <w:r w:rsidRPr="003B10E2">
        <w:rPr>
          <w:rFonts w:ascii="Times New Roman" w:hAnsi="Times New Roman"/>
          <w:color w:val="000000"/>
          <w:sz w:val="24"/>
          <w:szCs w:val="24"/>
        </w:rPr>
        <w:t xml:space="preserve">Рисунок </w:t>
      </w:r>
      <w:r w:rsidR="009C0C92" w:rsidRPr="003B10E2">
        <w:rPr>
          <w:rFonts w:ascii="Times New Roman" w:hAnsi="Times New Roman"/>
          <w:color w:val="000000"/>
          <w:sz w:val="24"/>
          <w:szCs w:val="24"/>
        </w:rPr>
        <w:t>32</w:t>
      </w:r>
      <w:r w:rsidRPr="003B10E2">
        <w:rPr>
          <w:rFonts w:ascii="Times New Roman" w:hAnsi="Times New Roman"/>
          <w:color w:val="000000"/>
          <w:sz w:val="24"/>
          <w:szCs w:val="24"/>
        </w:rPr>
        <w:t xml:space="preserve"> – Динамика капитализации рынка биткойна, млн долл.</w:t>
      </w:r>
      <w:bookmarkEnd w:id="151"/>
    </w:p>
    <w:p w14:paraId="5953A4E9" w14:textId="77777777" w:rsidR="000E0FE8" w:rsidRPr="003B10E2" w:rsidRDefault="000E0FE8" w:rsidP="000E0FE8">
      <w:pPr>
        <w:spacing w:after="0" w:line="240" w:lineRule="auto"/>
        <w:jc w:val="center"/>
        <w:rPr>
          <w:rFonts w:ascii="Times New Roman" w:hAnsi="Times New Roman"/>
          <w:color w:val="000000"/>
          <w:sz w:val="24"/>
          <w:szCs w:val="24"/>
        </w:rPr>
      </w:pPr>
    </w:p>
    <w:p w14:paraId="78EA5A94" w14:textId="77777777" w:rsidR="000E0FE8" w:rsidRPr="003B10E2" w:rsidRDefault="00C72198" w:rsidP="000E0FE8">
      <w:pPr>
        <w:keepNext/>
        <w:keepLines/>
        <w:spacing w:before="40" w:after="0" w:line="276" w:lineRule="auto"/>
        <w:jc w:val="both"/>
        <w:outlineLvl w:val="1"/>
        <w:rPr>
          <w:rFonts w:ascii="Palatino Linotype" w:eastAsia="Times New Roman" w:hAnsi="Palatino Linotype"/>
          <w:bCs/>
          <w:color w:val="000000"/>
          <w:sz w:val="20"/>
          <w:lang w:val="en-US" w:eastAsia="zh-CN" w:bidi="en-US"/>
        </w:rPr>
      </w:pPr>
      <w:bookmarkStart w:id="152" w:name="_Toc144837935"/>
      <w:bookmarkStart w:id="153" w:name="_Toc144838213"/>
      <w:bookmarkStart w:id="154" w:name="_Toc145163890"/>
      <w:bookmarkStart w:id="155" w:name="_Toc145164259"/>
      <w:bookmarkStart w:id="156" w:name="_Toc145164378"/>
      <w:r w:rsidRPr="003B10E2">
        <w:rPr>
          <w:noProof/>
        </w:rPr>
        <w:drawing>
          <wp:inline distT="0" distB="0" distL="0" distR="0" wp14:anchorId="219C7A4C" wp14:editId="0B0C6C03">
            <wp:extent cx="5946140" cy="3371215"/>
            <wp:effectExtent l="0" t="0" r="0" b="0"/>
            <wp:docPr id="31"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pic:cNvPicPr>
                      <a:picLocks/>
                    </pic:cNvPicPr>
                  </pic:nvPicPr>
                  <pic:blipFill>
                    <a:blip r:embed="rId49">
                      <a:grayscl/>
                      <a:extLst>
                        <a:ext uri="{28A0092B-C50C-407E-A947-70E740481C1C}">
                          <a14:useLocalDpi xmlns:a14="http://schemas.microsoft.com/office/drawing/2010/main" val="0"/>
                        </a:ext>
                      </a:extLst>
                    </a:blip>
                    <a:srcRect/>
                    <a:stretch>
                      <a:fillRect/>
                    </a:stretch>
                  </pic:blipFill>
                  <pic:spPr bwMode="auto">
                    <a:xfrm>
                      <a:off x="0" y="0"/>
                      <a:ext cx="5946140" cy="3371215"/>
                    </a:xfrm>
                    <a:prstGeom prst="rect">
                      <a:avLst/>
                    </a:prstGeom>
                    <a:noFill/>
                    <a:ln>
                      <a:noFill/>
                    </a:ln>
                  </pic:spPr>
                </pic:pic>
              </a:graphicData>
            </a:graphic>
          </wp:inline>
        </w:drawing>
      </w:r>
      <w:bookmarkEnd w:id="152"/>
      <w:bookmarkEnd w:id="153"/>
      <w:bookmarkEnd w:id="154"/>
      <w:bookmarkEnd w:id="155"/>
      <w:bookmarkEnd w:id="156"/>
    </w:p>
    <w:p w14:paraId="51A1DB19" w14:textId="77777777"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Источник: </w:t>
      </w:r>
      <w:r w:rsidRPr="003B10E2">
        <w:rPr>
          <w:rFonts w:ascii="Times New Roman" w:hAnsi="Times New Roman"/>
          <w:color w:val="000000"/>
          <w:sz w:val="24"/>
          <w:szCs w:val="24"/>
          <w:lang w:val="en-US"/>
        </w:rPr>
        <w:t>Thomson</w:t>
      </w:r>
      <w:r w:rsidRPr="003B10E2">
        <w:rPr>
          <w:rFonts w:ascii="Times New Roman" w:hAnsi="Times New Roman"/>
          <w:color w:val="000000"/>
          <w:sz w:val="24"/>
          <w:szCs w:val="24"/>
        </w:rPr>
        <w:t xml:space="preserve"> </w:t>
      </w:r>
      <w:r w:rsidRPr="003B10E2">
        <w:rPr>
          <w:rFonts w:ascii="Times New Roman" w:hAnsi="Times New Roman"/>
          <w:color w:val="000000"/>
          <w:sz w:val="24"/>
          <w:szCs w:val="24"/>
          <w:lang w:val="en-US"/>
        </w:rPr>
        <w:t>Reuters</w:t>
      </w:r>
      <w:r w:rsidRPr="003B10E2">
        <w:rPr>
          <w:rFonts w:ascii="Times New Roman" w:hAnsi="Times New Roman"/>
          <w:color w:val="000000"/>
          <w:sz w:val="24"/>
          <w:szCs w:val="24"/>
        </w:rPr>
        <w:t>.</w:t>
      </w:r>
    </w:p>
    <w:p w14:paraId="495F2752" w14:textId="77777777"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9C0C92" w:rsidRPr="003B10E2">
        <w:rPr>
          <w:rFonts w:ascii="Times New Roman" w:hAnsi="Times New Roman"/>
          <w:color w:val="000000"/>
          <w:sz w:val="24"/>
          <w:szCs w:val="24"/>
        </w:rPr>
        <w:t>33</w:t>
      </w:r>
      <w:r w:rsidRPr="003B10E2">
        <w:rPr>
          <w:rFonts w:ascii="Times New Roman" w:hAnsi="Times New Roman"/>
          <w:color w:val="000000"/>
          <w:sz w:val="24"/>
          <w:szCs w:val="24"/>
        </w:rPr>
        <w:t xml:space="preserve"> – Объем дневных транзакций в мемпуле биткойна, млн долл.</w:t>
      </w:r>
    </w:p>
    <w:p w14:paraId="62745B70" w14:textId="77777777" w:rsidR="000E0FE8" w:rsidRPr="003B10E2" w:rsidRDefault="00C72198" w:rsidP="000E0FE8">
      <w:pPr>
        <w:keepNext/>
        <w:keepLines/>
        <w:spacing w:before="40" w:after="0" w:line="240" w:lineRule="auto"/>
        <w:jc w:val="center"/>
        <w:outlineLvl w:val="1"/>
        <w:rPr>
          <w:rFonts w:ascii="Palatino Linotype" w:eastAsia="Times New Roman" w:hAnsi="Palatino Linotype"/>
          <w:bCs/>
          <w:color w:val="000000"/>
          <w:sz w:val="20"/>
          <w:lang w:eastAsia="zh-CN" w:bidi="en-US"/>
        </w:rPr>
      </w:pPr>
      <w:bookmarkStart w:id="157" w:name="_Toc144837936"/>
      <w:bookmarkStart w:id="158" w:name="_Toc144838214"/>
      <w:bookmarkStart w:id="159" w:name="_Toc145163891"/>
      <w:bookmarkStart w:id="160" w:name="_Toc145164260"/>
      <w:bookmarkStart w:id="161" w:name="_Toc145164379"/>
      <w:r w:rsidRPr="003B10E2">
        <w:rPr>
          <w:noProof/>
        </w:rPr>
        <w:drawing>
          <wp:anchor distT="0" distB="0" distL="114300" distR="114300" simplePos="0" relativeHeight="251654656" behindDoc="0" locked="0" layoutInCell="1" allowOverlap="1" wp14:anchorId="76985D9E" wp14:editId="4E4C6EE2">
            <wp:simplePos x="0" y="0"/>
            <wp:positionH relativeFrom="column">
              <wp:posOffset>-3810</wp:posOffset>
            </wp:positionH>
            <wp:positionV relativeFrom="paragraph">
              <wp:posOffset>4445</wp:posOffset>
            </wp:positionV>
            <wp:extent cx="5762625" cy="3095625"/>
            <wp:effectExtent l="0" t="0" r="0" b="0"/>
            <wp:wrapTopAndBottom/>
            <wp:docPr id="921318211" name="Рисунок 16" descr="Изображение выглядит как текст, линия, График, снимок экрана&#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descr="Изображение выглядит как текст, линия, График, снимок экрана&#10;&#10;Автоматически созданное описание"/>
                    <pic:cNvPicPr>
                      <a:picLocks/>
                    </pic:cNvPicPr>
                  </pic:nvPicPr>
                  <pic:blipFill>
                    <a:blip r:embed="rId50">
                      <a:grayscl/>
                      <a:extLst>
                        <a:ext uri="{28A0092B-C50C-407E-A947-70E740481C1C}">
                          <a14:useLocalDpi xmlns:a14="http://schemas.microsoft.com/office/drawing/2010/main" val="0"/>
                        </a:ext>
                      </a:extLst>
                    </a:blip>
                    <a:srcRect/>
                    <a:stretch>
                      <a:fillRect/>
                    </a:stretch>
                  </pic:blipFill>
                  <pic:spPr bwMode="auto">
                    <a:xfrm>
                      <a:off x="0" y="0"/>
                      <a:ext cx="5128260" cy="2754630"/>
                    </a:xfrm>
                    <a:prstGeom prst="rect">
                      <a:avLst/>
                    </a:prstGeom>
                    <a:noFill/>
                    <a:ln>
                      <a:noFill/>
                    </a:ln>
                  </pic:spPr>
                </pic:pic>
              </a:graphicData>
            </a:graphic>
            <wp14:sizeRelH relativeFrom="page">
              <wp14:pctWidth>0</wp14:pctWidth>
            </wp14:sizeRelH>
            <wp14:sizeRelV relativeFrom="page">
              <wp14:pctHeight>0</wp14:pctHeight>
            </wp14:sizeRelV>
          </wp:anchor>
        </w:drawing>
      </w:r>
      <w:r w:rsidR="000E0FE8" w:rsidRPr="003B10E2">
        <w:rPr>
          <w:rFonts w:ascii="Times New Roman" w:hAnsi="Times New Roman"/>
          <w:color w:val="000000"/>
          <w:sz w:val="24"/>
          <w:szCs w:val="24"/>
        </w:rPr>
        <w:t xml:space="preserve">Источник: </w:t>
      </w:r>
      <w:r w:rsidR="000E0FE8" w:rsidRPr="003B10E2">
        <w:rPr>
          <w:rFonts w:ascii="Times New Roman" w:hAnsi="Times New Roman"/>
          <w:color w:val="000000"/>
          <w:sz w:val="24"/>
          <w:szCs w:val="24"/>
          <w:lang w:val="en-US"/>
        </w:rPr>
        <w:t>Thomson</w:t>
      </w:r>
      <w:r w:rsidR="000E0FE8" w:rsidRPr="003B10E2">
        <w:rPr>
          <w:rFonts w:ascii="Times New Roman" w:hAnsi="Times New Roman"/>
          <w:color w:val="000000"/>
          <w:sz w:val="24"/>
          <w:szCs w:val="24"/>
        </w:rPr>
        <w:t xml:space="preserve"> </w:t>
      </w:r>
      <w:r w:rsidR="000E0FE8" w:rsidRPr="003B10E2">
        <w:rPr>
          <w:rFonts w:ascii="Times New Roman" w:hAnsi="Times New Roman"/>
          <w:color w:val="000000"/>
          <w:sz w:val="24"/>
          <w:szCs w:val="24"/>
          <w:lang w:val="en-US"/>
        </w:rPr>
        <w:t>Reuters</w:t>
      </w:r>
      <w:r w:rsidR="000E0FE8" w:rsidRPr="003B10E2">
        <w:rPr>
          <w:rFonts w:ascii="Times New Roman" w:hAnsi="Times New Roman"/>
          <w:color w:val="000000"/>
          <w:sz w:val="24"/>
          <w:szCs w:val="24"/>
        </w:rPr>
        <w:t>.</w:t>
      </w:r>
      <w:bookmarkEnd w:id="157"/>
      <w:bookmarkEnd w:id="158"/>
      <w:bookmarkEnd w:id="159"/>
      <w:bookmarkEnd w:id="160"/>
      <w:bookmarkEnd w:id="161"/>
    </w:p>
    <w:p w14:paraId="24E4D20C" w14:textId="77777777"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9C0C92" w:rsidRPr="003B10E2">
        <w:rPr>
          <w:rFonts w:ascii="Times New Roman" w:hAnsi="Times New Roman"/>
          <w:color w:val="000000"/>
          <w:sz w:val="24"/>
          <w:szCs w:val="24"/>
        </w:rPr>
        <w:t>34</w:t>
      </w:r>
      <w:r w:rsidRPr="003B10E2">
        <w:rPr>
          <w:rFonts w:ascii="Times New Roman" w:hAnsi="Times New Roman"/>
          <w:color w:val="000000"/>
          <w:sz w:val="24"/>
          <w:szCs w:val="24"/>
        </w:rPr>
        <w:t xml:space="preserve"> – Цена биткойна, тыс. долл.</w:t>
      </w:r>
    </w:p>
    <w:p w14:paraId="795AE196" w14:textId="77777777" w:rsidR="000E0FE8" w:rsidRPr="003B10E2" w:rsidRDefault="000E0FE8" w:rsidP="000E0FE8">
      <w:pPr>
        <w:spacing w:after="0" w:line="240" w:lineRule="auto"/>
        <w:jc w:val="center"/>
        <w:rPr>
          <w:rFonts w:ascii="Times New Roman" w:hAnsi="Times New Roman"/>
          <w:color w:val="000000"/>
          <w:sz w:val="24"/>
          <w:szCs w:val="24"/>
        </w:rPr>
      </w:pPr>
    </w:p>
    <w:p w14:paraId="2E8D1F6B" w14:textId="77777777" w:rsidR="000E0FE8" w:rsidRPr="003B10E2" w:rsidRDefault="00C72198" w:rsidP="000E0FE8">
      <w:pPr>
        <w:keepNext/>
        <w:keepLines/>
        <w:spacing w:before="40" w:after="0" w:line="276" w:lineRule="auto"/>
        <w:jc w:val="both"/>
        <w:outlineLvl w:val="1"/>
        <w:rPr>
          <w:rFonts w:ascii="Palatino Linotype" w:eastAsia="Times New Roman" w:hAnsi="Palatino Linotype"/>
          <w:bCs/>
          <w:color w:val="000000"/>
          <w:sz w:val="20"/>
          <w:lang w:val="en-US" w:eastAsia="zh-CN" w:bidi="en-US"/>
        </w:rPr>
      </w:pPr>
      <w:bookmarkStart w:id="162" w:name="_Toc144837937"/>
      <w:bookmarkStart w:id="163" w:name="_Toc144838215"/>
      <w:bookmarkStart w:id="164" w:name="_Toc145163892"/>
      <w:bookmarkStart w:id="165" w:name="_Toc145164261"/>
      <w:bookmarkStart w:id="166" w:name="_Toc145164380"/>
      <w:r w:rsidRPr="003B10E2">
        <w:rPr>
          <w:noProof/>
        </w:rPr>
        <w:drawing>
          <wp:inline distT="0" distB="0" distL="0" distR="0" wp14:anchorId="6546B0F0" wp14:editId="63FEC30C">
            <wp:extent cx="5941060" cy="3248025"/>
            <wp:effectExtent l="0" t="0" r="0" b="0"/>
            <wp:docPr id="32" name="Рисунок 17" descr="Изображение выглядит как текст, снимок экрана, линия, График&#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descr="Изображение выглядит как текст, снимок экрана, линия, График&#10;&#10;Автоматически созданное описание"/>
                    <pic:cNvPicPr>
                      <a:picLocks/>
                    </pic:cNvPicPr>
                  </pic:nvPicPr>
                  <pic:blipFill>
                    <a:blip r:embed="rId51">
                      <a:grayscl/>
                      <a:extLst>
                        <a:ext uri="{28A0092B-C50C-407E-A947-70E740481C1C}">
                          <a14:useLocalDpi xmlns:a14="http://schemas.microsoft.com/office/drawing/2010/main" val="0"/>
                        </a:ext>
                      </a:extLst>
                    </a:blip>
                    <a:srcRect/>
                    <a:stretch>
                      <a:fillRect/>
                    </a:stretch>
                  </pic:blipFill>
                  <pic:spPr bwMode="auto">
                    <a:xfrm>
                      <a:off x="0" y="0"/>
                      <a:ext cx="5941060" cy="3248025"/>
                    </a:xfrm>
                    <a:prstGeom prst="rect">
                      <a:avLst/>
                    </a:prstGeom>
                    <a:noFill/>
                    <a:ln>
                      <a:noFill/>
                    </a:ln>
                  </pic:spPr>
                </pic:pic>
              </a:graphicData>
            </a:graphic>
          </wp:inline>
        </w:drawing>
      </w:r>
      <w:bookmarkEnd w:id="162"/>
      <w:bookmarkEnd w:id="163"/>
      <w:bookmarkEnd w:id="164"/>
      <w:bookmarkEnd w:id="165"/>
      <w:bookmarkEnd w:id="166"/>
    </w:p>
    <w:p w14:paraId="76FB234F" w14:textId="77777777"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Источник: </w:t>
      </w:r>
      <w:r w:rsidRPr="003B10E2">
        <w:rPr>
          <w:rFonts w:ascii="Times New Roman" w:hAnsi="Times New Roman"/>
          <w:color w:val="000000"/>
          <w:sz w:val="24"/>
          <w:szCs w:val="24"/>
          <w:lang w:val="en-US"/>
        </w:rPr>
        <w:t>Thomson</w:t>
      </w:r>
      <w:r w:rsidRPr="003B10E2">
        <w:rPr>
          <w:rFonts w:ascii="Times New Roman" w:hAnsi="Times New Roman"/>
          <w:color w:val="000000"/>
          <w:sz w:val="24"/>
          <w:szCs w:val="24"/>
        </w:rPr>
        <w:t xml:space="preserve"> </w:t>
      </w:r>
      <w:r w:rsidRPr="003B10E2">
        <w:rPr>
          <w:rFonts w:ascii="Times New Roman" w:hAnsi="Times New Roman"/>
          <w:color w:val="000000"/>
          <w:sz w:val="24"/>
          <w:szCs w:val="24"/>
          <w:lang w:val="en-US"/>
        </w:rPr>
        <w:t>Reuters</w:t>
      </w:r>
      <w:r w:rsidRPr="003B10E2">
        <w:rPr>
          <w:rFonts w:ascii="Times New Roman" w:hAnsi="Times New Roman"/>
          <w:color w:val="000000"/>
          <w:sz w:val="24"/>
          <w:szCs w:val="24"/>
        </w:rPr>
        <w:t>.</w:t>
      </w:r>
    </w:p>
    <w:p w14:paraId="1B868CEE" w14:textId="77777777"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9C0C92" w:rsidRPr="003B10E2">
        <w:rPr>
          <w:rFonts w:ascii="Times New Roman" w:hAnsi="Times New Roman"/>
          <w:color w:val="000000"/>
          <w:sz w:val="24"/>
          <w:szCs w:val="24"/>
        </w:rPr>
        <w:t>35</w:t>
      </w:r>
      <w:r w:rsidRPr="003B10E2">
        <w:rPr>
          <w:rFonts w:ascii="Times New Roman" w:hAnsi="Times New Roman"/>
          <w:color w:val="000000"/>
          <w:sz w:val="24"/>
          <w:szCs w:val="24"/>
        </w:rPr>
        <w:t xml:space="preserve"> – Динамика капитализации рынка биткойна (логарифмическая шкала), </w:t>
      </w:r>
    </w:p>
    <w:p w14:paraId="13D94A6D" w14:textId="77777777"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млн долл.</w:t>
      </w:r>
    </w:p>
    <w:p w14:paraId="1208E169" w14:textId="77777777" w:rsidR="000E0FE8" w:rsidRPr="003B10E2" w:rsidRDefault="00C72198" w:rsidP="000E0FE8">
      <w:pPr>
        <w:keepNext/>
        <w:keepLines/>
        <w:spacing w:before="40" w:after="0" w:line="276" w:lineRule="auto"/>
        <w:jc w:val="both"/>
        <w:outlineLvl w:val="1"/>
        <w:rPr>
          <w:rFonts w:ascii="Palatino Linotype" w:eastAsia="Times New Roman" w:hAnsi="Palatino Linotype"/>
          <w:bCs/>
          <w:color w:val="000000"/>
          <w:sz w:val="20"/>
          <w:lang w:eastAsia="zh-CN" w:bidi="en-US"/>
        </w:rPr>
      </w:pPr>
      <w:bookmarkStart w:id="167" w:name="_Toc144837938"/>
      <w:bookmarkStart w:id="168" w:name="_Toc144838216"/>
      <w:bookmarkStart w:id="169" w:name="_Toc145163893"/>
      <w:bookmarkStart w:id="170" w:name="_Toc145164262"/>
      <w:bookmarkStart w:id="171" w:name="_Toc145164381"/>
      <w:r w:rsidRPr="003B10E2">
        <w:rPr>
          <w:noProof/>
        </w:rPr>
        <w:drawing>
          <wp:inline distT="0" distB="0" distL="0" distR="0" wp14:anchorId="3F8D97B9" wp14:editId="3602716B">
            <wp:extent cx="5935345" cy="2905760"/>
            <wp:effectExtent l="0" t="0" r="0" b="0"/>
            <wp:docPr id="33" name="Рисунок 15" descr="Изображение выглядит как снимок экрана, текст, диаграмма, График&#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descr="Изображение выглядит как снимок экрана, текст, диаграмма, График&#10;&#10;Автоматически созданное описание"/>
                    <pic:cNvPicPr>
                      <a:picLocks/>
                    </pic:cNvPicPr>
                  </pic:nvPicPr>
                  <pic:blipFill>
                    <a:blip r:embed="rId52">
                      <a:grayscl/>
                      <a:extLst>
                        <a:ext uri="{28A0092B-C50C-407E-A947-70E740481C1C}">
                          <a14:useLocalDpi xmlns:a14="http://schemas.microsoft.com/office/drawing/2010/main" val="0"/>
                        </a:ext>
                      </a:extLst>
                    </a:blip>
                    <a:srcRect/>
                    <a:stretch>
                      <a:fillRect/>
                    </a:stretch>
                  </pic:blipFill>
                  <pic:spPr bwMode="auto">
                    <a:xfrm>
                      <a:off x="0" y="0"/>
                      <a:ext cx="5935345" cy="2905760"/>
                    </a:xfrm>
                    <a:prstGeom prst="rect">
                      <a:avLst/>
                    </a:prstGeom>
                    <a:noFill/>
                    <a:ln>
                      <a:noFill/>
                    </a:ln>
                  </pic:spPr>
                </pic:pic>
              </a:graphicData>
            </a:graphic>
          </wp:inline>
        </w:drawing>
      </w:r>
      <w:bookmarkEnd w:id="167"/>
      <w:bookmarkEnd w:id="168"/>
      <w:bookmarkEnd w:id="169"/>
      <w:bookmarkEnd w:id="170"/>
      <w:bookmarkEnd w:id="171"/>
    </w:p>
    <w:p w14:paraId="79BC3A41" w14:textId="77777777"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Источник: </w:t>
      </w:r>
      <w:r w:rsidRPr="003B10E2">
        <w:rPr>
          <w:rFonts w:ascii="Times New Roman" w:hAnsi="Times New Roman"/>
          <w:color w:val="000000"/>
          <w:sz w:val="24"/>
          <w:szCs w:val="24"/>
          <w:lang w:val="en-US"/>
        </w:rPr>
        <w:t>Thomson</w:t>
      </w:r>
      <w:r w:rsidRPr="003B10E2">
        <w:rPr>
          <w:rFonts w:ascii="Times New Roman" w:hAnsi="Times New Roman"/>
          <w:color w:val="000000"/>
          <w:sz w:val="24"/>
          <w:szCs w:val="24"/>
        </w:rPr>
        <w:t xml:space="preserve"> </w:t>
      </w:r>
      <w:r w:rsidRPr="003B10E2">
        <w:rPr>
          <w:rFonts w:ascii="Times New Roman" w:hAnsi="Times New Roman"/>
          <w:color w:val="000000"/>
          <w:sz w:val="24"/>
          <w:szCs w:val="24"/>
          <w:lang w:val="en-US"/>
        </w:rPr>
        <w:t>Reuters</w:t>
      </w:r>
      <w:r w:rsidRPr="003B10E2">
        <w:rPr>
          <w:rFonts w:ascii="Times New Roman" w:hAnsi="Times New Roman"/>
          <w:color w:val="000000"/>
          <w:sz w:val="24"/>
          <w:szCs w:val="24"/>
        </w:rPr>
        <w:t>.</w:t>
      </w:r>
    </w:p>
    <w:p w14:paraId="4513C9E5" w14:textId="77777777"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9C0C92" w:rsidRPr="003B10E2">
        <w:rPr>
          <w:rFonts w:ascii="Times New Roman" w:hAnsi="Times New Roman"/>
          <w:color w:val="000000"/>
          <w:sz w:val="24"/>
          <w:szCs w:val="24"/>
        </w:rPr>
        <w:t>36</w:t>
      </w:r>
      <w:r w:rsidRPr="003B10E2">
        <w:rPr>
          <w:rFonts w:ascii="Times New Roman" w:hAnsi="Times New Roman"/>
          <w:color w:val="000000"/>
          <w:sz w:val="24"/>
          <w:szCs w:val="24"/>
        </w:rPr>
        <w:t xml:space="preserve"> – Объем торгов биржевого рынка биткойна, млрд. долл.</w:t>
      </w:r>
    </w:p>
    <w:p w14:paraId="233540D1" w14:textId="77777777" w:rsidR="000E0FE8" w:rsidRPr="003B10E2" w:rsidRDefault="000E0FE8" w:rsidP="000E0FE8">
      <w:pPr>
        <w:spacing w:after="0" w:line="360" w:lineRule="auto"/>
        <w:ind w:firstLine="851"/>
        <w:jc w:val="both"/>
        <w:rPr>
          <w:rFonts w:ascii="Times New Roman" w:hAnsi="Times New Roman"/>
          <w:color w:val="000000"/>
          <w:sz w:val="28"/>
          <w:szCs w:val="28"/>
        </w:rPr>
      </w:pPr>
    </w:p>
    <w:p w14:paraId="4D04579C"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настоящее время биткойн находится в ограниченном обращении среди населения: число людей, являющихся владельцами или имевших опыт операций с биткойном, постепенно растет. Это число превышает численность населения большинства отдельно взятых стран мира, таких как Буркина Фасо, Казахстан, Нигер, Гватемала и многих европейский государств, не входящих в зону евро.</w:t>
      </w:r>
    </w:p>
    <w:p w14:paraId="3AA1D2AA"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Вопрос доверия для торговцев и инвесторов в биткойн с наличием технологического барьера, который со временем будет сходить на нет в силу замещения поколений. Например, если один товар стоит $1.00, а другой товар 2.00$, то потребитель может легко сказать, что один товар в два раза ценнее другого [133-134]. По состоянию на сентябрь 2017 г. цена биткойна примерно равнялась 4200 долл., цена эфира (вторая по капитализации криптовалюта) примерно 310 долл. Вряд ли среднестатистический пользователь может объяснить, почему биткойн стоит дороже эфира почти в 13 раз.</w:t>
      </w:r>
    </w:p>
    <w:p w14:paraId="6D1B992C"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Эта проблема усугубляется волатильностью динамики биткойна. Если взять котировки фьючерсов на один биткойн из пяти самых популярных биткоин-бирж, то появляются возможности для арбитражных сделок, так как разница между ценами на покупку на разных биржах может превышать 10%. В то время как бид-аск спред между ними может доходить до 7%.  </w:t>
      </w:r>
    </w:p>
    <w:p w14:paraId="56D02FE2"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Если волатильность цен повышается, то становится все труднее найти справедливую цену криптовалюты. Таким образом, расхождение цен на биткойн на биржах может быть серьезной проблемой для использования биткойна в качестве меры стоимости [239]. </w:t>
      </w:r>
    </w:p>
    <w:p w14:paraId="0BC9D788"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При этом можно отметить тот факт, что волатильность биткойна заметно снизилась после 2015 года. В 2017-2022 годах 30-дневная волатильность не превышала 8%, в то время как до этого периода она достигала 16%. Чтобы удовлетворять свойству сохранения стоимости, биткойн должен сохранять свою ценность в течение долгого периода времени [229]. Наибольший риск связан с потерей ключа от кошелька, на котором хранится криптовалюта. Биткойны без цифрового ключа становятся бесполезными [227]. </w:t>
      </w:r>
    </w:p>
    <w:p w14:paraId="595E3B7F"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Криптоактивы являются одним из наиболее быстро растущих классов активов в настоящее время. Существует несколько протоколов, которые определяют принципы работы криптовалюты, а также несколько протоколов, которые обеспечивают создание и учет криптоактивов. Новый класс активов и соответствующая экономическая система не имеют теории для оценки в результате отсутствия четких терминов и отсутствия понимания, как оценивать риски и оценивать потенциал роста. Международные кредитные рейтинги S&amp;P, </w:t>
      </w:r>
      <w:r w:rsidRPr="003B10E2">
        <w:rPr>
          <w:rFonts w:ascii="Times New Roman" w:hAnsi="Times New Roman"/>
          <w:color w:val="000000"/>
          <w:sz w:val="28"/>
          <w:szCs w:val="28"/>
          <w:lang w:val="en-US"/>
        </w:rPr>
        <w:t>Fitch</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Moody</w:t>
      </w:r>
      <w:r w:rsidRPr="003B10E2">
        <w:rPr>
          <w:rFonts w:ascii="Times New Roman" w:hAnsi="Times New Roman"/>
          <w:color w:val="000000"/>
          <w:sz w:val="28"/>
          <w:szCs w:val="28"/>
        </w:rPr>
        <w:t>’</w:t>
      </w:r>
      <w:r w:rsidRPr="003B10E2">
        <w:rPr>
          <w:rFonts w:ascii="Times New Roman" w:hAnsi="Times New Roman"/>
          <w:color w:val="000000"/>
          <w:sz w:val="28"/>
          <w:szCs w:val="28"/>
          <w:lang w:val="en-US"/>
        </w:rPr>
        <w:t>s</w:t>
      </w:r>
      <w:r w:rsidRPr="003B10E2">
        <w:rPr>
          <w:rFonts w:ascii="Times New Roman" w:hAnsi="Times New Roman"/>
          <w:color w:val="000000"/>
          <w:sz w:val="28"/>
          <w:szCs w:val="28"/>
        </w:rPr>
        <w:t xml:space="preserve"> основаны на МСФО, поэтому многие критерии не применимы к криптоактивам. Эта часть работы определяет некоторые базовые условия для оценки криптоактивов и основные подходы к оценке риска, а также предлагает децентрализованное решение для оценки криптоактивов без необходимости проведения процедуры аудита. Традиционные модели присвоения рейтингов кредитоспособности международными агентствами S&amp;</w:t>
      </w:r>
      <w:r w:rsidRPr="003B10E2">
        <w:rPr>
          <w:rFonts w:ascii="Times New Roman" w:hAnsi="Times New Roman"/>
          <w:color w:val="000000"/>
          <w:sz w:val="28"/>
          <w:szCs w:val="28"/>
          <w:lang w:val="en-US"/>
        </w:rPr>
        <w:t>P</w:t>
      </w:r>
      <w:r w:rsidRPr="003B10E2">
        <w:rPr>
          <w:rFonts w:ascii="Times New Roman" w:hAnsi="Times New Roman"/>
          <w:color w:val="000000"/>
          <w:sz w:val="28"/>
          <w:szCs w:val="28"/>
        </w:rPr>
        <w:t>, Fitch и Moody's имеют следующие недостатки применительно к оценке криптоактивов:</w:t>
      </w:r>
    </w:p>
    <w:p w14:paraId="0F1D4EBB"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1) Анализ отчетности МСФО и GAAP не может быть применен для систем, основанных на блокчейне.</w:t>
      </w:r>
    </w:p>
    <w:p w14:paraId="72621C5F"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2) Необходима централизация актива. Децентрализованные структуры основаны на внутренней ценности базовых активов (токенов), а не на системе задолженностей. </w:t>
      </w:r>
    </w:p>
    <w:p w14:paraId="38E74A72"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3) Неэмиссионный характер криптоактивов и отсутствие государственной регистрации не позволяют произвести оценку.</w:t>
      </w:r>
    </w:p>
    <w:p w14:paraId="1C1FBA7A"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4) Наличие правового поля. Существующие системы блокчейн независимы от правовой системы. </w:t>
      </w:r>
    </w:p>
    <w:p w14:paraId="0841A39B"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5) Рейтингование невозможно программным путем.</w:t>
      </w:r>
    </w:p>
    <w:p w14:paraId="592E1725"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6) Существует влияние со стороны государства.</w:t>
      </w:r>
    </w:p>
    <w:p w14:paraId="583ADC3A"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7) Присутствует субъективное мнение.</w:t>
      </w:r>
    </w:p>
    <w:p w14:paraId="651F8B96"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Существующие способы оценки стоимости криптоактивов [123] не дают возможности получить показатели, необходимые для принятия инвестиционного решения. В настоящее время требуется модель для расчета следующих показателей:</w:t>
      </w:r>
    </w:p>
    <w:p w14:paraId="063AF6A0" w14:textId="77777777" w:rsidR="000E0FE8" w:rsidRPr="003B10E2" w:rsidRDefault="000E0FE8" w:rsidP="000E0FE8">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xml:space="preserve">- капитализация рынка криптоактива; </w:t>
      </w:r>
    </w:p>
    <w:p w14:paraId="1F1418A4" w14:textId="77777777" w:rsidR="000E0FE8" w:rsidRPr="003B10E2" w:rsidRDefault="000E0FE8" w:rsidP="000E0FE8">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xml:space="preserve">- объем транзакций; </w:t>
      </w:r>
    </w:p>
    <w:p w14:paraId="61020E1D" w14:textId="77777777" w:rsidR="000E0FE8" w:rsidRPr="003B10E2" w:rsidRDefault="000E0FE8" w:rsidP="000E0FE8">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работоспособность платформы;</w:t>
      </w:r>
    </w:p>
    <w:p w14:paraId="26E453C4" w14:textId="77777777" w:rsidR="000E0FE8" w:rsidRPr="003B10E2" w:rsidRDefault="000E0FE8" w:rsidP="000E0FE8">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xml:space="preserve">- одобрение людьми; </w:t>
      </w:r>
    </w:p>
    <w:p w14:paraId="206E48E4" w14:textId="77777777" w:rsidR="000E0FE8" w:rsidRPr="003B10E2" w:rsidRDefault="000E0FE8" w:rsidP="000E0FE8">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рейтинг устойчивости к кибератакам;</w:t>
      </w:r>
    </w:p>
    <w:p w14:paraId="41EF1FA1" w14:textId="77777777" w:rsidR="000E0FE8" w:rsidRPr="003B10E2" w:rsidRDefault="000E0FE8" w:rsidP="000E0FE8">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простой комплаенс-подход.</w:t>
      </w:r>
    </w:p>
    <w:p w14:paraId="0D9D444D"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Вышеуказанные недостатки создают спрос на новую систему отчетности, что позволит оценивать криптоактивы и создавать благоприятный инвестиционный климат.</w:t>
      </w:r>
    </w:p>
    <w:p w14:paraId="6551E529"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Криптоактив имеет следующие преимущества по сравнению с традиционным активом.</w:t>
      </w:r>
    </w:p>
    <w:p w14:paraId="11D12FA9"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1) Эффективность (нет налогообложения, нет транзакционных лимитов, нет необходимости регулирования, операции проходят быстро: от 1 секунды до 10 минут в зависимости от базовой технологии, минимальные транзакционные издержки, не нужна недвижимость для функционирования системы, не требуется комплаенс) [135].</w:t>
      </w:r>
    </w:p>
    <w:p w14:paraId="211E311A"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2) Прозрачность (базовый код является полностью открытым исходным кодом, все операции записываются на блокчейн-цепочке навсегда) [238].</w:t>
      </w:r>
    </w:p>
    <w:p w14:paraId="1E4E6998"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3) Понимание (программируемый и автономный на базе законов математики) [178]. </w:t>
      </w:r>
    </w:p>
    <w:p w14:paraId="4135BA12"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4) Бесспорное право владения (индивидуальный ключ, не может быть исполнен контрагентом без закрытого ключа владельца договора, держатель может выбрать исполнение алгоритма независимо от гражданства, места проживания, нации, вероисповедания, пола) [77,89].</w:t>
      </w:r>
    </w:p>
    <w:p w14:paraId="453013D0"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Выделяются следующие риски присущие всем криптоактивам.</w:t>
      </w:r>
    </w:p>
    <w:p w14:paraId="6074F325"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1) Риск незащищенности криптографического кода. С этим риском практически невозможно бороться, так как существующая финансовая инфраструктура построена на ключевых принципах шифрования [10]. </w:t>
      </w:r>
    </w:p>
    <w:p w14:paraId="01A0B174"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2) Риск потерять доступ к криптоактиву из-за потери ключей. Как отмечалось выше, любое право собственности на криптоактив — это обладание соответствующими закрытыми ключами [253]. </w:t>
      </w:r>
    </w:p>
    <w:p w14:paraId="0CC46EE8"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3) Риск кражи криптоактив. Этого риска можно полностью избежать, если хранить ключи на компьютере, который никогда не будет подключен к Интернету [12].</w:t>
      </w:r>
    </w:p>
    <w:p w14:paraId="66DF83DC"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4) Риск развития регулятивных действий в одной или нескольких юрисдикциях. Криптоактивы являются предметом пристального внимания регулирующих органов по всему миру. Регуляторы не смогут заблокировать или запретить физический доступ к криптоактивам, но отдельные действия могут вызвать панику на рынке и привести к значительным потерям стоимости криптоактивов относительно традиционных валют. Этот риск может быть снижен путем хеджирования, используя криптоактивы на базе традиционных валют или товаров [13].</w:t>
      </w:r>
    </w:p>
    <w:p w14:paraId="27D28280"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5) Различные цифровые валюты и активы могут иметь разные характеристики [259]. Например, криптовалюта </w:t>
      </w:r>
      <w:r w:rsidRPr="003B10E2">
        <w:rPr>
          <w:rFonts w:ascii="Times New Roman" w:hAnsi="Times New Roman"/>
          <w:color w:val="000000"/>
          <w:sz w:val="28"/>
          <w:szCs w:val="28"/>
          <w:lang w:val="en-US"/>
        </w:rPr>
        <w:t>Ripple</w:t>
      </w:r>
      <w:r w:rsidRPr="003B10E2">
        <w:rPr>
          <w:rFonts w:ascii="Times New Roman" w:hAnsi="Times New Roman"/>
          <w:color w:val="000000"/>
          <w:sz w:val="28"/>
          <w:szCs w:val="28"/>
        </w:rPr>
        <w:t xml:space="preserve"> имеет иную систему регистрации транзакций, нежели биткойн. Возможности роста цен на криптоактивы определяются по следующим критериям: отказоустойчивость, баланс </w:t>
      </w:r>
      <w:r w:rsidRPr="003B10E2">
        <w:rPr>
          <w:rFonts w:ascii="Times New Roman" w:hAnsi="Times New Roman"/>
          <w:color w:val="000000"/>
          <w:sz w:val="28"/>
          <w:szCs w:val="28"/>
          <w:lang w:val="en-US"/>
        </w:rPr>
        <w:t>CAP</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theorem</w:t>
      </w:r>
      <w:r w:rsidRPr="003B10E2">
        <w:rPr>
          <w:rStyle w:val="ac"/>
          <w:rFonts w:ascii="Times New Roman" w:hAnsi="Times New Roman"/>
          <w:color w:val="000000"/>
          <w:sz w:val="28"/>
          <w:szCs w:val="28"/>
        </w:rPr>
        <w:footnoteReference w:id="7"/>
      </w:r>
      <w:r w:rsidRPr="003B10E2">
        <w:rPr>
          <w:rFonts w:ascii="Times New Roman" w:hAnsi="Times New Roman"/>
          <w:color w:val="000000"/>
          <w:sz w:val="28"/>
          <w:szCs w:val="28"/>
        </w:rPr>
        <w:t>, экономичность, производительность транзакций, масштабируемость сети, класс децентрализации, анонимность, криптографическая защита, возможности хранения, прозрачность, эмиссионная политика [15].</w:t>
      </w:r>
    </w:p>
    <w:p w14:paraId="51E53620"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Можно выделить объективную и субъективную часть оценки [214]. Объективные компоненты оценки ценности следующие:</w:t>
      </w:r>
    </w:p>
    <w:p w14:paraId="615A4A5B"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1) Комплаенс. Отражает наличие обязательной и рекомендованной инфраструктуры. </w:t>
      </w:r>
    </w:p>
    <w:p w14:paraId="5FE37201"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2) Отчетность. Отражает степень соответствия требованиям стандартных отчетов децентрализованной системы.</w:t>
      </w:r>
    </w:p>
    <w:p w14:paraId="33996E40"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3) Оценка ликвидности [219]. Ежедневный оборот криптоактивов оценивается по сравнению с капитализацией рынка [16].</w:t>
      </w:r>
    </w:p>
    <w:p w14:paraId="20275795"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4) Результат взаимодействия. Отражает одобрение всего блокчейн сообщества.</w:t>
      </w:r>
    </w:p>
    <w:p w14:paraId="2057A9CD"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5) Динамика курса. Наиболее показательны ежемесячные темпы роста. В конечном итоге это самый важный компонент, который показывает потенциальную отдачу от инвестиций [17]. </w:t>
      </w:r>
    </w:p>
    <w:p w14:paraId="5E19D990"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Субъектные компоненты просты, и они отражают, насколько отношение виртуального сообщества сообщество к определенному криптоактиву. Для того чтобы сделать предлагаемый рейтинг более репрезентативным, нужно определить особенности разных стадий жизненного цикла и типов криптоактивов.</w:t>
      </w:r>
    </w:p>
    <w:p w14:paraId="20BC5D14"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течение жизненного цикла системы важны разные критерии [239, 18, 19]. На стадии проекта создан код, который не привязан к какой-либо криптовалюте, но это отличный период для начальной инвестиции, если получить доступ к потенциальным инвесторам. Необходимым условием для прогнозирования появления криптоактива — это научая основа и команда основателей [237].</w:t>
      </w:r>
    </w:p>
    <w:p w14:paraId="754B9417"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На этапе закрытой системы инвесторами могут стать отдельные частные лица. Триггерным событием является создание сети или регистрации токена. На предпубличном этапе появляется оценка рыночной стоимости криптоактива, но она будет неточной до тех пор, пока рынок недостаточно ликвидный. Этап заканчивается после того, как произведен аудит краудфандинга.</w:t>
      </w:r>
    </w:p>
    <w:p w14:paraId="6F7D2FA9"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На публичном этапе криптоактив проходит листинг на криптобиржах, и появляется ежедневная ликвидность. Хорошее понимание этапов жизненного цикла является ключом для понимания потенциальных рисков. </w:t>
      </w:r>
    </w:p>
    <w:p w14:paraId="309A6998"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Прозрачность очень важна для принятия инвестиционных решений. Разработчики децентрализованной системы должны понимать, что менее прозрачная система имеет меньшую вероятность положительного инвестиционного решения. Традиционный финансовый анализ базируется на публикации квартальной отчетности и проведении ежегодного аудита [20]. Такой подход не имеет смысла для криптоактивов.</w:t>
      </w:r>
    </w:p>
    <w:p w14:paraId="2ED1C828"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Для решения проблемы единой отчетности можно использовать Х</w:t>
      </w:r>
      <w:r w:rsidRPr="003B10E2">
        <w:rPr>
          <w:rFonts w:ascii="Times New Roman" w:hAnsi="Times New Roman"/>
          <w:color w:val="000000"/>
          <w:sz w:val="28"/>
          <w:szCs w:val="28"/>
          <w:lang w:val="en-US"/>
        </w:rPr>
        <w:t>BRL</w:t>
      </w:r>
      <w:r w:rsidRPr="003B10E2">
        <w:rPr>
          <w:rStyle w:val="ac"/>
          <w:rFonts w:ascii="Times New Roman" w:hAnsi="Times New Roman"/>
          <w:color w:val="000000"/>
          <w:sz w:val="28"/>
          <w:szCs w:val="28"/>
          <w:lang w:val="en-US"/>
        </w:rPr>
        <w:footnoteReference w:id="8"/>
      </w:r>
      <w:r w:rsidRPr="003B10E2">
        <w:rPr>
          <w:rFonts w:ascii="Times New Roman" w:hAnsi="Times New Roman"/>
          <w:color w:val="000000"/>
          <w:sz w:val="28"/>
          <w:szCs w:val="28"/>
        </w:rPr>
        <w:t xml:space="preserve"> в качестве основы. В США Х</w:t>
      </w:r>
      <w:r w:rsidRPr="003B10E2">
        <w:rPr>
          <w:rFonts w:ascii="Times New Roman" w:hAnsi="Times New Roman"/>
          <w:color w:val="000000"/>
          <w:sz w:val="28"/>
          <w:szCs w:val="28"/>
          <w:lang w:val="en-US"/>
        </w:rPr>
        <w:t>BRL</w:t>
      </w:r>
      <w:r w:rsidRPr="003B10E2">
        <w:rPr>
          <w:rFonts w:ascii="Times New Roman" w:hAnsi="Times New Roman"/>
          <w:color w:val="000000"/>
          <w:sz w:val="28"/>
          <w:szCs w:val="28"/>
        </w:rPr>
        <w:t xml:space="preserve"> является официальным стандартом бизнес-отчетности, который активно развивается и поддерживается со стороны бизнеса и правительства. Хотя Х</w:t>
      </w:r>
      <w:r w:rsidRPr="003B10E2">
        <w:rPr>
          <w:rFonts w:ascii="Times New Roman" w:hAnsi="Times New Roman"/>
          <w:color w:val="000000"/>
          <w:sz w:val="28"/>
          <w:szCs w:val="28"/>
          <w:lang w:val="en-US"/>
        </w:rPr>
        <w:t>BRL</w:t>
      </w:r>
      <w:r w:rsidRPr="003B10E2">
        <w:rPr>
          <w:rFonts w:ascii="Times New Roman" w:hAnsi="Times New Roman"/>
          <w:color w:val="000000"/>
          <w:sz w:val="28"/>
          <w:szCs w:val="28"/>
        </w:rPr>
        <w:t xml:space="preserve"> является весьма сложным для понимания, он может быть использован для отчетности криптоактивов. Различается три типа представления отчетности [21]: критическая отчетность, важная отчетность и рекомендуемая отчетность. Критическая информация позволяет рассчитать рыночную капитализацию и предоставить доказательства того, что организация еще функционирует:</w:t>
      </w:r>
    </w:p>
    <w:p w14:paraId="40F87B80"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1) Идентификаторы на основе блокчейн, которые могли бы однозначно идентифицировать объект отчетности [137].</w:t>
      </w:r>
    </w:p>
    <w:p w14:paraId="17A6B698"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2) Блок доказательства, необходимый потенциальному пользователю для проверки данных отчетности [177].</w:t>
      </w:r>
    </w:p>
    <w:p w14:paraId="71B79791"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3) Текущие количество токенов на данном этапе (включая токены, которые могут быть созданы пользователями системы в будущем).</w:t>
      </w:r>
    </w:p>
    <w:p w14:paraId="2B3E9847"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4) Средневзвешенная цена (VWPA). Поскольку любой провайдер отчетности может представлять данные, сгенерированные таким образом, агрегаторы не в состоянии ее рассчитать.</w:t>
      </w:r>
    </w:p>
    <w:p w14:paraId="1B64A659"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Важная отчетность позволяет понять текущее состояние криптоактива и сравнивать его с другими криптоактивами [277]. </w:t>
      </w:r>
    </w:p>
    <w:p w14:paraId="7F4E73E7"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1) Текущее состояние системы криптоактива.</w:t>
      </w:r>
    </w:p>
    <w:p w14:paraId="7FC1615F"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2) Предел создания новых токенов. </w:t>
      </w:r>
    </w:p>
    <w:p w14:paraId="38C16E7A"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3) Денежные потоки криптоактива (Количество сгенерированных токенов, структура вознаграждения, транзакционные издержки и количество утилизированных токенов).</w:t>
      </w:r>
    </w:p>
    <w:p w14:paraId="6FB806A0"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4) Выполнение транзакций включать количество сделок и объем в основном жетоны.</w:t>
      </w:r>
    </w:p>
    <w:p w14:paraId="01E30CD5"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5) Аналитика счетов владельцев криптоактивов (количество, общая сумма средств, структура распределения и коэффициент Джини).</w:t>
      </w:r>
    </w:p>
    <w:p w14:paraId="7E6FFFA6"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6) Скорость денежного обращения.</w:t>
      </w:r>
    </w:p>
    <w:p w14:paraId="29AF6CF5"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7) Текущая доходность криптоактива. </w:t>
      </w:r>
    </w:p>
    <w:p w14:paraId="49F3C1E7"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Данное децентрализованное решение может быть использовано для прогнозирования стоимости криптоактивов, при этом оно использует только рыночные данные, доступные в открытом доступе, и не требует проведения традиционной для инвестиционного анализа процедуры аудита отчетности [247].</w:t>
      </w:r>
    </w:p>
    <w:p w14:paraId="27629F06"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Существует около 150 активных крипто-хедж-фондов. Почти две трети из них (63%) были запущены в 2018 или 2019 году.</w:t>
      </w:r>
    </w:p>
    <w:p w14:paraId="0D7B766F" w14:textId="77777777" w:rsidR="000E0FE8" w:rsidRPr="003B10E2" w:rsidRDefault="00C72198" w:rsidP="000E0FE8">
      <w:pPr>
        <w:spacing w:after="0" w:line="360" w:lineRule="auto"/>
        <w:jc w:val="both"/>
        <w:rPr>
          <w:rFonts w:ascii="Times New Roman" w:hAnsi="Times New Roman"/>
          <w:color w:val="000000"/>
          <w:sz w:val="28"/>
          <w:szCs w:val="28"/>
        </w:rPr>
      </w:pPr>
      <w:r w:rsidRPr="003B10E2">
        <w:rPr>
          <w:noProof/>
        </w:rPr>
        <w:drawing>
          <wp:inline distT="0" distB="0" distL="0" distR="0" wp14:anchorId="16C5EE37" wp14:editId="42506D60">
            <wp:extent cx="5873750" cy="3029585"/>
            <wp:effectExtent l="0" t="0" r="0" b="0"/>
            <wp:docPr id="34" name="Рисунок 35" descr="Изображение выглядит как текст, снимок экрана, Шрифт, диаграмма&#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5" descr="Изображение выглядит как текст, снимок экрана, Шрифт, диаграмма&#10;&#10;Автоматически созданное описание"/>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73750" cy="3029585"/>
                    </a:xfrm>
                    <a:prstGeom prst="rect">
                      <a:avLst/>
                    </a:prstGeom>
                    <a:noFill/>
                    <a:ln>
                      <a:noFill/>
                    </a:ln>
                  </pic:spPr>
                </pic:pic>
              </a:graphicData>
            </a:graphic>
          </wp:inline>
        </w:drawing>
      </w:r>
    </w:p>
    <w:p w14:paraId="547B3E37" w14:textId="77777777"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Источник: </w:t>
      </w:r>
      <w:r w:rsidRPr="003B10E2">
        <w:rPr>
          <w:rFonts w:ascii="Times New Roman" w:hAnsi="Times New Roman"/>
          <w:color w:val="000000"/>
          <w:sz w:val="24"/>
          <w:szCs w:val="24"/>
          <w:lang w:val="en-US"/>
        </w:rPr>
        <w:t>Thomson</w:t>
      </w:r>
      <w:r w:rsidRPr="003B10E2">
        <w:rPr>
          <w:rFonts w:ascii="Times New Roman" w:hAnsi="Times New Roman"/>
          <w:color w:val="000000"/>
          <w:sz w:val="24"/>
          <w:szCs w:val="24"/>
        </w:rPr>
        <w:t xml:space="preserve"> </w:t>
      </w:r>
      <w:r w:rsidRPr="003B10E2">
        <w:rPr>
          <w:rFonts w:ascii="Times New Roman" w:hAnsi="Times New Roman"/>
          <w:color w:val="000000"/>
          <w:sz w:val="24"/>
          <w:szCs w:val="24"/>
          <w:lang w:val="en-US"/>
        </w:rPr>
        <w:t>Reuters</w:t>
      </w:r>
      <w:r w:rsidRPr="003B10E2">
        <w:rPr>
          <w:rFonts w:ascii="Times New Roman" w:hAnsi="Times New Roman"/>
          <w:color w:val="000000"/>
          <w:sz w:val="24"/>
          <w:szCs w:val="24"/>
        </w:rPr>
        <w:t>.</w:t>
      </w:r>
    </w:p>
    <w:p w14:paraId="170E9F2C" w14:textId="77777777"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9C0C92" w:rsidRPr="003B10E2">
        <w:rPr>
          <w:rFonts w:ascii="Times New Roman" w:hAnsi="Times New Roman"/>
          <w:color w:val="000000"/>
          <w:sz w:val="24"/>
          <w:szCs w:val="24"/>
        </w:rPr>
        <w:t>37</w:t>
      </w:r>
      <w:r w:rsidRPr="003B10E2">
        <w:rPr>
          <w:rFonts w:ascii="Times New Roman" w:hAnsi="Times New Roman"/>
          <w:color w:val="000000"/>
          <w:sz w:val="24"/>
          <w:szCs w:val="24"/>
        </w:rPr>
        <w:t xml:space="preserve"> – Связь цены биткойна и запусков новых хедж-фондов, %</w:t>
      </w:r>
    </w:p>
    <w:p w14:paraId="26FD10A3" w14:textId="77777777" w:rsidR="000E0FE8" w:rsidRPr="003B10E2" w:rsidRDefault="000E0FE8" w:rsidP="000E0FE8">
      <w:pPr>
        <w:spacing w:after="0" w:line="360" w:lineRule="auto"/>
        <w:ind w:firstLine="851"/>
        <w:jc w:val="center"/>
        <w:rPr>
          <w:rFonts w:ascii="Times New Roman" w:hAnsi="Times New Roman"/>
          <w:color w:val="000000"/>
          <w:sz w:val="24"/>
          <w:szCs w:val="24"/>
        </w:rPr>
      </w:pPr>
    </w:p>
    <w:p w14:paraId="5573F2CA"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Как показано на рисунке </w:t>
      </w:r>
      <w:r w:rsidR="009C0C92" w:rsidRPr="003B10E2">
        <w:rPr>
          <w:rFonts w:ascii="Times New Roman" w:hAnsi="Times New Roman"/>
          <w:color w:val="000000"/>
          <w:sz w:val="28"/>
          <w:szCs w:val="28"/>
        </w:rPr>
        <w:t>37</w:t>
      </w:r>
      <w:r w:rsidRPr="003B10E2">
        <w:rPr>
          <w:rFonts w:ascii="Times New Roman" w:hAnsi="Times New Roman"/>
          <w:color w:val="000000"/>
          <w:sz w:val="28"/>
          <w:szCs w:val="28"/>
        </w:rPr>
        <w:t>, запуск активно управляемых крипто-фондов</w:t>
      </w:r>
      <w:r w:rsidR="006A0B42" w:rsidRPr="003B10E2">
        <w:rPr>
          <w:rFonts w:ascii="Times New Roman" w:hAnsi="Times New Roman"/>
          <w:color w:val="000000"/>
          <w:sz w:val="28"/>
          <w:szCs w:val="28"/>
        </w:rPr>
        <w:t xml:space="preserve"> (гистограмма)</w:t>
      </w:r>
      <w:r w:rsidRPr="003B10E2">
        <w:rPr>
          <w:rFonts w:ascii="Times New Roman" w:hAnsi="Times New Roman"/>
          <w:color w:val="000000"/>
          <w:sz w:val="28"/>
          <w:szCs w:val="28"/>
        </w:rPr>
        <w:t xml:space="preserve"> сильно коррелирует с ценой биткойна (</w:t>
      </w:r>
      <w:r w:rsidR="006A0B42" w:rsidRPr="003B10E2">
        <w:rPr>
          <w:rFonts w:ascii="Times New Roman" w:hAnsi="Times New Roman"/>
          <w:color w:val="000000"/>
          <w:sz w:val="28"/>
          <w:szCs w:val="28"/>
        </w:rPr>
        <w:t>линия</w:t>
      </w:r>
      <w:r w:rsidRPr="003B10E2">
        <w:rPr>
          <w:rFonts w:ascii="Times New Roman" w:hAnsi="Times New Roman"/>
          <w:color w:val="000000"/>
          <w:sz w:val="28"/>
          <w:szCs w:val="28"/>
        </w:rPr>
        <w:t>). Пик цен на биткойн в 2018 году, похоже, послужил катализатором для запуска новых крипто-фондов. Стало заметно сокращение количества новых фондовых фондов в связи с тенденцией к снижению рынка криптовалют в конце 2019 года. Запуск новых крипто-хедж-фондов коррелирует с ценой биткойна. Хедж-фонды обычно используют четыре инвестиционные стратегии на рынке криптоактивов:</w:t>
      </w:r>
    </w:p>
    <w:p w14:paraId="5C36045A"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1) Покупка криптоактивов: инвесторы имеют более длительный инвестиционный горизонт. Средства, как правило, вкладываются в токен- монету на ранней стадии. Средства, как правило, имеют самый длинный период блокировки для инвесторов.</w:t>
      </w:r>
    </w:p>
    <w:p w14:paraId="1F51C9CA"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2) Дискретные стратегии: они включают сделки с использованием технического анализа и стратегии, которые являются крипто-специфичными, такими как майнинг. Дискретные фонды часто имеют гибридные стратегии, которые могут включать инвестирование в проекты на ранней стадии.</w:t>
      </w:r>
    </w:p>
    <w:p w14:paraId="1FB6FCBD"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3) Количественная стратегия: фонды используют количественный подход для анализа рынка. Ликвидность является ключевым аспектом для этой стратегии и ограничивает средства для торговли более ликвидными криптовалютами.</w:t>
      </w:r>
    </w:p>
    <w:p w14:paraId="4A0A9489"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4) Мультистратегия: фонды, принимающие комбинацию стратегий.</w:t>
      </w:r>
    </w:p>
    <w:p w14:paraId="12F11640"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Наиболее распространенные типы инвесторов (почти 90% всех инвесторов) являются семейными офисами (48%) или состоятельными физическими лицами (42%). Квантовые фонды являются наиболее распространенными и составляют почти половину активов крипто-хеджфондов на рынке сегодня. Остальные стратегии имеют меньшую долю на рынке: дискретная стратегия (только 19%) и мультистратегия (17%).</w:t>
      </w:r>
    </w:p>
    <w:p w14:paraId="45EF5DDB"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Процентная доля крипто-хедж-фондов с активами более 20 млн долл. США увеличилась в 2019 году с 19% до 35%. Это неудивительно: фонды с большим капиталом имеют тенденцию привлекать не только новых инвесторов, но и инвесторов большего размера, так как многие инвесторы не могут инвестировать более 10% от всех активов фонда из-за превышения риска концентрации.</w:t>
      </w:r>
    </w:p>
    <w:p w14:paraId="0AF074C7"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Они занимают все более существенное место в развитии инвестиционных стратегий:</w:t>
      </w:r>
    </w:p>
    <w:p w14:paraId="45BC9E14" w14:textId="77777777" w:rsidR="000E0FE8" w:rsidRPr="003B10E2" w:rsidRDefault="000E0FE8" w:rsidP="000E0FE8">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доля хедж-фондов с совокупными криптоактивами более 20 миллионов долларов США вырос в 2019 году с 19% до 35%.</w:t>
      </w:r>
    </w:p>
    <w:p w14:paraId="70095069" w14:textId="77777777" w:rsidR="000E0FE8" w:rsidRPr="003B10E2" w:rsidRDefault="000E0FE8" w:rsidP="000E0FE8">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средний показатель совокупных криптоактивов увеличился с 4,3 млн долл. США до 8,2 млн долл. США.</w:t>
      </w:r>
    </w:p>
    <w:p w14:paraId="305EC29C" w14:textId="77777777" w:rsidR="000E0FE8" w:rsidRPr="003B10E2" w:rsidRDefault="000E0FE8" w:rsidP="00B13660">
      <w:pPr>
        <w:spacing w:after="0" w:line="360" w:lineRule="auto"/>
        <w:contextualSpacing/>
        <w:jc w:val="both"/>
        <w:rPr>
          <w:color w:val="000000"/>
        </w:rPr>
      </w:pPr>
      <w:r w:rsidRPr="003B10E2">
        <w:rPr>
          <w:rFonts w:ascii="Times New Roman" w:hAnsi="Times New Roman"/>
          <w:color w:val="000000"/>
          <w:sz w:val="28"/>
          <w:szCs w:val="28"/>
        </w:rPr>
        <w:t xml:space="preserve">- средний показатель совокупных криптоактивов при запуске фонда составляет 2 млн долл. США. </w:t>
      </w:r>
    </w:p>
    <w:p w14:paraId="3E5C94E4" w14:textId="77777777" w:rsidR="000E0FE8" w:rsidRPr="003B10E2" w:rsidRDefault="000E0FE8" w:rsidP="000E0FE8">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В этой части работы делается вывод, что стратегия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xml:space="preserve">, которая предполагает заимствование денег с низкой процентной ставкой и инвестирование в стране с высокими процентными ставками, может генерировать высокий коэффициент на развитых и развивающихся рынках. </w:t>
      </w:r>
    </w:p>
    <w:p w14:paraId="00C8CDD7" w14:textId="77777777" w:rsidR="000E0FE8" w:rsidRPr="003B10E2" w:rsidRDefault="000E0FE8" w:rsidP="000E0FE8">
      <w:pPr>
        <w:spacing w:after="0" w:line="360" w:lineRule="auto"/>
        <w:ind w:firstLine="851"/>
        <w:contextualSpacing/>
        <w:jc w:val="both"/>
        <w:rPr>
          <w:rFonts w:ascii="Times New Roman" w:hAnsi="Times New Roman"/>
          <w:color w:val="000000"/>
          <w:sz w:val="28"/>
          <w:szCs w:val="28"/>
        </w:rPr>
      </w:pPr>
      <w:bookmarkStart w:id="172" w:name="_Hlk138270568"/>
      <w:r w:rsidRPr="003B10E2">
        <w:rPr>
          <w:rFonts w:ascii="Times New Roman" w:hAnsi="Times New Roman"/>
          <w:color w:val="000000"/>
          <w:sz w:val="28"/>
          <w:szCs w:val="28"/>
        </w:rPr>
        <w:t xml:space="preserve">Развивающиеся рынки (Россия и Китай) являются более благоприятными для этой стратегии ввиду гипотезы паритета процентных ставок. Дифференциал между процентными ставками существует за счет наличия риска, связанного с большей вероятностью падения обменного курса валюты с высокой процентной ставкой. </w:t>
      </w:r>
    </w:p>
    <w:p w14:paraId="328D70DF"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Цены на сырьевые товары и индекс рынка акций развивающихся рынков может позитивно предсказывать доходность следующего месяца использования стратегии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xml:space="preserve">. Состояние ликвидности в США отрицательно сказывается на доходности стратегии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А высокий страновой риск способствует высокой доходности торговой стратегии [179].</w:t>
      </w:r>
    </w:p>
    <w:p w14:paraId="772FE497"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Carry trade — одна из самых популярных торговых стратегий на валютном рынке. Стратегия может генерировать высокую доходность и высокий коэффициент Шарпа, при этом она слабо коррелирует с традиционными финансовыми активами рынка акций и активов с фиксированным доходом. </w:t>
      </w:r>
    </w:p>
    <w:p w14:paraId="03616870"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Инвесторы считают, что в этих странах будет стабильность экономичсекой политики и высокие темпы экономического роста, поэтому есть хорошие возможности для долгосрочных инвестиций (сроком более 5 лет) и потенциальной более высокой доходности по процентным ставкам. Кроме того, другие развивающиеся страны также представили значительно выше номинальные процентные ставки и доходность капитала, чем развитые страны. </w:t>
      </w:r>
    </w:p>
    <w:p w14:paraId="4AF03806"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текущей макроэкономической ситуации инвесторы заимствуют деньги в таких странах, как Швейцария, США и Япония, а затем вкладывают в облигации и другие инструменты с высокой процентной ставкой в Бразилии, России, Индии, Китае и ЮАР. Эмпирические свидетельства высокой доходности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xml:space="preserve"> нарушили важную гипотезу о непокрытом паритете процентных ставок (UIP), который позволяет прогнозировать, что валюты с высокими процентными ставками должны идеально обесцениваться в соответствии с дифференциалом между валютами двух стран. </w:t>
      </w:r>
    </w:p>
    <w:p w14:paraId="7CA225E1" w14:textId="77777777" w:rsidR="000E0FE8" w:rsidRPr="003B10E2" w:rsidRDefault="000E0FE8" w:rsidP="009C0C92">
      <w:pPr>
        <w:spacing w:after="0" w:line="360" w:lineRule="auto"/>
        <w:ind w:firstLine="851"/>
        <w:jc w:val="both"/>
        <w:rPr>
          <w:rFonts w:ascii="Times New Roman" w:eastAsia="Times New Roman" w:hAnsi="Times New Roman"/>
          <w:color w:val="000000"/>
          <w:sz w:val="28"/>
          <w:szCs w:val="28"/>
        </w:rPr>
      </w:pPr>
      <w:r w:rsidRPr="003B10E2">
        <w:rPr>
          <w:rFonts w:ascii="Times New Roman" w:hAnsi="Times New Roman"/>
          <w:color w:val="000000"/>
          <w:sz w:val="28"/>
          <w:szCs w:val="28"/>
        </w:rPr>
        <w:t xml:space="preserve">Гипотеза о непокрытом паритете процентных ставок была подтверждена эмпирически для многих валютных пар для периода до 2008 года. Однако после 2008 года стратегия дает неоднозначные результаты. </w:t>
      </w:r>
    </w:p>
    <w:p w14:paraId="7394118F"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Гипотеза о непокрытом паритете процентных ставок основана на предположении, что инвесторы являются риск-нейтральными, т. е. отсутствует премия за риск по форвардной ставке. В этом случае номинальный обменный курс может быть прекрасно предсказан по дифференциалу процентных ставок, установленными двумя странами [284]. Валютный курс валюты страны с высокими процентными ставками должен снижаться, в то время как обменный курс валюты страны с низкой процентной ставкой должен расти из-за арбитражной деятельности инвесторов.</w:t>
      </w:r>
    </w:p>
    <w:p w14:paraId="12729FA6"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Квантильная регрессия не предполагает строгое независимое и нормальное распределение ошибок. Можно сделать вывод, что хотя большинство стран с формирующейся рынками имеют высокие процентные ставки, их валюты слабы и сильно девальвированы. Однако некоторые страны имеют очень слабую валюту, которая не позволяет долгосрочно осуществлять прибыльную торговлю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xml:space="preserve">: Аргентина и Россия имеют процентные ставки на 6-7% выше, чем США, но национальные валюты были подвержены сильной девальвации [236]. Результаты показывают, что процентная ставка может играть ключевое значение при выборе валютных пар как при инвестировании в развитые, так и в развивающиеся рынки. </w:t>
      </w:r>
    </w:p>
    <w:p w14:paraId="52637128"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Рациональное экономическое поведение основано на тезисе, что высокая доходность должна быть связана с высоким риском. В дополнение к риску рынка акций, есть макроэкономические факторы риска, которые могут повлиять на доходность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xml:space="preserve"> на рынках России и Китая:</w:t>
      </w:r>
    </w:p>
    <w:p w14:paraId="4BF8DACE" w14:textId="77777777" w:rsidR="000E0FE8" w:rsidRPr="003B10E2" w:rsidRDefault="000E0FE8" w:rsidP="000E0FE8">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ab/>
        <w:t xml:space="preserve">1) Волатильность фондового рынка в США.  Индекс </w:t>
      </w:r>
      <w:r w:rsidRPr="003B10E2">
        <w:rPr>
          <w:rFonts w:ascii="Times New Roman" w:hAnsi="Times New Roman"/>
          <w:color w:val="000000"/>
          <w:sz w:val="28"/>
          <w:szCs w:val="28"/>
          <w:lang w:val="en-US"/>
        </w:rPr>
        <w:t>VIX</w:t>
      </w:r>
      <w:r w:rsidRPr="003B10E2">
        <w:rPr>
          <w:rFonts w:ascii="Times New Roman" w:hAnsi="Times New Roman"/>
          <w:color w:val="000000"/>
          <w:sz w:val="28"/>
          <w:szCs w:val="28"/>
        </w:rPr>
        <w:t xml:space="preserve"> показатель настроения рынка и инвесторов к риску. Более высокое значение VIX означает более высокую волатильность в будущем и больший риск для инвесторов. Как правило, пики индекс </w:t>
      </w:r>
      <w:r w:rsidRPr="003B10E2">
        <w:rPr>
          <w:rFonts w:ascii="Times New Roman" w:hAnsi="Times New Roman"/>
          <w:color w:val="000000"/>
          <w:sz w:val="28"/>
          <w:szCs w:val="28"/>
          <w:lang w:val="en-US"/>
        </w:rPr>
        <w:t>VIX</w:t>
      </w:r>
      <w:r w:rsidRPr="003B10E2">
        <w:rPr>
          <w:rFonts w:ascii="Times New Roman" w:hAnsi="Times New Roman"/>
          <w:color w:val="000000"/>
          <w:sz w:val="28"/>
          <w:szCs w:val="28"/>
        </w:rPr>
        <w:t xml:space="preserve"> сопровождается финансовыми кризисами [176]. В кризисный период трейдеры должны думать, чтобы выйти из инвестиций на развивающихся рынках и купить доллар США в качестве защиты от потерь. Таким образом, балансовая прибыль должна быть отрицательно коррелирована с индексом VIX.</w:t>
      </w:r>
    </w:p>
    <w:p w14:paraId="24EEF16C" w14:textId="77777777" w:rsidR="000E0FE8" w:rsidRPr="003B10E2" w:rsidRDefault="000E0FE8" w:rsidP="000E0FE8">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ab/>
        <w:t xml:space="preserve">2) Ликвидность рынка США. Как правило, для осуществления торговли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xml:space="preserve"> используются заемные средства. Финансовые издержки фондирования должны быть связаны с торговой деятельностью. </w:t>
      </w:r>
    </w:p>
    <w:p w14:paraId="7DB074E0" w14:textId="77777777" w:rsidR="000E0FE8" w:rsidRPr="003B10E2" w:rsidRDefault="000E0FE8" w:rsidP="000E0FE8">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ab/>
        <w:t xml:space="preserve">3) Корпоративный кредитный спрэд. Высокое значение спреда означает ухудшение кредитного состояния рынка корпоративных облигаций. Предполагается, что это отрицательно коррелирует с доходностью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поскольку ухудшение корпоративного кредитования может быть вызвано высокими финансовыми издержками компаний для проведения заимствований.</w:t>
      </w:r>
    </w:p>
    <w:p w14:paraId="7580C1DD"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Кроме того, есть следующие предположения о факторах риска для развивающихся рынков:</w:t>
      </w:r>
    </w:p>
    <w:p w14:paraId="679A2B4D"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1) Цены на сырьевые товары. </w:t>
      </w:r>
    </w:p>
    <w:p w14:paraId="207C1818"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2) Индекс рынка акций может способствовать привлечению капитала и вызывать повышение обменного курса. Таким образом, доходность акций развивающихся рынков может способствовать получению прибыли от торговли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xml:space="preserve">. </w:t>
      </w:r>
    </w:p>
    <w:p w14:paraId="53B51281"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3) Индекс рыночной доходности облигаций развивающихся рынков. Факторы волатильности, ликвидности и корпоративного кредитного риска в США являются негативными для стратегии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xml:space="preserve"> для всех портфелей с большой статистической значимостью.</w:t>
      </w:r>
    </w:p>
    <w:p w14:paraId="6493CB22"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Предыдущие исследования показывают, что инвестиции в рынок подвержен несколько специфических рисков. Bloomberg использует для оценки страновых рисков три составляющие:</w:t>
      </w:r>
    </w:p>
    <w:p w14:paraId="14E4C340"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1) Финансовый риск (FR); </w:t>
      </w:r>
    </w:p>
    <w:p w14:paraId="2723374F"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2) Экономический риск (ER);</w:t>
      </w:r>
    </w:p>
    <w:p w14:paraId="0D0D8900"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3) Политический риск (PR). </w:t>
      </w:r>
    </w:p>
    <w:p w14:paraId="5B4D7A6C"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Финансовый риск включает кредитную и процентную ставку, риск банковского сектора, валютный риск. Экономический риск включает динамику ВВП на душу населения, суверенный и финансовый риск, сальдо торгового баланса и риск иностранных инвестиций. </w:t>
      </w:r>
    </w:p>
    <w:p w14:paraId="465E6EA1"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Состояние экономического развития может позволять генерировать положительную доходность стратегии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xml:space="preserve">, например, высокий политический риск является препятствием для осуществления данной стратегии [136]. Для инвестиций в новые технологии высокая доходность является результатом высокой премии за риск, потому что формирующийся рынок очень рискованный. Один месяц процентная дифференциал ставок может позволять прогнозировать хвостовое распределение движения обменного курса следующего периода, то есть это означат, что высокие процентные ставки валют могут легко рухнуть. </w:t>
      </w:r>
    </w:p>
    <w:p w14:paraId="2FC6F7D2"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Спрэды портфеля валют на развивающихся рынках генерируют почти в два раза больший коэффициент Шарпа по сравнению с доходностью индекса S&amp;P 500. Также выявлено, что осуществление торговлю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xml:space="preserve"> подвержено множеству макроэкономических рисков: риску снижения фондового рынка, риску волатильности фондового рынка, риску ликвидности, риску расширения кредитного спреда корпоративных облигаций в стране финансирования. Высокая доходность стратегии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xml:space="preserve"> — это компенсация экономического, финансового и политического риска. </w:t>
      </w:r>
    </w:p>
    <w:p w14:paraId="7F1E0B40"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Прогнозирование движения валютного курса является одной из самых сложных задач в сфере финансов для ученых и практиков. Фундаментальные модели, как паритет покупательной способности или процентный паритет, имеют ограниченное применение в прогнозировании обменных курсов Стилизованная модель общего равновесия предполагает, что, когда рынок ожидает, что волатильность будет расти, премия за риск, встроенная в цены, будет оказывать влияние на рынок фьючерсов. Валюты, развивающихся рынков, — это рискованный актив для американского инвестора. Даже некоторые малые развитые рынки можно рассматривать как рискованный актив. Эмпирические результаты дают положительные взаимосвязи между премией за риск волатильности (</w:t>
      </w:r>
      <w:r w:rsidRPr="003B10E2">
        <w:rPr>
          <w:rFonts w:ascii="Times New Roman" w:hAnsi="Times New Roman"/>
          <w:color w:val="000000"/>
          <w:sz w:val="28"/>
          <w:szCs w:val="28"/>
          <w:lang w:val="en-US"/>
        </w:rPr>
        <w:t>VRP</w:t>
      </w:r>
      <w:r w:rsidRPr="003B10E2">
        <w:rPr>
          <w:rFonts w:ascii="Times New Roman" w:hAnsi="Times New Roman"/>
          <w:color w:val="000000"/>
          <w:sz w:val="28"/>
          <w:szCs w:val="28"/>
        </w:rPr>
        <w:t xml:space="preserve">) и будущим курсом доллара [337-340]. </w:t>
      </w:r>
    </w:p>
    <w:p w14:paraId="3EA29FE5"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Японская иена является валютой-убежищем на протяжении долгого периода времени [156]. Кроме того, евро, скорее всего, берет на себя роль безопасного убежища в определенные периоды выборки [196]. Таким образом, дальнейшие исследования необходимы для выявления особенностей поведения европейской валюты. Единственной валютой со статистически отрицательным коэффициентом VRP является японская иена. </w:t>
      </w:r>
    </w:p>
    <w:p w14:paraId="7FDCE197"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Образец включает 10 валют развивающихся рынков: Бразильский реал (BRL), Чилийское песо (CLP), Чешская крона (CZK), Израильский шекель (ILS), Индийская рупия (INR), Малазийский ринггит (</w:t>
      </w:r>
      <w:r w:rsidRPr="003B10E2">
        <w:rPr>
          <w:rFonts w:ascii="Times New Roman" w:hAnsi="Times New Roman"/>
          <w:color w:val="000000"/>
          <w:sz w:val="28"/>
          <w:szCs w:val="28"/>
          <w:lang w:val="en-US"/>
        </w:rPr>
        <w:t>MYR</w:t>
      </w:r>
      <w:r w:rsidRPr="003B10E2">
        <w:rPr>
          <w:rFonts w:ascii="Times New Roman" w:hAnsi="Times New Roman"/>
          <w:color w:val="000000"/>
          <w:sz w:val="28"/>
          <w:szCs w:val="28"/>
        </w:rPr>
        <w:t>), Мексиканское песо (</w:t>
      </w:r>
      <w:r w:rsidRPr="003B10E2">
        <w:rPr>
          <w:rFonts w:ascii="Times New Roman" w:hAnsi="Times New Roman"/>
          <w:color w:val="000000"/>
          <w:sz w:val="28"/>
          <w:szCs w:val="28"/>
          <w:lang w:val="en-US"/>
        </w:rPr>
        <w:t>MXN</w:t>
      </w:r>
      <w:r w:rsidRPr="003B10E2">
        <w:rPr>
          <w:rFonts w:ascii="Times New Roman" w:hAnsi="Times New Roman"/>
          <w:color w:val="000000"/>
          <w:sz w:val="28"/>
          <w:szCs w:val="28"/>
        </w:rPr>
        <w:t>), Польский Злотый (</w:t>
      </w:r>
      <w:r w:rsidRPr="003B10E2">
        <w:rPr>
          <w:rFonts w:ascii="Times New Roman" w:hAnsi="Times New Roman"/>
          <w:color w:val="000000"/>
          <w:sz w:val="28"/>
          <w:szCs w:val="28"/>
          <w:lang w:val="en-US"/>
        </w:rPr>
        <w:t>ZL</w:t>
      </w:r>
      <w:r w:rsidRPr="003B10E2">
        <w:rPr>
          <w:rFonts w:ascii="Times New Roman" w:hAnsi="Times New Roman"/>
          <w:color w:val="000000"/>
          <w:sz w:val="28"/>
          <w:szCs w:val="28"/>
        </w:rPr>
        <w:t>), Турецкая лира (</w:t>
      </w:r>
      <w:r w:rsidRPr="003B10E2">
        <w:rPr>
          <w:rFonts w:ascii="Times New Roman" w:hAnsi="Times New Roman"/>
          <w:color w:val="000000"/>
          <w:sz w:val="28"/>
          <w:szCs w:val="28"/>
          <w:lang w:val="en-US"/>
        </w:rPr>
        <w:t>TRY</w:t>
      </w:r>
      <w:r w:rsidRPr="003B10E2">
        <w:rPr>
          <w:rFonts w:ascii="Times New Roman" w:hAnsi="Times New Roman"/>
          <w:color w:val="000000"/>
          <w:sz w:val="28"/>
          <w:szCs w:val="28"/>
        </w:rPr>
        <w:t>) и Южноафриканский ранд (</w:t>
      </w:r>
      <w:r w:rsidRPr="003B10E2">
        <w:rPr>
          <w:rFonts w:ascii="Times New Roman" w:hAnsi="Times New Roman"/>
          <w:color w:val="000000"/>
          <w:sz w:val="28"/>
          <w:szCs w:val="28"/>
          <w:lang w:val="en-US"/>
        </w:rPr>
        <w:t>ZAR</w:t>
      </w:r>
      <w:r w:rsidRPr="003B10E2">
        <w:rPr>
          <w:rFonts w:ascii="Times New Roman" w:hAnsi="Times New Roman"/>
          <w:color w:val="000000"/>
          <w:sz w:val="28"/>
          <w:szCs w:val="28"/>
        </w:rPr>
        <w:t xml:space="preserve">) (таблица </w:t>
      </w:r>
      <w:r w:rsidR="009C0C92" w:rsidRPr="003B10E2">
        <w:rPr>
          <w:rFonts w:ascii="Times New Roman" w:hAnsi="Times New Roman"/>
          <w:color w:val="000000"/>
          <w:sz w:val="28"/>
          <w:szCs w:val="28"/>
        </w:rPr>
        <w:t>9</w:t>
      </w:r>
      <w:r w:rsidRPr="003B10E2">
        <w:rPr>
          <w:rFonts w:ascii="Times New Roman" w:hAnsi="Times New Roman"/>
          <w:color w:val="000000"/>
          <w:sz w:val="28"/>
          <w:szCs w:val="28"/>
        </w:rPr>
        <w:t>).</w:t>
      </w:r>
    </w:p>
    <w:p w14:paraId="57C7500C" w14:textId="77777777" w:rsidR="000E0FE8" w:rsidRPr="003B10E2" w:rsidRDefault="000E0FE8" w:rsidP="000E0FE8">
      <w:pPr>
        <w:spacing w:after="0" w:line="240" w:lineRule="auto"/>
        <w:rPr>
          <w:rFonts w:ascii="Times New Roman" w:hAnsi="Times New Roman"/>
          <w:color w:val="000000"/>
          <w:sz w:val="24"/>
          <w:szCs w:val="24"/>
        </w:rPr>
      </w:pPr>
      <w:r w:rsidRPr="003B10E2">
        <w:rPr>
          <w:rFonts w:ascii="Times New Roman" w:hAnsi="Times New Roman"/>
          <w:color w:val="000000"/>
          <w:sz w:val="24"/>
          <w:szCs w:val="24"/>
        </w:rPr>
        <w:t xml:space="preserve">Таблица </w:t>
      </w:r>
      <w:r w:rsidR="009C0C92" w:rsidRPr="003B10E2">
        <w:rPr>
          <w:rFonts w:ascii="Times New Roman" w:hAnsi="Times New Roman"/>
          <w:color w:val="000000"/>
          <w:sz w:val="24"/>
          <w:szCs w:val="24"/>
        </w:rPr>
        <w:t>9</w:t>
      </w:r>
      <w:r w:rsidRPr="003B10E2">
        <w:rPr>
          <w:rFonts w:ascii="Times New Roman" w:hAnsi="Times New Roman"/>
          <w:color w:val="000000"/>
          <w:sz w:val="24"/>
          <w:szCs w:val="24"/>
        </w:rPr>
        <w:t xml:space="preserve"> – Показатели волатильности валютных пар за период 2007–2022 гг.</w:t>
      </w:r>
    </w:p>
    <w:p w14:paraId="1456AF4F" w14:textId="77777777" w:rsidR="000E0FE8" w:rsidRPr="003B10E2" w:rsidRDefault="000E0FE8" w:rsidP="000E0FE8">
      <w:pPr>
        <w:spacing w:after="0" w:line="240" w:lineRule="auto"/>
        <w:rPr>
          <w:rFonts w:ascii="Times New Roman" w:hAnsi="Times New Roman"/>
          <w:color w:val="000000"/>
          <w:sz w:val="24"/>
          <w:szCs w:val="24"/>
        </w:rPr>
      </w:pPr>
    </w:p>
    <w:tbl>
      <w:tblPr>
        <w:tblW w:w="9356" w:type="dxa"/>
        <w:tblInd w:w="-5" w:type="dxa"/>
        <w:tblLayout w:type="fixed"/>
        <w:tblLook w:val="04A0" w:firstRow="1" w:lastRow="0" w:firstColumn="1" w:lastColumn="0" w:noHBand="0" w:noVBand="1"/>
      </w:tblPr>
      <w:tblGrid>
        <w:gridCol w:w="3119"/>
        <w:gridCol w:w="1916"/>
        <w:gridCol w:w="2195"/>
        <w:gridCol w:w="2126"/>
      </w:tblGrid>
      <w:tr w:rsidR="000E0FE8" w:rsidRPr="003B10E2" w14:paraId="245A0AD4" w14:textId="77777777" w:rsidTr="005D28E0">
        <w:trPr>
          <w:trHeight w:val="733"/>
        </w:trPr>
        <w:tc>
          <w:tcPr>
            <w:tcW w:w="3119" w:type="dxa"/>
            <w:tcBorders>
              <w:top w:val="single" w:sz="4" w:space="0" w:color="000000"/>
              <w:left w:val="single" w:sz="4" w:space="0" w:color="000000"/>
              <w:bottom w:val="double" w:sz="4" w:space="0" w:color="000000"/>
              <w:right w:val="single" w:sz="4" w:space="0" w:color="000000"/>
            </w:tcBorders>
            <w:shd w:val="clear" w:color="auto" w:fill="auto"/>
            <w:vAlign w:val="bottom"/>
          </w:tcPr>
          <w:p w14:paraId="5C902019" w14:textId="77777777" w:rsidR="000E0FE8" w:rsidRPr="003B10E2" w:rsidRDefault="000E0FE8" w:rsidP="005D28E0">
            <w:pPr>
              <w:widowControl w:val="0"/>
              <w:spacing w:after="0" w:line="240" w:lineRule="auto"/>
              <w:jc w:val="center"/>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Параметр</w:t>
            </w:r>
          </w:p>
        </w:tc>
        <w:tc>
          <w:tcPr>
            <w:tcW w:w="1916" w:type="dxa"/>
            <w:tcBorders>
              <w:top w:val="single" w:sz="4" w:space="0" w:color="000000"/>
              <w:bottom w:val="double" w:sz="4" w:space="0" w:color="000000"/>
              <w:right w:val="single" w:sz="4" w:space="0" w:color="000000"/>
            </w:tcBorders>
            <w:shd w:val="clear" w:color="auto" w:fill="auto"/>
            <w:vAlign w:val="bottom"/>
          </w:tcPr>
          <w:p w14:paraId="202C33FA" w14:textId="77777777" w:rsidR="000E0FE8" w:rsidRPr="003B10E2" w:rsidRDefault="000E0FE8" w:rsidP="005D28E0">
            <w:pPr>
              <w:widowControl w:val="0"/>
              <w:spacing w:after="0" w:line="240" w:lineRule="auto"/>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Премия за риск волатильности</w:t>
            </w:r>
          </w:p>
        </w:tc>
        <w:tc>
          <w:tcPr>
            <w:tcW w:w="2195" w:type="dxa"/>
            <w:tcBorders>
              <w:top w:val="single" w:sz="4" w:space="0" w:color="000000"/>
              <w:bottom w:val="double" w:sz="4" w:space="0" w:color="000000"/>
              <w:right w:val="single" w:sz="4" w:space="0" w:color="000000"/>
            </w:tcBorders>
            <w:shd w:val="clear" w:color="auto" w:fill="auto"/>
            <w:vAlign w:val="bottom"/>
          </w:tcPr>
          <w:p w14:paraId="5AD2CFF1" w14:textId="77777777" w:rsidR="000E0FE8" w:rsidRPr="003B10E2" w:rsidRDefault="000E0FE8" w:rsidP="005D28E0">
            <w:pPr>
              <w:widowControl w:val="0"/>
              <w:spacing w:after="0" w:line="240" w:lineRule="auto"/>
              <w:jc w:val="center"/>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Реализованная волатильность</w:t>
            </w:r>
          </w:p>
        </w:tc>
        <w:tc>
          <w:tcPr>
            <w:tcW w:w="2126" w:type="dxa"/>
            <w:tcBorders>
              <w:top w:val="single" w:sz="4" w:space="0" w:color="000000"/>
              <w:bottom w:val="double" w:sz="4" w:space="0" w:color="000000"/>
              <w:right w:val="single" w:sz="4" w:space="0" w:color="000000"/>
            </w:tcBorders>
            <w:shd w:val="clear" w:color="auto" w:fill="auto"/>
            <w:vAlign w:val="bottom"/>
          </w:tcPr>
          <w:p w14:paraId="64802D63" w14:textId="77777777" w:rsidR="000E0FE8" w:rsidRPr="003B10E2" w:rsidRDefault="000E0FE8" w:rsidP="005D28E0">
            <w:pPr>
              <w:widowControl w:val="0"/>
              <w:spacing w:after="0" w:line="240" w:lineRule="auto"/>
              <w:jc w:val="center"/>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Средняя процентная ставка</w:t>
            </w:r>
          </w:p>
        </w:tc>
      </w:tr>
      <w:tr w:rsidR="000E0FE8" w:rsidRPr="003B10E2" w14:paraId="0FFA7231" w14:textId="77777777" w:rsidTr="005D28E0">
        <w:trPr>
          <w:trHeight w:val="299"/>
        </w:trPr>
        <w:tc>
          <w:tcPr>
            <w:tcW w:w="3119" w:type="dxa"/>
            <w:tcBorders>
              <w:top w:val="double" w:sz="4" w:space="0" w:color="000000"/>
              <w:left w:val="single" w:sz="4" w:space="0" w:color="000000"/>
              <w:bottom w:val="single" w:sz="4" w:space="0" w:color="000000"/>
              <w:right w:val="single" w:sz="4" w:space="0" w:color="000000"/>
            </w:tcBorders>
            <w:shd w:val="clear" w:color="auto" w:fill="auto"/>
            <w:vAlign w:val="bottom"/>
          </w:tcPr>
          <w:p w14:paraId="2D5E3504" w14:textId="77777777" w:rsidR="000E0FE8" w:rsidRPr="003B10E2" w:rsidRDefault="000E0FE8" w:rsidP="005D28E0">
            <w:pPr>
              <w:widowControl w:val="0"/>
              <w:spacing w:after="0" w:line="240" w:lineRule="auto"/>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AUD</w:t>
            </w:r>
          </w:p>
        </w:tc>
        <w:tc>
          <w:tcPr>
            <w:tcW w:w="1916" w:type="dxa"/>
            <w:tcBorders>
              <w:top w:val="double" w:sz="4" w:space="0" w:color="000000"/>
              <w:bottom w:val="single" w:sz="4" w:space="0" w:color="000000"/>
              <w:right w:val="single" w:sz="4" w:space="0" w:color="000000"/>
            </w:tcBorders>
            <w:shd w:val="clear" w:color="auto" w:fill="auto"/>
            <w:vAlign w:val="bottom"/>
          </w:tcPr>
          <w:p w14:paraId="1224B7AB" w14:textId="77777777"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14</w:t>
            </w:r>
          </w:p>
        </w:tc>
        <w:tc>
          <w:tcPr>
            <w:tcW w:w="2195" w:type="dxa"/>
            <w:tcBorders>
              <w:top w:val="double" w:sz="4" w:space="0" w:color="000000"/>
              <w:bottom w:val="single" w:sz="4" w:space="0" w:color="000000"/>
              <w:right w:val="single" w:sz="4" w:space="0" w:color="000000"/>
            </w:tcBorders>
            <w:shd w:val="clear" w:color="auto" w:fill="auto"/>
            <w:vAlign w:val="bottom"/>
          </w:tcPr>
          <w:p w14:paraId="25A6CD1A" w14:textId="77777777"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4,7</w:t>
            </w:r>
          </w:p>
        </w:tc>
        <w:tc>
          <w:tcPr>
            <w:tcW w:w="2126" w:type="dxa"/>
            <w:tcBorders>
              <w:top w:val="double" w:sz="4" w:space="0" w:color="000000"/>
              <w:bottom w:val="single" w:sz="4" w:space="0" w:color="000000"/>
              <w:right w:val="single" w:sz="4" w:space="0" w:color="000000"/>
            </w:tcBorders>
            <w:shd w:val="clear" w:color="auto" w:fill="auto"/>
            <w:vAlign w:val="bottom"/>
          </w:tcPr>
          <w:p w14:paraId="0B1717D8" w14:textId="77777777"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4,3</w:t>
            </w:r>
          </w:p>
        </w:tc>
      </w:tr>
      <w:tr w:rsidR="000E0FE8" w:rsidRPr="003B10E2" w14:paraId="5AAC943C" w14:textId="77777777" w:rsidTr="005D28E0">
        <w:trPr>
          <w:trHeight w:val="299"/>
        </w:trPr>
        <w:tc>
          <w:tcPr>
            <w:tcW w:w="3119" w:type="dxa"/>
            <w:tcBorders>
              <w:left w:val="single" w:sz="4" w:space="0" w:color="000000"/>
              <w:bottom w:val="single" w:sz="4" w:space="0" w:color="000000"/>
              <w:right w:val="single" w:sz="4" w:space="0" w:color="000000"/>
            </w:tcBorders>
            <w:shd w:val="clear" w:color="auto" w:fill="auto"/>
            <w:vAlign w:val="bottom"/>
          </w:tcPr>
          <w:p w14:paraId="15FB8889" w14:textId="77777777" w:rsidR="000E0FE8" w:rsidRPr="003B10E2" w:rsidRDefault="000E0FE8" w:rsidP="005D28E0">
            <w:pPr>
              <w:widowControl w:val="0"/>
              <w:spacing w:after="0" w:line="240" w:lineRule="auto"/>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CAD</w:t>
            </w:r>
          </w:p>
        </w:tc>
        <w:tc>
          <w:tcPr>
            <w:tcW w:w="1916" w:type="dxa"/>
            <w:tcBorders>
              <w:bottom w:val="single" w:sz="4" w:space="0" w:color="000000"/>
              <w:right w:val="single" w:sz="4" w:space="0" w:color="000000"/>
            </w:tcBorders>
            <w:shd w:val="clear" w:color="auto" w:fill="auto"/>
            <w:vAlign w:val="bottom"/>
          </w:tcPr>
          <w:p w14:paraId="6DB1B53A" w14:textId="77777777"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10,6</w:t>
            </w:r>
          </w:p>
        </w:tc>
        <w:tc>
          <w:tcPr>
            <w:tcW w:w="2195" w:type="dxa"/>
            <w:tcBorders>
              <w:bottom w:val="single" w:sz="4" w:space="0" w:color="000000"/>
              <w:right w:val="single" w:sz="4" w:space="0" w:color="000000"/>
            </w:tcBorders>
            <w:shd w:val="clear" w:color="auto" w:fill="auto"/>
            <w:vAlign w:val="bottom"/>
          </w:tcPr>
          <w:p w14:paraId="55825A85" w14:textId="77777777"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4</w:t>
            </w:r>
          </w:p>
        </w:tc>
        <w:tc>
          <w:tcPr>
            <w:tcW w:w="2126" w:type="dxa"/>
            <w:tcBorders>
              <w:bottom w:val="single" w:sz="4" w:space="0" w:color="000000"/>
              <w:right w:val="single" w:sz="4" w:space="0" w:color="000000"/>
            </w:tcBorders>
            <w:shd w:val="clear" w:color="auto" w:fill="auto"/>
            <w:vAlign w:val="bottom"/>
          </w:tcPr>
          <w:p w14:paraId="04D78240" w14:textId="77777777"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1,4</w:t>
            </w:r>
          </w:p>
        </w:tc>
      </w:tr>
      <w:tr w:rsidR="000E0FE8" w:rsidRPr="003B10E2" w14:paraId="7BA786D4" w14:textId="77777777" w:rsidTr="005D28E0">
        <w:trPr>
          <w:trHeight w:val="299"/>
        </w:trPr>
        <w:tc>
          <w:tcPr>
            <w:tcW w:w="3119" w:type="dxa"/>
            <w:tcBorders>
              <w:left w:val="single" w:sz="4" w:space="0" w:color="000000"/>
              <w:bottom w:val="single" w:sz="4" w:space="0" w:color="000000"/>
              <w:right w:val="single" w:sz="4" w:space="0" w:color="000000"/>
            </w:tcBorders>
            <w:shd w:val="clear" w:color="auto" w:fill="auto"/>
            <w:vAlign w:val="bottom"/>
          </w:tcPr>
          <w:p w14:paraId="29BFAA79" w14:textId="77777777" w:rsidR="000E0FE8" w:rsidRPr="003B10E2" w:rsidRDefault="000E0FE8" w:rsidP="005D28E0">
            <w:pPr>
              <w:widowControl w:val="0"/>
              <w:spacing w:after="0" w:line="240" w:lineRule="auto"/>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CHF</w:t>
            </w:r>
          </w:p>
        </w:tc>
        <w:tc>
          <w:tcPr>
            <w:tcW w:w="1916" w:type="dxa"/>
            <w:tcBorders>
              <w:bottom w:val="single" w:sz="4" w:space="0" w:color="000000"/>
              <w:right w:val="single" w:sz="4" w:space="0" w:color="000000"/>
            </w:tcBorders>
            <w:shd w:val="clear" w:color="auto" w:fill="auto"/>
            <w:vAlign w:val="bottom"/>
          </w:tcPr>
          <w:p w14:paraId="38FBB448" w14:textId="77777777"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11,2</w:t>
            </w:r>
          </w:p>
        </w:tc>
        <w:tc>
          <w:tcPr>
            <w:tcW w:w="2195" w:type="dxa"/>
            <w:tcBorders>
              <w:bottom w:val="single" w:sz="4" w:space="0" w:color="000000"/>
              <w:right w:val="single" w:sz="4" w:space="0" w:color="000000"/>
            </w:tcBorders>
            <w:shd w:val="clear" w:color="auto" w:fill="auto"/>
            <w:vAlign w:val="bottom"/>
          </w:tcPr>
          <w:p w14:paraId="2B3FFD35" w14:textId="77777777"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4,5</w:t>
            </w:r>
          </w:p>
        </w:tc>
        <w:tc>
          <w:tcPr>
            <w:tcW w:w="2126" w:type="dxa"/>
            <w:tcBorders>
              <w:bottom w:val="single" w:sz="4" w:space="0" w:color="000000"/>
              <w:right w:val="single" w:sz="4" w:space="0" w:color="000000"/>
            </w:tcBorders>
            <w:shd w:val="clear" w:color="auto" w:fill="auto"/>
            <w:vAlign w:val="bottom"/>
          </w:tcPr>
          <w:p w14:paraId="50E1A5EE" w14:textId="77777777"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0,5</w:t>
            </w:r>
          </w:p>
        </w:tc>
      </w:tr>
      <w:tr w:rsidR="000E0FE8" w:rsidRPr="003B10E2" w14:paraId="46574166" w14:textId="77777777" w:rsidTr="005D28E0">
        <w:trPr>
          <w:trHeight w:val="299"/>
        </w:trPr>
        <w:tc>
          <w:tcPr>
            <w:tcW w:w="3119" w:type="dxa"/>
            <w:tcBorders>
              <w:left w:val="single" w:sz="4" w:space="0" w:color="000000"/>
              <w:bottom w:val="single" w:sz="4" w:space="0" w:color="000000"/>
              <w:right w:val="single" w:sz="4" w:space="0" w:color="000000"/>
            </w:tcBorders>
            <w:shd w:val="clear" w:color="auto" w:fill="auto"/>
            <w:vAlign w:val="bottom"/>
          </w:tcPr>
          <w:p w14:paraId="64EC7E61" w14:textId="77777777" w:rsidR="000E0FE8" w:rsidRPr="003B10E2" w:rsidRDefault="000E0FE8" w:rsidP="005D28E0">
            <w:pPr>
              <w:widowControl w:val="0"/>
              <w:spacing w:after="0" w:line="240" w:lineRule="auto"/>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DKK</w:t>
            </w:r>
          </w:p>
        </w:tc>
        <w:tc>
          <w:tcPr>
            <w:tcW w:w="1916" w:type="dxa"/>
            <w:tcBorders>
              <w:bottom w:val="single" w:sz="4" w:space="0" w:color="000000"/>
              <w:right w:val="single" w:sz="4" w:space="0" w:color="000000"/>
            </w:tcBorders>
            <w:shd w:val="clear" w:color="auto" w:fill="auto"/>
            <w:vAlign w:val="bottom"/>
          </w:tcPr>
          <w:p w14:paraId="5FB949BF" w14:textId="77777777"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10,1</w:t>
            </w:r>
          </w:p>
        </w:tc>
        <w:tc>
          <w:tcPr>
            <w:tcW w:w="2195" w:type="dxa"/>
            <w:tcBorders>
              <w:bottom w:val="single" w:sz="4" w:space="0" w:color="000000"/>
              <w:right w:val="single" w:sz="4" w:space="0" w:color="000000"/>
            </w:tcBorders>
            <w:shd w:val="clear" w:color="auto" w:fill="auto"/>
            <w:vAlign w:val="bottom"/>
          </w:tcPr>
          <w:p w14:paraId="624EFD8D" w14:textId="77777777"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3,8</w:t>
            </w:r>
          </w:p>
        </w:tc>
        <w:tc>
          <w:tcPr>
            <w:tcW w:w="2126" w:type="dxa"/>
            <w:tcBorders>
              <w:bottom w:val="single" w:sz="4" w:space="0" w:color="000000"/>
              <w:right w:val="single" w:sz="4" w:space="0" w:color="000000"/>
            </w:tcBorders>
            <w:shd w:val="clear" w:color="auto" w:fill="auto"/>
            <w:vAlign w:val="bottom"/>
          </w:tcPr>
          <w:p w14:paraId="0B61E9E9" w14:textId="77777777"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1,5</w:t>
            </w:r>
          </w:p>
        </w:tc>
      </w:tr>
      <w:tr w:rsidR="000E0FE8" w:rsidRPr="003B10E2" w14:paraId="0E51D9DC" w14:textId="77777777" w:rsidTr="005D28E0">
        <w:trPr>
          <w:trHeight w:val="299"/>
        </w:trPr>
        <w:tc>
          <w:tcPr>
            <w:tcW w:w="3119" w:type="dxa"/>
            <w:tcBorders>
              <w:left w:val="single" w:sz="4" w:space="0" w:color="000000"/>
              <w:bottom w:val="single" w:sz="4" w:space="0" w:color="000000"/>
              <w:right w:val="single" w:sz="4" w:space="0" w:color="000000"/>
            </w:tcBorders>
            <w:shd w:val="clear" w:color="auto" w:fill="auto"/>
            <w:vAlign w:val="bottom"/>
          </w:tcPr>
          <w:p w14:paraId="1C74B0E9" w14:textId="77777777" w:rsidR="000E0FE8" w:rsidRPr="003B10E2" w:rsidRDefault="000E0FE8" w:rsidP="005D28E0">
            <w:pPr>
              <w:widowControl w:val="0"/>
              <w:spacing w:after="0" w:line="240" w:lineRule="auto"/>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EUR</w:t>
            </w:r>
          </w:p>
        </w:tc>
        <w:tc>
          <w:tcPr>
            <w:tcW w:w="1916" w:type="dxa"/>
            <w:tcBorders>
              <w:bottom w:val="single" w:sz="4" w:space="0" w:color="000000"/>
              <w:right w:val="single" w:sz="4" w:space="0" w:color="000000"/>
            </w:tcBorders>
            <w:shd w:val="clear" w:color="auto" w:fill="auto"/>
            <w:vAlign w:val="bottom"/>
          </w:tcPr>
          <w:p w14:paraId="43B39FBB" w14:textId="77777777"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10,2</w:t>
            </w:r>
          </w:p>
        </w:tc>
        <w:tc>
          <w:tcPr>
            <w:tcW w:w="2195" w:type="dxa"/>
            <w:tcBorders>
              <w:bottom w:val="single" w:sz="4" w:space="0" w:color="000000"/>
              <w:right w:val="single" w:sz="4" w:space="0" w:color="000000"/>
            </w:tcBorders>
            <w:shd w:val="clear" w:color="auto" w:fill="auto"/>
            <w:vAlign w:val="bottom"/>
          </w:tcPr>
          <w:p w14:paraId="5D038E8A" w14:textId="77777777"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5,2</w:t>
            </w:r>
          </w:p>
        </w:tc>
        <w:tc>
          <w:tcPr>
            <w:tcW w:w="2126" w:type="dxa"/>
            <w:tcBorders>
              <w:bottom w:val="single" w:sz="4" w:space="0" w:color="000000"/>
              <w:right w:val="single" w:sz="4" w:space="0" w:color="000000"/>
            </w:tcBorders>
            <w:shd w:val="clear" w:color="auto" w:fill="auto"/>
            <w:vAlign w:val="bottom"/>
          </w:tcPr>
          <w:p w14:paraId="6C803A84" w14:textId="77777777"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1,2</w:t>
            </w:r>
          </w:p>
        </w:tc>
      </w:tr>
      <w:tr w:rsidR="000E0FE8" w:rsidRPr="003B10E2" w14:paraId="6C1CEB8F" w14:textId="77777777" w:rsidTr="005D28E0">
        <w:trPr>
          <w:trHeight w:val="299"/>
        </w:trPr>
        <w:tc>
          <w:tcPr>
            <w:tcW w:w="3119" w:type="dxa"/>
            <w:tcBorders>
              <w:left w:val="single" w:sz="4" w:space="0" w:color="000000"/>
              <w:bottom w:val="single" w:sz="4" w:space="0" w:color="000000"/>
              <w:right w:val="single" w:sz="4" w:space="0" w:color="000000"/>
            </w:tcBorders>
            <w:shd w:val="clear" w:color="auto" w:fill="auto"/>
            <w:vAlign w:val="bottom"/>
          </w:tcPr>
          <w:p w14:paraId="751F82CB" w14:textId="77777777" w:rsidR="000E0FE8" w:rsidRPr="003B10E2" w:rsidRDefault="000E0FE8" w:rsidP="005D28E0">
            <w:pPr>
              <w:widowControl w:val="0"/>
              <w:spacing w:after="0" w:line="240" w:lineRule="auto"/>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GBP</w:t>
            </w:r>
          </w:p>
        </w:tc>
        <w:tc>
          <w:tcPr>
            <w:tcW w:w="1916" w:type="dxa"/>
            <w:tcBorders>
              <w:bottom w:val="single" w:sz="4" w:space="0" w:color="000000"/>
              <w:right w:val="single" w:sz="4" w:space="0" w:color="000000"/>
            </w:tcBorders>
            <w:shd w:val="clear" w:color="auto" w:fill="auto"/>
            <w:vAlign w:val="bottom"/>
          </w:tcPr>
          <w:p w14:paraId="54E99696" w14:textId="77777777"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9,9</w:t>
            </w:r>
          </w:p>
        </w:tc>
        <w:tc>
          <w:tcPr>
            <w:tcW w:w="2195" w:type="dxa"/>
            <w:tcBorders>
              <w:bottom w:val="single" w:sz="4" w:space="0" w:color="000000"/>
              <w:right w:val="single" w:sz="4" w:space="0" w:color="000000"/>
            </w:tcBorders>
            <w:shd w:val="clear" w:color="auto" w:fill="auto"/>
            <w:vAlign w:val="bottom"/>
          </w:tcPr>
          <w:p w14:paraId="2042E79D" w14:textId="77777777"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4,2</w:t>
            </w:r>
          </w:p>
        </w:tc>
        <w:tc>
          <w:tcPr>
            <w:tcW w:w="2126" w:type="dxa"/>
            <w:tcBorders>
              <w:bottom w:val="single" w:sz="4" w:space="0" w:color="000000"/>
              <w:right w:val="single" w:sz="4" w:space="0" w:color="000000"/>
            </w:tcBorders>
            <w:shd w:val="clear" w:color="auto" w:fill="auto"/>
            <w:vAlign w:val="bottom"/>
          </w:tcPr>
          <w:p w14:paraId="41BC33D3" w14:textId="77777777"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1,4</w:t>
            </w:r>
          </w:p>
        </w:tc>
      </w:tr>
      <w:tr w:rsidR="000E0FE8" w:rsidRPr="003B10E2" w14:paraId="2B377F8B" w14:textId="77777777" w:rsidTr="005D28E0">
        <w:trPr>
          <w:trHeight w:val="299"/>
        </w:trPr>
        <w:tc>
          <w:tcPr>
            <w:tcW w:w="3119" w:type="dxa"/>
            <w:tcBorders>
              <w:left w:val="single" w:sz="4" w:space="0" w:color="000000"/>
              <w:bottom w:val="single" w:sz="4" w:space="0" w:color="000000"/>
              <w:right w:val="single" w:sz="4" w:space="0" w:color="000000"/>
            </w:tcBorders>
            <w:shd w:val="clear" w:color="auto" w:fill="auto"/>
            <w:vAlign w:val="bottom"/>
          </w:tcPr>
          <w:p w14:paraId="2C85B8D9" w14:textId="77777777" w:rsidR="000E0FE8" w:rsidRPr="003B10E2" w:rsidRDefault="000E0FE8" w:rsidP="005D28E0">
            <w:pPr>
              <w:widowControl w:val="0"/>
              <w:spacing w:after="0" w:line="240" w:lineRule="auto"/>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JPY</w:t>
            </w:r>
          </w:p>
        </w:tc>
        <w:tc>
          <w:tcPr>
            <w:tcW w:w="1916" w:type="dxa"/>
            <w:tcBorders>
              <w:bottom w:val="single" w:sz="4" w:space="0" w:color="000000"/>
              <w:right w:val="single" w:sz="4" w:space="0" w:color="000000"/>
            </w:tcBorders>
            <w:shd w:val="clear" w:color="auto" w:fill="auto"/>
            <w:vAlign w:val="bottom"/>
          </w:tcPr>
          <w:p w14:paraId="211125E4" w14:textId="77777777"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10,9</w:t>
            </w:r>
          </w:p>
        </w:tc>
        <w:tc>
          <w:tcPr>
            <w:tcW w:w="2195" w:type="dxa"/>
            <w:tcBorders>
              <w:bottom w:val="single" w:sz="4" w:space="0" w:color="000000"/>
              <w:right w:val="single" w:sz="4" w:space="0" w:color="000000"/>
            </w:tcBorders>
            <w:shd w:val="clear" w:color="auto" w:fill="auto"/>
            <w:vAlign w:val="bottom"/>
          </w:tcPr>
          <w:p w14:paraId="29E75320" w14:textId="77777777"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5,4</w:t>
            </w:r>
          </w:p>
        </w:tc>
        <w:tc>
          <w:tcPr>
            <w:tcW w:w="2126" w:type="dxa"/>
            <w:tcBorders>
              <w:bottom w:val="single" w:sz="4" w:space="0" w:color="000000"/>
              <w:right w:val="single" w:sz="4" w:space="0" w:color="000000"/>
            </w:tcBorders>
            <w:shd w:val="clear" w:color="auto" w:fill="auto"/>
            <w:vAlign w:val="bottom"/>
          </w:tcPr>
          <w:p w14:paraId="2A6CCE6A" w14:textId="77777777"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0,3</w:t>
            </w:r>
          </w:p>
        </w:tc>
      </w:tr>
      <w:tr w:rsidR="000E0FE8" w:rsidRPr="003B10E2" w14:paraId="448233E2" w14:textId="77777777" w:rsidTr="005D28E0">
        <w:trPr>
          <w:trHeight w:val="299"/>
        </w:trPr>
        <w:tc>
          <w:tcPr>
            <w:tcW w:w="3119" w:type="dxa"/>
            <w:tcBorders>
              <w:left w:val="single" w:sz="4" w:space="0" w:color="000000"/>
              <w:bottom w:val="single" w:sz="4" w:space="0" w:color="000000"/>
              <w:right w:val="single" w:sz="4" w:space="0" w:color="000000"/>
            </w:tcBorders>
            <w:shd w:val="clear" w:color="auto" w:fill="auto"/>
            <w:vAlign w:val="bottom"/>
          </w:tcPr>
          <w:p w14:paraId="0B24B278" w14:textId="77777777" w:rsidR="000E0FE8" w:rsidRPr="003B10E2" w:rsidRDefault="000E0FE8" w:rsidP="005D28E0">
            <w:pPr>
              <w:widowControl w:val="0"/>
              <w:spacing w:after="0" w:line="240" w:lineRule="auto"/>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NOK</w:t>
            </w:r>
          </w:p>
        </w:tc>
        <w:tc>
          <w:tcPr>
            <w:tcW w:w="1916" w:type="dxa"/>
            <w:tcBorders>
              <w:bottom w:val="single" w:sz="4" w:space="0" w:color="000000"/>
              <w:right w:val="single" w:sz="4" w:space="0" w:color="000000"/>
            </w:tcBorders>
            <w:shd w:val="clear" w:color="auto" w:fill="auto"/>
            <w:vAlign w:val="bottom"/>
          </w:tcPr>
          <w:p w14:paraId="19DF5733" w14:textId="77777777"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13,7</w:t>
            </w:r>
          </w:p>
        </w:tc>
        <w:tc>
          <w:tcPr>
            <w:tcW w:w="2195" w:type="dxa"/>
            <w:tcBorders>
              <w:bottom w:val="single" w:sz="4" w:space="0" w:color="000000"/>
              <w:right w:val="single" w:sz="4" w:space="0" w:color="000000"/>
            </w:tcBorders>
            <w:shd w:val="clear" w:color="auto" w:fill="auto"/>
            <w:vAlign w:val="bottom"/>
          </w:tcPr>
          <w:p w14:paraId="2820FC72" w14:textId="77777777"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4,8</w:t>
            </w:r>
          </w:p>
        </w:tc>
        <w:tc>
          <w:tcPr>
            <w:tcW w:w="2126" w:type="dxa"/>
            <w:tcBorders>
              <w:bottom w:val="single" w:sz="4" w:space="0" w:color="000000"/>
              <w:right w:val="single" w:sz="4" w:space="0" w:color="000000"/>
            </w:tcBorders>
            <w:shd w:val="clear" w:color="auto" w:fill="auto"/>
            <w:vAlign w:val="bottom"/>
          </w:tcPr>
          <w:p w14:paraId="14816EBE" w14:textId="77777777"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2,7</w:t>
            </w:r>
          </w:p>
        </w:tc>
      </w:tr>
      <w:tr w:rsidR="000E0FE8" w:rsidRPr="003B10E2" w14:paraId="6AD887CC" w14:textId="77777777" w:rsidTr="005D28E0">
        <w:trPr>
          <w:trHeight w:val="299"/>
        </w:trPr>
        <w:tc>
          <w:tcPr>
            <w:tcW w:w="3119" w:type="dxa"/>
            <w:tcBorders>
              <w:left w:val="single" w:sz="4" w:space="0" w:color="000000"/>
              <w:bottom w:val="single" w:sz="4" w:space="0" w:color="000000"/>
              <w:right w:val="single" w:sz="4" w:space="0" w:color="000000"/>
            </w:tcBorders>
            <w:shd w:val="clear" w:color="auto" w:fill="auto"/>
            <w:vAlign w:val="bottom"/>
          </w:tcPr>
          <w:p w14:paraId="520D3C2B" w14:textId="77777777" w:rsidR="000E0FE8" w:rsidRPr="003B10E2" w:rsidRDefault="000E0FE8" w:rsidP="005D28E0">
            <w:pPr>
              <w:widowControl w:val="0"/>
              <w:spacing w:after="0" w:line="240" w:lineRule="auto"/>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NZD</w:t>
            </w:r>
          </w:p>
        </w:tc>
        <w:tc>
          <w:tcPr>
            <w:tcW w:w="1916" w:type="dxa"/>
            <w:tcBorders>
              <w:bottom w:val="single" w:sz="4" w:space="0" w:color="000000"/>
              <w:right w:val="single" w:sz="4" w:space="0" w:color="000000"/>
            </w:tcBorders>
            <w:shd w:val="clear" w:color="auto" w:fill="auto"/>
            <w:vAlign w:val="bottom"/>
          </w:tcPr>
          <w:p w14:paraId="60CA1A02" w14:textId="77777777"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14,9</w:t>
            </w:r>
          </w:p>
        </w:tc>
        <w:tc>
          <w:tcPr>
            <w:tcW w:w="2195" w:type="dxa"/>
            <w:tcBorders>
              <w:bottom w:val="single" w:sz="4" w:space="0" w:color="000000"/>
              <w:right w:val="single" w:sz="4" w:space="0" w:color="000000"/>
            </w:tcBorders>
            <w:shd w:val="clear" w:color="auto" w:fill="auto"/>
            <w:vAlign w:val="bottom"/>
          </w:tcPr>
          <w:p w14:paraId="44549724" w14:textId="77777777"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4,9</w:t>
            </w:r>
          </w:p>
        </w:tc>
        <w:tc>
          <w:tcPr>
            <w:tcW w:w="2126" w:type="dxa"/>
            <w:tcBorders>
              <w:bottom w:val="single" w:sz="4" w:space="0" w:color="000000"/>
              <w:right w:val="single" w:sz="4" w:space="0" w:color="000000"/>
            </w:tcBorders>
            <w:shd w:val="clear" w:color="auto" w:fill="auto"/>
            <w:vAlign w:val="bottom"/>
          </w:tcPr>
          <w:p w14:paraId="7C3726CD" w14:textId="77777777"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3,9</w:t>
            </w:r>
          </w:p>
        </w:tc>
      </w:tr>
      <w:tr w:rsidR="000E0FE8" w:rsidRPr="003B10E2" w14:paraId="0FD999B5" w14:textId="77777777" w:rsidTr="005D28E0">
        <w:trPr>
          <w:trHeight w:val="299"/>
        </w:trPr>
        <w:tc>
          <w:tcPr>
            <w:tcW w:w="3119" w:type="dxa"/>
            <w:tcBorders>
              <w:left w:val="single" w:sz="4" w:space="0" w:color="000000"/>
              <w:bottom w:val="single" w:sz="4" w:space="0" w:color="000000"/>
              <w:right w:val="single" w:sz="4" w:space="0" w:color="000000"/>
            </w:tcBorders>
            <w:shd w:val="clear" w:color="auto" w:fill="auto"/>
            <w:vAlign w:val="bottom"/>
          </w:tcPr>
          <w:p w14:paraId="0FDE8ABC" w14:textId="77777777" w:rsidR="000E0FE8" w:rsidRPr="003B10E2" w:rsidRDefault="000E0FE8" w:rsidP="005D28E0">
            <w:pPr>
              <w:widowControl w:val="0"/>
              <w:spacing w:after="0" w:line="240" w:lineRule="auto"/>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SEK</w:t>
            </w:r>
          </w:p>
        </w:tc>
        <w:tc>
          <w:tcPr>
            <w:tcW w:w="1916" w:type="dxa"/>
            <w:tcBorders>
              <w:bottom w:val="single" w:sz="4" w:space="0" w:color="000000"/>
              <w:right w:val="single" w:sz="4" w:space="0" w:color="000000"/>
            </w:tcBorders>
            <w:shd w:val="clear" w:color="auto" w:fill="auto"/>
            <w:vAlign w:val="bottom"/>
          </w:tcPr>
          <w:p w14:paraId="677CF7E1" w14:textId="77777777"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13,8</w:t>
            </w:r>
          </w:p>
        </w:tc>
        <w:tc>
          <w:tcPr>
            <w:tcW w:w="2195" w:type="dxa"/>
            <w:tcBorders>
              <w:bottom w:val="single" w:sz="4" w:space="0" w:color="000000"/>
              <w:right w:val="single" w:sz="4" w:space="0" w:color="000000"/>
            </w:tcBorders>
            <w:shd w:val="clear" w:color="auto" w:fill="auto"/>
            <w:vAlign w:val="bottom"/>
          </w:tcPr>
          <w:p w14:paraId="403E6BAC" w14:textId="77777777"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5,1</w:t>
            </w:r>
          </w:p>
        </w:tc>
        <w:tc>
          <w:tcPr>
            <w:tcW w:w="2126" w:type="dxa"/>
            <w:tcBorders>
              <w:bottom w:val="single" w:sz="4" w:space="0" w:color="000000"/>
              <w:right w:val="single" w:sz="4" w:space="0" w:color="000000"/>
            </w:tcBorders>
            <w:shd w:val="clear" w:color="auto" w:fill="auto"/>
            <w:vAlign w:val="bottom"/>
          </w:tcPr>
          <w:p w14:paraId="35B585C5" w14:textId="77777777"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1,8</w:t>
            </w:r>
          </w:p>
        </w:tc>
      </w:tr>
      <w:tr w:rsidR="000E0FE8" w:rsidRPr="003B10E2" w14:paraId="051774A3" w14:textId="77777777" w:rsidTr="005D28E0">
        <w:trPr>
          <w:trHeight w:val="299"/>
        </w:trPr>
        <w:tc>
          <w:tcPr>
            <w:tcW w:w="3119" w:type="dxa"/>
            <w:tcBorders>
              <w:left w:val="single" w:sz="4" w:space="0" w:color="000000"/>
              <w:bottom w:val="single" w:sz="4" w:space="0" w:color="000000"/>
              <w:right w:val="single" w:sz="4" w:space="0" w:color="000000"/>
            </w:tcBorders>
            <w:shd w:val="clear" w:color="auto" w:fill="auto"/>
            <w:vAlign w:val="bottom"/>
          </w:tcPr>
          <w:p w14:paraId="29EA5EA4" w14:textId="77777777" w:rsidR="000E0FE8" w:rsidRPr="003B10E2" w:rsidRDefault="000E0FE8" w:rsidP="005D28E0">
            <w:pPr>
              <w:widowControl w:val="0"/>
              <w:spacing w:after="0" w:line="240" w:lineRule="auto"/>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BRL</w:t>
            </w:r>
          </w:p>
        </w:tc>
        <w:tc>
          <w:tcPr>
            <w:tcW w:w="1916" w:type="dxa"/>
            <w:tcBorders>
              <w:bottom w:val="single" w:sz="4" w:space="0" w:color="000000"/>
              <w:right w:val="single" w:sz="4" w:space="0" w:color="000000"/>
            </w:tcBorders>
            <w:shd w:val="clear" w:color="auto" w:fill="auto"/>
            <w:vAlign w:val="bottom"/>
          </w:tcPr>
          <w:p w14:paraId="1F3D81A9" w14:textId="77777777"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14,8</w:t>
            </w:r>
          </w:p>
        </w:tc>
        <w:tc>
          <w:tcPr>
            <w:tcW w:w="2195" w:type="dxa"/>
            <w:tcBorders>
              <w:bottom w:val="single" w:sz="4" w:space="0" w:color="000000"/>
              <w:right w:val="single" w:sz="4" w:space="0" w:color="000000"/>
            </w:tcBorders>
            <w:shd w:val="clear" w:color="auto" w:fill="auto"/>
            <w:vAlign w:val="bottom"/>
          </w:tcPr>
          <w:p w14:paraId="15A40032" w14:textId="77777777"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7,4</w:t>
            </w:r>
          </w:p>
        </w:tc>
        <w:tc>
          <w:tcPr>
            <w:tcW w:w="2126" w:type="dxa"/>
            <w:tcBorders>
              <w:bottom w:val="single" w:sz="4" w:space="0" w:color="000000"/>
              <w:right w:val="single" w:sz="4" w:space="0" w:color="000000"/>
            </w:tcBorders>
            <w:shd w:val="clear" w:color="auto" w:fill="auto"/>
            <w:vAlign w:val="bottom"/>
          </w:tcPr>
          <w:p w14:paraId="4FA842CC" w14:textId="77777777"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9,8</w:t>
            </w:r>
          </w:p>
        </w:tc>
      </w:tr>
      <w:tr w:rsidR="000E0FE8" w:rsidRPr="003B10E2" w14:paraId="1D9F6E86" w14:textId="77777777" w:rsidTr="005D28E0">
        <w:trPr>
          <w:trHeight w:val="299"/>
        </w:trPr>
        <w:tc>
          <w:tcPr>
            <w:tcW w:w="3119" w:type="dxa"/>
            <w:tcBorders>
              <w:left w:val="single" w:sz="4" w:space="0" w:color="000000"/>
              <w:bottom w:val="single" w:sz="4" w:space="0" w:color="000000"/>
              <w:right w:val="single" w:sz="4" w:space="0" w:color="000000"/>
            </w:tcBorders>
            <w:shd w:val="clear" w:color="auto" w:fill="auto"/>
            <w:vAlign w:val="bottom"/>
          </w:tcPr>
          <w:p w14:paraId="6FE25399" w14:textId="77777777" w:rsidR="000E0FE8" w:rsidRPr="003B10E2" w:rsidRDefault="000E0FE8" w:rsidP="005D28E0">
            <w:pPr>
              <w:widowControl w:val="0"/>
              <w:spacing w:after="0" w:line="240" w:lineRule="auto"/>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Среднее</w:t>
            </w:r>
          </w:p>
        </w:tc>
        <w:tc>
          <w:tcPr>
            <w:tcW w:w="1916" w:type="dxa"/>
            <w:tcBorders>
              <w:bottom w:val="single" w:sz="4" w:space="0" w:color="000000"/>
              <w:right w:val="single" w:sz="4" w:space="0" w:color="000000"/>
            </w:tcBorders>
            <w:shd w:val="clear" w:color="auto" w:fill="auto"/>
            <w:vAlign w:val="bottom"/>
          </w:tcPr>
          <w:p w14:paraId="58AE123C" w14:textId="77777777"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12,2</w:t>
            </w:r>
          </w:p>
        </w:tc>
        <w:tc>
          <w:tcPr>
            <w:tcW w:w="2195" w:type="dxa"/>
            <w:tcBorders>
              <w:bottom w:val="single" w:sz="4" w:space="0" w:color="000000"/>
              <w:right w:val="single" w:sz="4" w:space="0" w:color="000000"/>
            </w:tcBorders>
            <w:shd w:val="clear" w:color="auto" w:fill="auto"/>
            <w:vAlign w:val="bottom"/>
          </w:tcPr>
          <w:p w14:paraId="28FE792A" w14:textId="77777777"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5,3</w:t>
            </w:r>
          </w:p>
        </w:tc>
        <w:tc>
          <w:tcPr>
            <w:tcW w:w="2126" w:type="dxa"/>
            <w:tcBorders>
              <w:bottom w:val="single" w:sz="4" w:space="0" w:color="000000"/>
              <w:right w:val="single" w:sz="4" w:space="0" w:color="000000"/>
            </w:tcBorders>
            <w:shd w:val="clear" w:color="auto" w:fill="auto"/>
            <w:vAlign w:val="bottom"/>
          </w:tcPr>
          <w:p w14:paraId="457B1347" w14:textId="77777777"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3,4</w:t>
            </w:r>
          </w:p>
        </w:tc>
      </w:tr>
      <w:tr w:rsidR="000E0FE8" w:rsidRPr="003B10E2" w14:paraId="34A996A2" w14:textId="77777777" w:rsidTr="005D28E0">
        <w:trPr>
          <w:trHeight w:val="371"/>
        </w:trPr>
        <w:tc>
          <w:tcPr>
            <w:tcW w:w="3119" w:type="dxa"/>
            <w:tcBorders>
              <w:left w:val="single" w:sz="4" w:space="0" w:color="000000"/>
              <w:bottom w:val="single" w:sz="4" w:space="0" w:color="000000"/>
              <w:right w:val="single" w:sz="4" w:space="0" w:color="000000"/>
            </w:tcBorders>
            <w:shd w:val="clear" w:color="auto" w:fill="auto"/>
            <w:vAlign w:val="bottom"/>
          </w:tcPr>
          <w:p w14:paraId="085FDB75" w14:textId="77777777" w:rsidR="000E0FE8" w:rsidRPr="003B10E2" w:rsidRDefault="000E0FE8" w:rsidP="005D28E0">
            <w:pPr>
              <w:widowControl w:val="0"/>
              <w:spacing w:after="0" w:line="240" w:lineRule="auto"/>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Развитые страны (среднее)</w:t>
            </w:r>
          </w:p>
        </w:tc>
        <w:tc>
          <w:tcPr>
            <w:tcW w:w="1916" w:type="dxa"/>
            <w:tcBorders>
              <w:bottom w:val="single" w:sz="4" w:space="0" w:color="000000"/>
              <w:right w:val="single" w:sz="4" w:space="0" w:color="000000"/>
            </w:tcBorders>
            <w:shd w:val="clear" w:color="auto" w:fill="auto"/>
            <w:vAlign w:val="bottom"/>
          </w:tcPr>
          <w:p w14:paraId="6072C3A3" w14:textId="77777777"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11,9</w:t>
            </w:r>
          </w:p>
        </w:tc>
        <w:tc>
          <w:tcPr>
            <w:tcW w:w="2195" w:type="dxa"/>
            <w:tcBorders>
              <w:bottom w:val="single" w:sz="4" w:space="0" w:color="000000"/>
              <w:right w:val="single" w:sz="4" w:space="0" w:color="000000"/>
            </w:tcBorders>
            <w:shd w:val="clear" w:color="auto" w:fill="auto"/>
            <w:vAlign w:val="bottom"/>
          </w:tcPr>
          <w:p w14:paraId="2DC81D88" w14:textId="77777777"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4,6</w:t>
            </w:r>
          </w:p>
        </w:tc>
        <w:tc>
          <w:tcPr>
            <w:tcW w:w="2126" w:type="dxa"/>
            <w:tcBorders>
              <w:bottom w:val="single" w:sz="4" w:space="0" w:color="000000"/>
              <w:right w:val="single" w:sz="4" w:space="0" w:color="000000"/>
            </w:tcBorders>
            <w:shd w:val="clear" w:color="auto" w:fill="auto"/>
            <w:vAlign w:val="bottom"/>
          </w:tcPr>
          <w:p w14:paraId="7121B1A9" w14:textId="77777777"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1,9</w:t>
            </w:r>
          </w:p>
        </w:tc>
      </w:tr>
      <w:tr w:rsidR="000E0FE8" w:rsidRPr="003B10E2" w14:paraId="2177CAB4" w14:textId="77777777" w:rsidTr="005D28E0">
        <w:trPr>
          <w:trHeight w:val="598"/>
        </w:trPr>
        <w:tc>
          <w:tcPr>
            <w:tcW w:w="3119" w:type="dxa"/>
            <w:tcBorders>
              <w:left w:val="single" w:sz="4" w:space="0" w:color="000000"/>
              <w:bottom w:val="single" w:sz="4" w:space="0" w:color="000000"/>
              <w:right w:val="single" w:sz="4" w:space="0" w:color="000000"/>
            </w:tcBorders>
            <w:shd w:val="clear" w:color="auto" w:fill="auto"/>
            <w:vAlign w:val="bottom"/>
          </w:tcPr>
          <w:p w14:paraId="6904909A" w14:textId="77777777" w:rsidR="000E0FE8" w:rsidRPr="003B10E2" w:rsidRDefault="000E0FE8" w:rsidP="005D28E0">
            <w:pPr>
              <w:widowControl w:val="0"/>
              <w:spacing w:after="0" w:line="240" w:lineRule="auto"/>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Развивающиеся страны (среднее)</w:t>
            </w:r>
          </w:p>
        </w:tc>
        <w:tc>
          <w:tcPr>
            <w:tcW w:w="1916" w:type="dxa"/>
            <w:tcBorders>
              <w:bottom w:val="single" w:sz="4" w:space="0" w:color="000000"/>
              <w:right w:val="single" w:sz="4" w:space="0" w:color="000000"/>
            </w:tcBorders>
            <w:shd w:val="clear" w:color="auto" w:fill="auto"/>
            <w:vAlign w:val="bottom"/>
          </w:tcPr>
          <w:p w14:paraId="6F2C5649" w14:textId="77777777" w:rsidR="000E0FE8" w:rsidRPr="003B10E2" w:rsidRDefault="000E0FE8" w:rsidP="005D28E0">
            <w:pPr>
              <w:widowControl w:val="0"/>
              <w:spacing w:after="0" w:line="240" w:lineRule="auto"/>
              <w:ind w:firstLine="851"/>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12,4</w:t>
            </w:r>
          </w:p>
        </w:tc>
        <w:tc>
          <w:tcPr>
            <w:tcW w:w="2195" w:type="dxa"/>
            <w:tcBorders>
              <w:bottom w:val="single" w:sz="4" w:space="0" w:color="000000"/>
              <w:right w:val="single" w:sz="4" w:space="0" w:color="000000"/>
            </w:tcBorders>
            <w:shd w:val="clear" w:color="auto" w:fill="auto"/>
            <w:vAlign w:val="bottom"/>
          </w:tcPr>
          <w:p w14:paraId="12F70F68" w14:textId="77777777" w:rsidR="000E0FE8" w:rsidRPr="003B10E2" w:rsidRDefault="000E0FE8" w:rsidP="005D28E0">
            <w:pPr>
              <w:widowControl w:val="0"/>
              <w:spacing w:after="0" w:line="240" w:lineRule="auto"/>
              <w:ind w:firstLine="851"/>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5,9</w:t>
            </w:r>
          </w:p>
        </w:tc>
        <w:tc>
          <w:tcPr>
            <w:tcW w:w="2126" w:type="dxa"/>
            <w:tcBorders>
              <w:bottom w:val="single" w:sz="4" w:space="0" w:color="000000"/>
              <w:right w:val="single" w:sz="4" w:space="0" w:color="000000"/>
            </w:tcBorders>
            <w:shd w:val="clear" w:color="auto" w:fill="auto"/>
            <w:vAlign w:val="bottom"/>
          </w:tcPr>
          <w:p w14:paraId="2B16B703" w14:textId="77777777" w:rsidR="000E0FE8" w:rsidRPr="003B10E2" w:rsidRDefault="000E0FE8" w:rsidP="005D28E0">
            <w:pPr>
              <w:widowControl w:val="0"/>
              <w:spacing w:after="0" w:line="240" w:lineRule="auto"/>
              <w:ind w:firstLine="851"/>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4,8</w:t>
            </w:r>
          </w:p>
        </w:tc>
      </w:tr>
    </w:tbl>
    <w:p w14:paraId="0BA8225A" w14:textId="77777777" w:rsidR="000E0FE8" w:rsidRPr="003B10E2" w:rsidRDefault="000E0FE8" w:rsidP="000E0FE8">
      <w:pPr>
        <w:spacing w:after="0" w:line="360" w:lineRule="auto"/>
      </w:pPr>
      <w:r w:rsidRPr="003B10E2">
        <w:rPr>
          <w:rFonts w:ascii="Times New Roman" w:hAnsi="Times New Roman"/>
          <w:color w:val="000000"/>
          <w:sz w:val="24"/>
          <w:szCs w:val="24"/>
        </w:rPr>
        <w:t xml:space="preserve">Источник: </w:t>
      </w:r>
      <w:r w:rsidRPr="003B10E2">
        <w:rPr>
          <w:rFonts w:ascii="Times New Roman" w:hAnsi="Times New Roman"/>
          <w:color w:val="000000"/>
          <w:sz w:val="24"/>
          <w:szCs w:val="24"/>
          <w:lang w:val="en-US"/>
        </w:rPr>
        <w:t>Thomson</w:t>
      </w:r>
      <w:r w:rsidRPr="003B10E2">
        <w:rPr>
          <w:rFonts w:ascii="Times New Roman" w:hAnsi="Times New Roman"/>
          <w:color w:val="000000"/>
          <w:sz w:val="24"/>
          <w:szCs w:val="24"/>
        </w:rPr>
        <w:t xml:space="preserve"> </w:t>
      </w:r>
      <w:r w:rsidRPr="003B10E2">
        <w:rPr>
          <w:rFonts w:ascii="Times New Roman" w:hAnsi="Times New Roman"/>
          <w:color w:val="000000"/>
          <w:sz w:val="24"/>
          <w:szCs w:val="24"/>
          <w:lang w:val="en-US"/>
        </w:rPr>
        <w:t>Reuters</w:t>
      </w:r>
      <w:r w:rsidRPr="003B10E2">
        <w:rPr>
          <w:rFonts w:ascii="Times New Roman" w:hAnsi="Times New Roman"/>
          <w:color w:val="000000"/>
          <w:sz w:val="24"/>
          <w:szCs w:val="24"/>
        </w:rPr>
        <w:t>.</w:t>
      </w:r>
    </w:p>
    <w:p w14:paraId="4C3A8AB2" w14:textId="77777777" w:rsidR="000E0FE8" w:rsidRPr="003B10E2" w:rsidRDefault="000E0FE8" w:rsidP="000E0FE8">
      <w:pPr>
        <w:spacing w:after="0" w:line="360" w:lineRule="auto"/>
        <w:jc w:val="both"/>
        <w:rPr>
          <w:rFonts w:ascii="Times New Roman" w:hAnsi="Times New Roman"/>
          <w:color w:val="000000"/>
          <w:sz w:val="28"/>
          <w:szCs w:val="28"/>
        </w:rPr>
      </w:pPr>
    </w:p>
    <w:p w14:paraId="7CE7AABF"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Последние исследования также обнаружили предсказуемость премии за риск волатильности фондового рынка. Результаты согласуются с аргументом, что существование изменяющиеся во времени премии за риск может объяснить, почему гипотеза покрытия паритета процентных ставок часто не подтверждается эмпирически. Более высокую доходность валют с высокой премией за риск ликвидности можно рассматривать как компенсацию для более высокого будущего риска, вероятность возникновения которого повышается со временем. </w:t>
      </w:r>
    </w:p>
    <w:p w14:paraId="5E8E6AA7" w14:textId="77777777" w:rsidR="000E0FE8" w:rsidRPr="003B10E2" w:rsidRDefault="00B13660"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Ф</w:t>
      </w:r>
      <w:r w:rsidR="000E0FE8" w:rsidRPr="003B10E2">
        <w:rPr>
          <w:rFonts w:ascii="Times New Roman" w:hAnsi="Times New Roman"/>
          <w:color w:val="000000"/>
          <w:sz w:val="28"/>
          <w:szCs w:val="28"/>
        </w:rPr>
        <w:t xml:space="preserve">инансовая литература за последние три десятилетия уделяла значительное внимание аномалиям валютного рынка. Однако только недавно были достигнуты успехи в вопросе ликвидности на валютном рынке. В то же время широко изучена ликвидность рынка акций, ее взаимосвязь с различными аномалиями на фондовом рынке и других рынках. Однако, несмотря на свою важность этого явления, имеется мало эмпирических свидетельств. Ликвидность рынка может объяснять различные ценовые аномалии на фондовом рынке и эмпирически помогает объяснить доходность товарных стратегий и хедж-фондов. </w:t>
      </w:r>
    </w:p>
    <w:p w14:paraId="189E7FE2"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Рыночные условия рынка акций влияют на спекулятивные стратегии на валютном рынке. Кроме того, экономическое влияние эффекта недостаточной ликвидности является существенным, так как стандартное отклонение снижения ликвидности рынка акций снижает прибыль на 0,303% в месяц, что приблизительно составляет треть среднемесячной прибыли [267]. </w:t>
      </w:r>
    </w:p>
    <w:bookmarkEnd w:id="172"/>
    <w:p w14:paraId="139CB435" w14:textId="77777777" w:rsidR="000E0FE8" w:rsidRPr="003B10E2" w:rsidRDefault="000E0FE8" w:rsidP="00B13660">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последние годы низкая ликвидность (2001-2022 гг.) капитала способствовала высокой доходности и популяризации стратегии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xml:space="preserve">. Наблюдаемая дивергенция в моделях предсказуемости обусловлена структурными и технологическими изменениями, которые привели к снижению торговых издержек, наряду с общим повышением значимости валютных аномалий. Выборка состоит из наблюдений за обменными курсами валют (спот) на конец месяца, обменными курсами форвардных контрактов на один месяц и соответствующими спредами за период с января 1976 г. по декабрь 2021 г. Набор данных был получен через </w:t>
      </w:r>
      <w:r w:rsidRPr="003B10E2">
        <w:rPr>
          <w:rFonts w:ascii="Times New Roman" w:hAnsi="Times New Roman"/>
          <w:color w:val="000000"/>
          <w:sz w:val="28"/>
          <w:szCs w:val="28"/>
          <w:lang w:val="en-US"/>
        </w:rPr>
        <w:t>datastream</w:t>
      </w:r>
      <w:r w:rsidRPr="003B10E2">
        <w:rPr>
          <w:rFonts w:ascii="Times New Roman" w:hAnsi="Times New Roman"/>
          <w:color w:val="000000"/>
          <w:sz w:val="28"/>
          <w:szCs w:val="28"/>
        </w:rPr>
        <w:t xml:space="preserve"> терминала Reuters. На протяжении всего исследуемого периода фактический размер выборки сильно варьируется в зависимости от наличия данных. </w:t>
      </w:r>
    </w:p>
    <w:p w14:paraId="7DBA0415"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этом случае инвестор покупает иностранную валюту на форвардном рынке по цене bid, а впоследствии продает иностранную валюту по цене </w:t>
      </w:r>
      <w:r w:rsidRPr="003B10E2">
        <w:rPr>
          <w:rFonts w:ascii="Times New Roman" w:hAnsi="Times New Roman"/>
          <w:color w:val="000000"/>
          <w:sz w:val="28"/>
          <w:szCs w:val="28"/>
          <w:lang w:val="en-US"/>
        </w:rPr>
        <w:t>ask</w:t>
      </w:r>
      <w:r w:rsidRPr="003B10E2">
        <w:rPr>
          <w:rFonts w:ascii="Times New Roman" w:hAnsi="Times New Roman"/>
          <w:color w:val="000000"/>
          <w:sz w:val="28"/>
          <w:szCs w:val="28"/>
        </w:rPr>
        <w:t xml:space="preserve"> на спотовом рынке [134]. Таким образом, валюты с максимальными ожидаемыми прибылями помещаются в шестой портфель. Аналогичным образом, первый портфель включает валюты с наименьшей ожидаемой доходностью. Шесть портфелей используются для оценки динамики валют и осуществления торговых стратегий. Чтобы построить доходный портфель, нужно купить валюты из шестого портфеля и продать валюту из первого портфеля. </w:t>
      </w:r>
    </w:p>
    <w:p w14:paraId="643B879F"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таблице </w:t>
      </w:r>
      <w:r w:rsidR="009C0C92" w:rsidRPr="003B10E2">
        <w:rPr>
          <w:rFonts w:ascii="Times New Roman" w:hAnsi="Times New Roman"/>
          <w:color w:val="000000"/>
          <w:sz w:val="28"/>
          <w:szCs w:val="28"/>
        </w:rPr>
        <w:t>10</w:t>
      </w:r>
      <w:r w:rsidRPr="003B10E2">
        <w:rPr>
          <w:rFonts w:ascii="Times New Roman" w:hAnsi="Times New Roman"/>
          <w:color w:val="000000"/>
          <w:sz w:val="28"/>
          <w:szCs w:val="28"/>
        </w:rPr>
        <w:t xml:space="preserve"> также представлены другие характеристики портфелей, включая стандартное отклонение, асимметрию, эксцесс и коэффициент Шарпа. </w:t>
      </w:r>
    </w:p>
    <w:p w14:paraId="5ACED17A" w14:textId="77777777" w:rsidR="000E0FE8" w:rsidRPr="003B10E2" w:rsidRDefault="000E0FE8" w:rsidP="000E0FE8">
      <w:pPr>
        <w:spacing w:after="0" w:line="240" w:lineRule="auto"/>
        <w:rPr>
          <w:rFonts w:ascii="Times New Roman" w:hAnsi="Times New Roman"/>
          <w:color w:val="000000"/>
          <w:sz w:val="24"/>
          <w:szCs w:val="24"/>
        </w:rPr>
      </w:pPr>
    </w:p>
    <w:p w14:paraId="4B4712AE" w14:textId="77777777" w:rsidR="000E0FE8" w:rsidRPr="003B10E2" w:rsidRDefault="000E0FE8" w:rsidP="000E0FE8">
      <w:pPr>
        <w:spacing w:after="0" w:line="240" w:lineRule="auto"/>
        <w:rPr>
          <w:rFonts w:ascii="Times New Roman" w:hAnsi="Times New Roman"/>
          <w:color w:val="000000"/>
          <w:sz w:val="24"/>
          <w:szCs w:val="24"/>
        </w:rPr>
      </w:pPr>
      <w:r w:rsidRPr="003B10E2">
        <w:rPr>
          <w:rFonts w:ascii="Times New Roman" w:hAnsi="Times New Roman"/>
          <w:color w:val="000000"/>
          <w:sz w:val="24"/>
          <w:szCs w:val="24"/>
        </w:rPr>
        <w:t xml:space="preserve">Таблица </w:t>
      </w:r>
      <w:r w:rsidR="009C0C92" w:rsidRPr="003B10E2">
        <w:rPr>
          <w:rFonts w:ascii="Times New Roman" w:hAnsi="Times New Roman"/>
          <w:color w:val="000000"/>
          <w:sz w:val="24"/>
          <w:szCs w:val="24"/>
        </w:rPr>
        <w:t>10</w:t>
      </w:r>
      <w:r w:rsidRPr="003B10E2">
        <w:rPr>
          <w:rFonts w:ascii="Times New Roman" w:hAnsi="Times New Roman"/>
          <w:color w:val="000000"/>
          <w:sz w:val="24"/>
          <w:szCs w:val="24"/>
        </w:rPr>
        <w:t xml:space="preserve"> –</w:t>
      </w:r>
      <w:r w:rsidRPr="003B10E2">
        <w:rPr>
          <w:rFonts w:ascii="Times New Roman" w:hAnsi="Times New Roman"/>
          <w:color w:val="000000"/>
          <w:sz w:val="24"/>
          <w:szCs w:val="24"/>
          <w:lang w:val="en-GB"/>
        </w:rPr>
        <w:t xml:space="preserve"> </w:t>
      </w:r>
      <w:r w:rsidRPr="003B10E2">
        <w:rPr>
          <w:rFonts w:ascii="Times New Roman" w:hAnsi="Times New Roman"/>
          <w:color w:val="000000"/>
          <w:sz w:val="24"/>
          <w:szCs w:val="24"/>
        </w:rPr>
        <w:t>Характеристики портфелей валют</w:t>
      </w:r>
    </w:p>
    <w:tbl>
      <w:tblPr>
        <w:tblpPr w:leftFromText="180" w:rightFromText="180" w:vertAnchor="text" w:horzAnchor="margin" w:tblpY="153"/>
        <w:tblW w:w="9464" w:type="dxa"/>
        <w:tblLayout w:type="fixed"/>
        <w:tblLook w:val="04A0" w:firstRow="1" w:lastRow="0" w:firstColumn="1" w:lastColumn="0" w:noHBand="0" w:noVBand="1"/>
      </w:tblPr>
      <w:tblGrid>
        <w:gridCol w:w="1058"/>
        <w:gridCol w:w="1270"/>
        <w:gridCol w:w="786"/>
        <w:gridCol w:w="1248"/>
        <w:gridCol w:w="1133"/>
        <w:gridCol w:w="1021"/>
        <w:gridCol w:w="823"/>
        <w:gridCol w:w="854"/>
        <w:gridCol w:w="1271"/>
      </w:tblGrid>
      <w:tr w:rsidR="000E0FE8" w:rsidRPr="003B10E2" w14:paraId="41589C93" w14:textId="77777777" w:rsidTr="005D28E0">
        <w:trPr>
          <w:trHeight w:val="642"/>
        </w:trPr>
        <w:tc>
          <w:tcPr>
            <w:tcW w:w="1058" w:type="dxa"/>
            <w:tcBorders>
              <w:top w:val="single" w:sz="4" w:space="0" w:color="000000"/>
              <w:left w:val="single" w:sz="4" w:space="0" w:color="000000"/>
              <w:bottom w:val="double" w:sz="4" w:space="0" w:color="000000"/>
              <w:right w:val="single" w:sz="4" w:space="0" w:color="000000"/>
            </w:tcBorders>
            <w:shd w:val="clear" w:color="auto" w:fill="auto"/>
            <w:vAlign w:val="bottom"/>
          </w:tcPr>
          <w:p w14:paraId="00A4837E" w14:textId="77777777" w:rsidR="000E0FE8" w:rsidRPr="003B10E2" w:rsidRDefault="000E0FE8" w:rsidP="005D28E0">
            <w:pPr>
              <w:widowControl w:val="0"/>
              <w:spacing w:after="0" w:line="240" w:lineRule="auto"/>
              <w:jc w:val="center"/>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Группа валют</w:t>
            </w:r>
          </w:p>
        </w:tc>
        <w:tc>
          <w:tcPr>
            <w:tcW w:w="1270" w:type="dxa"/>
            <w:tcBorders>
              <w:top w:val="single" w:sz="4" w:space="0" w:color="000000"/>
              <w:bottom w:val="double" w:sz="4" w:space="0" w:color="000000"/>
              <w:right w:val="single" w:sz="4" w:space="0" w:color="000000"/>
            </w:tcBorders>
            <w:shd w:val="clear" w:color="auto" w:fill="auto"/>
            <w:vAlign w:val="bottom"/>
          </w:tcPr>
          <w:p w14:paraId="425529ED" w14:textId="77777777" w:rsidR="000E0FE8" w:rsidRPr="003B10E2" w:rsidRDefault="000E0FE8" w:rsidP="005D28E0">
            <w:pPr>
              <w:widowControl w:val="0"/>
              <w:spacing w:after="0" w:line="240" w:lineRule="auto"/>
              <w:jc w:val="center"/>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Доходность</w:t>
            </w:r>
          </w:p>
        </w:tc>
        <w:tc>
          <w:tcPr>
            <w:tcW w:w="786" w:type="dxa"/>
            <w:tcBorders>
              <w:top w:val="single" w:sz="4" w:space="0" w:color="000000"/>
              <w:bottom w:val="double" w:sz="4" w:space="0" w:color="000000"/>
              <w:right w:val="single" w:sz="4" w:space="0" w:color="000000"/>
            </w:tcBorders>
            <w:shd w:val="clear" w:color="auto" w:fill="auto"/>
            <w:vAlign w:val="bottom"/>
          </w:tcPr>
          <w:p w14:paraId="583648EE" w14:textId="77777777" w:rsidR="000E0FE8" w:rsidRPr="003B10E2" w:rsidRDefault="000E0FE8" w:rsidP="005D28E0">
            <w:pPr>
              <w:widowControl w:val="0"/>
              <w:spacing w:after="0" w:line="240" w:lineRule="auto"/>
              <w:jc w:val="center"/>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Alpha</w:t>
            </w:r>
          </w:p>
        </w:tc>
        <w:tc>
          <w:tcPr>
            <w:tcW w:w="1248" w:type="dxa"/>
            <w:tcBorders>
              <w:top w:val="single" w:sz="4" w:space="0" w:color="000000"/>
              <w:bottom w:val="double" w:sz="4" w:space="0" w:color="000000"/>
              <w:right w:val="single" w:sz="4" w:space="0" w:color="000000"/>
            </w:tcBorders>
            <w:shd w:val="clear" w:color="auto" w:fill="auto"/>
            <w:vAlign w:val="bottom"/>
          </w:tcPr>
          <w:p w14:paraId="3598C3FA" w14:textId="77777777" w:rsidR="000E0FE8" w:rsidRPr="003B10E2" w:rsidRDefault="000E0FE8" w:rsidP="005D28E0">
            <w:pPr>
              <w:widowControl w:val="0"/>
              <w:spacing w:after="0" w:line="240" w:lineRule="auto"/>
              <w:jc w:val="center"/>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Alpha, 3 месяца</w:t>
            </w:r>
          </w:p>
        </w:tc>
        <w:tc>
          <w:tcPr>
            <w:tcW w:w="1133" w:type="dxa"/>
            <w:tcBorders>
              <w:top w:val="single" w:sz="4" w:space="0" w:color="000000"/>
              <w:bottom w:val="double" w:sz="4" w:space="0" w:color="000000"/>
              <w:right w:val="single" w:sz="4" w:space="0" w:color="000000"/>
            </w:tcBorders>
            <w:shd w:val="clear" w:color="auto" w:fill="auto"/>
            <w:vAlign w:val="bottom"/>
          </w:tcPr>
          <w:p w14:paraId="40A32EC7" w14:textId="77777777" w:rsidR="000E0FE8" w:rsidRPr="003B10E2" w:rsidRDefault="000E0FE8" w:rsidP="005D28E0">
            <w:pPr>
              <w:widowControl w:val="0"/>
              <w:spacing w:after="0" w:line="240" w:lineRule="auto"/>
              <w:jc w:val="center"/>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Отклонение доходности</w:t>
            </w:r>
          </w:p>
        </w:tc>
        <w:tc>
          <w:tcPr>
            <w:tcW w:w="1021" w:type="dxa"/>
            <w:tcBorders>
              <w:top w:val="single" w:sz="4" w:space="0" w:color="000000"/>
              <w:bottom w:val="double" w:sz="4" w:space="0" w:color="000000"/>
              <w:right w:val="single" w:sz="4" w:space="0" w:color="000000"/>
            </w:tcBorders>
            <w:shd w:val="clear" w:color="auto" w:fill="auto"/>
            <w:vAlign w:val="bottom"/>
          </w:tcPr>
          <w:p w14:paraId="4F4663C8" w14:textId="77777777" w:rsidR="000E0FE8" w:rsidRPr="003B10E2" w:rsidRDefault="000E0FE8" w:rsidP="005D28E0">
            <w:pPr>
              <w:widowControl w:val="0"/>
              <w:spacing w:after="0" w:line="240" w:lineRule="auto"/>
              <w:jc w:val="center"/>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Волатильность</w:t>
            </w:r>
          </w:p>
        </w:tc>
        <w:tc>
          <w:tcPr>
            <w:tcW w:w="823" w:type="dxa"/>
            <w:tcBorders>
              <w:top w:val="single" w:sz="4" w:space="0" w:color="000000"/>
              <w:bottom w:val="double" w:sz="4" w:space="0" w:color="000000"/>
              <w:right w:val="single" w:sz="4" w:space="0" w:color="000000"/>
            </w:tcBorders>
            <w:shd w:val="clear" w:color="auto" w:fill="auto"/>
            <w:vAlign w:val="bottom"/>
          </w:tcPr>
          <w:p w14:paraId="5A6EC12D" w14:textId="77777777" w:rsidR="000E0FE8" w:rsidRPr="003B10E2" w:rsidRDefault="000E0FE8" w:rsidP="005D28E0">
            <w:pPr>
              <w:widowControl w:val="0"/>
              <w:spacing w:after="0" w:line="240" w:lineRule="auto"/>
              <w:jc w:val="center"/>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Скос</w:t>
            </w:r>
          </w:p>
        </w:tc>
        <w:tc>
          <w:tcPr>
            <w:tcW w:w="854" w:type="dxa"/>
            <w:tcBorders>
              <w:top w:val="single" w:sz="4" w:space="0" w:color="000000"/>
              <w:bottom w:val="double" w:sz="4" w:space="0" w:color="000000"/>
              <w:right w:val="single" w:sz="4" w:space="0" w:color="000000"/>
            </w:tcBorders>
            <w:shd w:val="clear" w:color="auto" w:fill="auto"/>
            <w:vAlign w:val="bottom"/>
          </w:tcPr>
          <w:p w14:paraId="65F5CD29" w14:textId="77777777" w:rsidR="000E0FE8" w:rsidRPr="003B10E2" w:rsidRDefault="000E0FE8" w:rsidP="005D28E0">
            <w:pPr>
              <w:widowControl w:val="0"/>
              <w:spacing w:after="0" w:line="240" w:lineRule="auto"/>
              <w:jc w:val="center"/>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Куртозис</w:t>
            </w:r>
          </w:p>
        </w:tc>
        <w:tc>
          <w:tcPr>
            <w:tcW w:w="1271" w:type="dxa"/>
            <w:tcBorders>
              <w:top w:val="single" w:sz="4" w:space="0" w:color="000000"/>
              <w:bottom w:val="double" w:sz="4" w:space="0" w:color="000000"/>
              <w:right w:val="single" w:sz="4" w:space="0" w:color="000000"/>
            </w:tcBorders>
            <w:shd w:val="clear" w:color="auto" w:fill="auto"/>
            <w:vAlign w:val="bottom"/>
          </w:tcPr>
          <w:p w14:paraId="21CC9ABA" w14:textId="77777777" w:rsidR="000E0FE8" w:rsidRPr="003B10E2" w:rsidRDefault="000E0FE8" w:rsidP="005D28E0">
            <w:pPr>
              <w:widowControl w:val="0"/>
              <w:spacing w:after="0" w:line="240" w:lineRule="auto"/>
              <w:jc w:val="center"/>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Коэффициент Шарпа</w:t>
            </w:r>
          </w:p>
        </w:tc>
      </w:tr>
      <w:tr w:rsidR="000E0FE8" w:rsidRPr="003B10E2" w14:paraId="2A07F0FB" w14:textId="77777777" w:rsidTr="005D28E0">
        <w:trPr>
          <w:trHeight w:val="299"/>
        </w:trPr>
        <w:tc>
          <w:tcPr>
            <w:tcW w:w="1058" w:type="dxa"/>
            <w:tcBorders>
              <w:top w:val="double" w:sz="4" w:space="0" w:color="000000"/>
              <w:left w:val="single" w:sz="4" w:space="0" w:color="000000"/>
              <w:bottom w:val="single" w:sz="4" w:space="0" w:color="000000"/>
              <w:right w:val="single" w:sz="4" w:space="0" w:color="000000"/>
            </w:tcBorders>
            <w:shd w:val="clear" w:color="auto" w:fill="auto"/>
            <w:vAlign w:val="bottom"/>
          </w:tcPr>
          <w:p w14:paraId="7F7B866B" w14:textId="77777777" w:rsidR="000E0FE8" w:rsidRPr="003B10E2" w:rsidRDefault="000E0FE8" w:rsidP="005D28E0">
            <w:pPr>
              <w:widowControl w:val="0"/>
              <w:spacing w:after="0" w:line="240" w:lineRule="auto"/>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1</w:t>
            </w:r>
          </w:p>
        </w:tc>
        <w:tc>
          <w:tcPr>
            <w:tcW w:w="1270" w:type="dxa"/>
            <w:tcBorders>
              <w:top w:val="double" w:sz="4" w:space="0" w:color="000000"/>
              <w:bottom w:val="single" w:sz="4" w:space="0" w:color="000000"/>
              <w:right w:val="single" w:sz="4" w:space="0" w:color="000000"/>
            </w:tcBorders>
            <w:shd w:val="clear" w:color="auto" w:fill="auto"/>
            <w:vAlign w:val="bottom"/>
          </w:tcPr>
          <w:p w14:paraId="40E0C0F7"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-0,31</w:t>
            </w:r>
          </w:p>
        </w:tc>
        <w:tc>
          <w:tcPr>
            <w:tcW w:w="786" w:type="dxa"/>
            <w:tcBorders>
              <w:top w:val="double" w:sz="4" w:space="0" w:color="000000"/>
              <w:bottom w:val="single" w:sz="4" w:space="0" w:color="000000"/>
              <w:right w:val="single" w:sz="4" w:space="0" w:color="000000"/>
            </w:tcBorders>
            <w:shd w:val="clear" w:color="auto" w:fill="auto"/>
            <w:vAlign w:val="bottom"/>
          </w:tcPr>
          <w:p w14:paraId="09579495"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-0,344</w:t>
            </w:r>
          </w:p>
        </w:tc>
        <w:tc>
          <w:tcPr>
            <w:tcW w:w="1248" w:type="dxa"/>
            <w:tcBorders>
              <w:top w:val="double" w:sz="4" w:space="0" w:color="000000"/>
              <w:bottom w:val="single" w:sz="4" w:space="0" w:color="000000"/>
              <w:right w:val="single" w:sz="4" w:space="0" w:color="000000"/>
            </w:tcBorders>
            <w:shd w:val="clear" w:color="auto" w:fill="auto"/>
            <w:vAlign w:val="bottom"/>
          </w:tcPr>
          <w:p w14:paraId="7FEBCB3A"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-0,362</w:t>
            </w:r>
          </w:p>
        </w:tc>
        <w:tc>
          <w:tcPr>
            <w:tcW w:w="1133" w:type="dxa"/>
            <w:tcBorders>
              <w:top w:val="double" w:sz="4" w:space="0" w:color="000000"/>
              <w:bottom w:val="single" w:sz="4" w:space="0" w:color="000000"/>
              <w:right w:val="single" w:sz="4" w:space="0" w:color="000000"/>
            </w:tcBorders>
            <w:shd w:val="clear" w:color="auto" w:fill="auto"/>
            <w:vAlign w:val="bottom"/>
          </w:tcPr>
          <w:p w14:paraId="13E06BA1"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-12,72</w:t>
            </w:r>
          </w:p>
        </w:tc>
        <w:tc>
          <w:tcPr>
            <w:tcW w:w="1021" w:type="dxa"/>
            <w:tcBorders>
              <w:top w:val="double" w:sz="4" w:space="0" w:color="000000"/>
              <w:bottom w:val="single" w:sz="4" w:space="0" w:color="000000"/>
              <w:right w:val="single" w:sz="4" w:space="0" w:color="000000"/>
            </w:tcBorders>
            <w:shd w:val="clear" w:color="auto" w:fill="auto"/>
            <w:vAlign w:val="bottom"/>
          </w:tcPr>
          <w:p w14:paraId="238DC732"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2,777</w:t>
            </w:r>
          </w:p>
        </w:tc>
        <w:tc>
          <w:tcPr>
            <w:tcW w:w="823" w:type="dxa"/>
            <w:tcBorders>
              <w:top w:val="double" w:sz="4" w:space="0" w:color="000000"/>
              <w:bottom w:val="single" w:sz="4" w:space="0" w:color="000000"/>
              <w:right w:val="single" w:sz="4" w:space="0" w:color="000000"/>
            </w:tcBorders>
            <w:shd w:val="clear" w:color="auto" w:fill="auto"/>
            <w:vAlign w:val="bottom"/>
          </w:tcPr>
          <w:p w14:paraId="111F9C7D"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-0,14</w:t>
            </w:r>
          </w:p>
        </w:tc>
        <w:tc>
          <w:tcPr>
            <w:tcW w:w="854" w:type="dxa"/>
            <w:tcBorders>
              <w:top w:val="double" w:sz="4" w:space="0" w:color="000000"/>
              <w:bottom w:val="single" w:sz="4" w:space="0" w:color="000000"/>
              <w:right w:val="single" w:sz="4" w:space="0" w:color="000000"/>
            </w:tcBorders>
            <w:shd w:val="clear" w:color="auto" w:fill="auto"/>
            <w:vAlign w:val="bottom"/>
          </w:tcPr>
          <w:p w14:paraId="04C31A4A"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4,702</w:t>
            </w:r>
          </w:p>
        </w:tc>
        <w:tc>
          <w:tcPr>
            <w:tcW w:w="1271" w:type="dxa"/>
            <w:tcBorders>
              <w:top w:val="double" w:sz="4" w:space="0" w:color="000000"/>
              <w:bottom w:val="single" w:sz="4" w:space="0" w:color="000000"/>
              <w:right w:val="single" w:sz="4" w:space="0" w:color="000000"/>
            </w:tcBorders>
            <w:shd w:val="clear" w:color="auto" w:fill="auto"/>
            <w:vAlign w:val="bottom"/>
          </w:tcPr>
          <w:p w14:paraId="4BD4492C"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-0,122</w:t>
            </w:r>
          </w:p>
        </w:tc>
      </w:tr>
      <w:tr w:rsidR="000E0FE8" w:rsidRPr="003B10E2" w14:paraId="19D4B1E7" w14:textId="77777777" w:rsidTr="005D28E0">
        <w:trPr>
          <w:trHeight w:val="299"/>
        </w:trPr>
        <w:tc>
          <w:tcPr>
            <w:tcW w:w="1058" w:type="dxa"/>
            <w:tcBorders>
              <w:left w:val="single" w:sz="4" w:space="0" w:color="000000"/>
              <w:bottom w:val="single" w:sz="4" w:space="0" w:color="000000"/>
              <w:right w:val="single" w:sz="4" w:space="0" w:color="000000"/>
            </w:tcBorders>
            <w:shd w:val="clear" w:color="auto" w:fill="auto"/>
            <w:vAlign w:val="bottom"/>
          </w:tcPr>
          <w:p w14:paraId="0DB4986A" w14:textId="77777777" w:rsidR="000E0FE8" w:rsidRPr="003B10E2" w:rsidRDefault="000E0FE8" w:rsidP="005D28E0">
            <w:pPr>
              <w:widowControl w:val="0"/>
              <w:spacing w:after="0" w:line="240" w:lineRule="auto"/>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2</w:t>
            </w:r>
          </w:p>
        </w:tc>
        <w:tc>
          <w:tcPr>
            <w:tcW w:w="1270" w:type="dxa"/>
            <w:tcBorders>
              <w:bottom w:val="single" w:sz="4" w:space="0" w:color="000000"/>
              <w:right w:val="single" w:sz="4" w:space="0" w:color="000000"/>
            </w:tcBorders>
            <w:shd w:val="clear" w:color="auto" w:fill="auto"/>
            <w:vAlign w:val="bottom"/>
          </w:tcPr>
          <w:p w14:paraId="6447DC11"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-0,048</w:t>
            </w:r>
          </w:p>
        </w:tc>
        <w:tc>
          <w:tcPr>
            <w:tcW w:w="786" w:type="dxa"/>
            <w:tcBorders>
              <w:bottom w:val="single" w:sz="4" w:space="0" w:color="000000"/>
              <w:right w:val="single" w:sz="4" w:space="0" w:color="000000"/>
            </w:tcBorders>
            <w:shd w:val="clear" w:color="auto" w:fill="auto"/>
            <w:vAlign w:val="bottom"/>
          </w:tcPr>
          <w:p w14:paraId="33D275E8"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-0,089</w:t>
            </w:r>
          </w:p>
        </w:tc>
        <w:tc>
          <w:tcPr>
            <w:tcW w:w="1248" w:type="dxa"/>
            <w:tcBorders>
              <w:bottom w:val="single" w:sz="4" w:space="0" w:color="000000"/>
              <w:right w:val="single" w:sz="4" w:space="0" w:color="000000"/>
            </w:tcBorders>
            <w:shd w:val="clear" w:color="auto" w:fill="auto"/>
            <w:vAlign w:val="bottom"/>
          </w:tcPr>
          <w:p w14:paraId="2C02172E"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-0,094</w:t>
            </w:r>
          </w:p>
        </w:tc>
        <w:tc>
          <w:tcPr>
            <w:tcW w:w="1133" w:type="dxa"/>
            <w:tcBorders>
              <w:bottom w:val="single" w:sz="4" w:space="0" w:color="000000"/>
              <w:right w:val="single" w:sz="4" w:space="0" w:color="000000"/>
            </w:tcBorders>
            <w:shd w:val="clear" w:color="auto" w:fill="auto"/>
            <w:vAlign w:val="bottom"/>
          </w:tcPr>
          <w:p w14:paraId="674007A4"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-9,52</w:t>
            </w:r>
          </w:p>
        </w:tc>
        <w:tc>
          <w:tcPr>
            <w:tcW w:w="1021" w:type="dxa"/>
            <w:tcBorders>
              <w:bottom w:val="single" w:sz="4" w:space="0" w:color="000000"/>
              <w:right w:val="single" w:sz="4" w:space="0" w:color="000000"/>
            </w:tcBorders>
            <w:shd w:val="clear" w:color="auto" w:fill="auto"/>
            <w:vAlign w:val="bottom"/>
          </w:tcPr>
          <w:p w14:paraId="1E7206CE"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2,549</w:t>
            </w:r>
          </w:p>
        </w:tc>
        <w:tc>
          <w:tcPr>
            <w:tcW w:w="823" w:type="dxa"/>
            <w:tcBorders>
              <w:bottom w:val="single" w:sz="4" w:space="0" w:color="000000"/>
              <w:right w:val="single" w:sz="4" w:space="0" w:color="000000"/>
            </w:tcBorders>
            <w:shd w:val="clear" w:color="auto" w:fill="auto"/>
            <w:vAlign w:val="bottom"/>
          </w:tcPr>
          <w:p w14:paraId="177BD9B7"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-0,08</w:t>
            </w:r>
          </w:p>
        </w:tc>
        <w:tc>
          <w:tcPr>
            <w:tcW w:w="854" w:type="dxa"/>
            <w:tcBorders>
              <w:bottom w:val="single" w:sz="4" w:space="0" w:color="000000"/>
              <w:right w:val="single" w:sz="4" w:space="0" w:color="000000"/>
            </w:tcBorders>
            <w:shd w:val="clear" w:color="auto" w:fill="auto"/>
            <w:vAlign w:val="bottom"/>
          </w:tcPr>
          <w:p w14:paraId="055C02E6"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3,968</w:t>
            </w:r>
          </w:p>
        </w:tc>
        <w:tc>
          <w:tcPr>
            <w:tcW w:w="1271" w:type="dxa"/>
            <w:tcBorders>
              <w:bottom w:val="single" w:sz="4" w:space="0" w:color="000000"/>
              <w:right w:val="single" w:sz="4" w:space="0" w:color="000000"/>
            </w:tcBorders>
            <w:shd w:val="clear" w:color="auto" w:fill="auto"/>
            <w:vAlign w:val="bottom"/>
          </w:tcPr>
          <w:p w14:paraId="35E7D49F"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-0,019</w:t>
            </w:r>
          </w:p>
        </w:tc>
      </w:tr>
      <w:tr w:rsidR="000E0FE8" w:rsidRPr="003B10E2" w14:paraId="71456F1E" w14:textId="77777777" w:rsidTr="005D28E0">
        <w:trPr>
          <w:trHeight w:val="299"/>
        </w:trPr>
        <w:tc>
          <w:tcPr>
            <w:tcW w:w="1058" w:type="dxa"/>
            <w:tcBorders>
              <w:left w:val="single" w:sz="4" w:space="0" w:color="000000"/>
              <w:bottom w:val="single" w:sz="4" w:space="0" w:color="000000"/>
              <w:right w:val="single" w:sz="4" w:space="0" w:color="000000"/>
            </w:tcBorders>
            <w:shd w:val="clear" w:color="auto" w:fill="auto"/>
            <w:vAlign w:val="bottom"/>
          </w:tcPr>
          <w:p w14:paraId="0FB9B21A" w14:textId="77777777" w:rsidR="000E0FE8" w:rsidRPr="003B10E2" w:rsidRDefault="000E0FE8" w:rsidP="005D28E0">
            <w:pPr>
              <w:widowControl w:val="0"/>
              <w:spacing w:after="0" w:line="240" w:lineRule="auto"/>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3</w:t>
            </w:r>
          </w:p>
        </w:tc>
        <w:tc>
          <w:tcPr>
            <w:tcW w:w="1270" w:type="dxa"/>
            <w:tcBorders>
              <w:bottom w:val="single" w:sz="4" w:space="0" w:color="000000"/>
              <w:right w:val="single" w:sz="4" w:space="0" w:color="000000"/>
            </w:tcBorders>
            <w:shd w:val="clear" w:color="auto" w:fill="auto"/>
            <w:vAlign w:val="bottom"/>
          </w:tcPr>
          <w:p w14:paraId="61F25859"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0,096</w:t>
            </w:r>
          </w:p>
        </w:tc>
        <w:tc>
          <w:tcPr>
            <w:tcW w:w="786" w:type="dxa"/>
            <w:tcBorders>
              <w:bottom w:val="single" w:sz="4" w:space="0" w:color="000000"/>
              <w:right w:val="single" w:sz="4" w:space="0" w:color="000000"/>
            </w:tcBorders>
            <w:shd w:val="clear" w:color="auto" w:fill="auto"/>
            <w:vAlign w:val="bottom"/>
          </w:tcPr>
          <w:p w14:paraId="2934446C"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0,056</w:t>
            </w:r>
          </w:p>
        </w:tc>
        <w:tc>
          <w:tcPr>
            <w:tcW w:w="1248" w:type="dxa"/>
            <w:tcBorders>
              <w:bottom w:val="single" w:sz="4" w:space="0" w:color="000000"/>
              <w:right w:val="single" w:sz="4" w:space="0" w:color="000000"/>
            </w:tcBorders>
            <w:shd w:val="clear" w:color="auto" w:fill="auto"/>
            <w:vAlign w:val="bottom"/>
          </w:tcPr>
          <w:p w14:paraId="5531A0E6"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0,074</w:t>
            </w:r>
          </w:p>
        </w:tc>
        <w:tc>
          <w:tcPr>
            <w:tcW w:w="1133" w:type="dxa"/>
            <w:tcBorders>
              <w:bottom w:val="single" w:sz="4" w:space="0" w:color="000000"/>
              <w:right w:val="single" w:sz="4" w:space="0" w:color="000000"/>
            </w:tcBorders>
            <w:shd w:val="clear" w:color="auto" w:fill="auto"/>
            <w:vAlign w:val="bottom"/>
          </w:tcPr>
          <w:p w14:paraId="6BF68433"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-8,73</w:t>
            </w:r>
          </w:p>
        </w:tc>
        <w:tc>
          <w:tcPr>
            <w:tcW w:w="1021" w:type="dxa"/>
            <w:tcBorders>
              <w:bottom w:val="single" w:sz="4" w:space="0" w:color="000000"/>
              <w:right w:val="single" w:sz="4" w:space="0" w:color="000000"/>
            </w:tcBorders>
            <w:shd w:val="clear" w:color="auto" w:fill="auto"/>
            <w:vAlign w:val="bottom"/>
          </w:tcPr>
          <w:p w14:paraId="6B3A80E6"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2,432</w:t>
            </w:r>
          </w:p>
        </w:tc>
        <w:tc>
          <w:tcPr>
            <w:tcW w:w="823" w:type="dxa"/>
            <w:tcBorders>
              <w:bottom w:val="single" w:sz="4" w:space="0" w:color="000000"/>
              <w:right w:val="single" w:sz="4" w:space="0" w:color="000000"/>
            </w:tcBorders>
            <w:shd w:val="clear" w:color="auto" w:fill="auto"/>
            <w:vAlign w:val="bottom"/>
          </w:tcPr>
          <w:p w14:paraId="3E6FF8CE"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-0,07</w:t>
            </w:r>
          </w:p>
        </w:tc>
        <w:tc>
          <w:tcPr>
            <w:tcW w:w="854" w:type="dxa"/>
            <w:tcBorders>
              <w:bottom w:val="single" w:sz="4" w:space="0" w:color="000000"/>
              <w:right w:val="single" w:sz="4" w:space="0" w:color="000000"/>
            </w:tcBorders>
            <w:shd w:val="clear" w:color="auto" w:fill="auto"/>
            <w:vAlign w:val="bottom"/>
          </w:tcPr>
          <w:p w14:paraId="68A8DD69"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4,201</w:t>
            </w:r>
          </w:p>
        </w:tc>
        <w:tc>
          <w:tcPr>
            <w:tcW w:w="1271" w:type="dxa"/>
            <w:tcBorders>
              <w:bottom w:val="single" w:sz="4" w:space="0" w:color="000000"/>
              <w:right w:val="single" w:sz="4" w:space="0" w:color="000000"/>
            </w:tcBorders>
            <w:shd w:val="clear" w:color="auto" w:fill="auto"/>
            <w:vAlign w:val="bottom"/>
          </w:tcPr>
          <w:p w14:paraId="3142F889"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0,039</w:t>
            </w:r>
          </w:p>
        </w:tc>
      </w:tr>
      <w:tr w:rsidR="000E0FE8" w:rsidRPr="003B10E2" w14:paraId="4122AEC2" w14:textId="77777777" w:rsidTr="005D28E0">
        <w:trPr>
          <w:trHeight w:val="299"/>
        </w:trPr>
        <w:tc>
          <w:tcPr>
            <w:tcW w:w="1058" w:type="dxa"/>
            <w:tcBorders>
              <w:left w:val="single" w:sz="4" w:space="0" w:color="000000"/>
              <w:bottom w:val="single" w:sz="4" w:space="0" w:color="000000"/>
              <w:right w:val="single" w:sz="4" w:space="0" w:color="000000"/>
            </w:tcBorders>
            <w:shd w:val="clear" w:color="auto" w:fill="auto"/>
            <w:vAlign w:val="bottom"/>
          </w:tcPr>
          <w:p w14:paraId="0FC4B974" w14:textId="77777777" w:rsidR="000E0FE8" w:rsidRPr="003B10E2" w:rsidRDefault="000E0FE8" w:rsidP="005D28E0">
            <w:pPr>
              <w:widowControl w:val="0"/>
              <w:spacing w:after="0" w:line="240" w:lineRule="auto"/>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4</w:t>
            </w:r>
          </w:p>
        </w:tc>
        <w:tc>
          <w:tcPr>
            <w:tcW w:w="1270" w:type="dxa"/>
            <w:tcBorders>
              <w:bottom w:val="single" w:sz="4" w:space="0" w:color="000000"/>
              <w:right w:val="single" w:sz="4" w:space="0" w:color="000000"/>
            </w:tcBorders>
            <w:shd w:val="clear" w:color="auto" w:fill="auto"/>
            <w:vAlign w:val="bottom"/>
          </w:tcPr>
          <w:p w14:paraId="090B4BD2"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0,167</w:t>
            </w:r>
          </w:p>
        </w:tc>
        <w:tc>
          <w:tcPr>
            <w:tcW w:w="786" w:type="dxa"/>
            <w:tcBorders>
              <w:bottom w:val="single" w:sz="4" w:space="0" w:color="000000"/>
              <w:right w:val="single" w:sz="4" w:space="0" w:color="000000"/>
            </w:tcBorders>
            <w:shd w:val="clear" w:color="auto" w:fill="auto"/>
            <w:vAlign w:val="bottom"/>
          </w:tcPr>
          <w:p w14:paraId="11685F01"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0,152</w:t>
            </w:r>
          </w:p>
        </w:tc>
        <w:tc>
          <w:tcPr>
            <w:tcW w:w="1248" w:type="dxa"/>
            <w:tcBorders>
              <w:bottom w:val="single" w:sz="4" w:space="0" w:color="000000"/>
              <w:right w:val="single" w:sz="4" w:space="0" w:color="000000"/>
            </w:tcBorders>
            <w:shd w:val="clear" w:color="auto" w:fill="auto"/>
            <w:vAlign w:val="bottom"/>
          </w:tcPr>
          <w:p w14:paraId="6C11672D"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0,114</w:t>
            </w:r>
          </w:p>
        </w:tc>
        <w:tc>
          <w:tcPr>
            <w:tcW w:w="1133" w:type="dxa"/>
            <w:tcBorders>
              <w:bottom w:val="single" w:sz="4" w:space="0" w:color="000000"/>
              <w:right w:val="single" w:sz="4" w:space="0" w:color="000000"/>
            </w:tcBorders>
            <w:shd w:val="clear" w:color="auto" w:fill="auto"/>
            <w:vAlign w:val="bottom"/>
          </w:tcPr>
          <w:p w14:paraId="72B023ED"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-10,19</w:t>
            </w:r>
          </w:p>
        </w:tc>
        <w:tc>
          <w:tcPr>
            <w:tcW w:w="1021" w:type="dxa"/>
            <w:tcBorders>
              <w:bottom w:val="single" w:sz="4" w:space="0" w:color="000000"/>
              <w:right w:val="single" w:sz="4" w:space="0" w:color="000000"/>
            </w:tcBorders>
            <w:shd w:val="clear" w:color="auto" w:fill="auto"/>
            <w:vAlign w:val="bottom"/>
          </w:tcPr>
          <w:p w14:paraId="6A5F4197"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2,526</w:t>
            </w:r>
          </w:p>
        </w:tc>
        <w:tc>
          <w:tcPr>
            <w:tcW w:w="823" w:type="dxa"/>
            <w:tcBorders>
              <w:bottom w:val="single" w:sz="4" w:space="0" w:color="000000"/>
              <w:right w:val="single" w:sz="4" w:space="0" w:color="000000"/>
            </w:tcBorders>
            <w:shd w:val="clear" w:color="auto" w:fill="auto"/>
            <w:vAlign w:val="bottom"/>
          </w:tcPr>
          <w:p w14:paraId="63643FDB"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-0,14</w:t>
            </w:r>
          </w:p>
        </w:tc>
        <w:tc>
          <w:tcPr>
            <w:tcW w:w="854" w:type="dxa"/>
            <w:tcBorders>
              <w:bottom w:val="single" w:sz="4" w:space="0" w:color="000000"/>
              <w:right w:val="single" w:sz="4" w:space="0" w:color="000000"/>
            </w:tcBorders>
            <w:shd w:val="clear" w:color="auto" w:fill="auto"/>
            <w:vAlign w:val="bottom"/>
          </w:tcPr>
          <w:p w14:paraId="17F29405"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5,285</w:t>
            </w:r>
          </w:p>
        </w:tc>
        <w:tc>
          <w:tcPr>
            <w:tcW w:w="1271" w:type="dxa"/>
            <w:tcBorders>
              <w:bottom w:val="single" w:sz="4" w:space="0" w:color="000000"/>
              <w:right w:val="single" w:sz="4" w:space="0" w:color="000000"/>
            </w:tcBorders>
            <w:shd w:val="clear" w:color="auto" w:fill="auto"/>
            <w:vAlign w:val="bottom"/>
          </w:tcPr>
          <w:p w14:paraId="50254707"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0,066</w:t>
            </w:r>
          </w:p>
        </w:tc>
      </w:tr>
      <w:tr w:rsidR="000E0FE8" w:rsidRPr="003B10E2" w14:paraId="0668E6D2" w14:textId="77777777" w:rsidTr="005D28E0">
        <w:trPr>
          <w:trHeight w:val="299"/>
        </w:trPr>
        <w:tc>
          <w:tcPr>
            <w:tcW w:w="1058" w:type="dxa"/>
            <w:tcBorders>
              <w:left w:val="single" w:sz="4" w:space="0" w:color="000000"/>
              <w:bottom w:val="single" w:sz="4" w:space="0" w:color="000000"/>
              <w:right w:val="single" w:sz="4" w:space="0" w:color="000000"/>
            </w:tcBorders>
            <w:shd w:val="clear" w:color="auto" w:fill="auto"/>
            <w:vAlign w:val="bottom"/>
          </w:tcPr>
          <w:p w14:paraId="6A9732CC" w14:textId="77777777" w:rsidR="000E0FE8" w:rsidRPr="003B10E2" w:rsidRDefault="000E0FE8" w:rsidP="005D28E0">
            <w:pPr>
              <w:widowControl w:val="0"/>
              <w:spacing w:after="0" w:line="240" w:lineRule="auto"/>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5</w:t>
            </w:r>
          </w:p>
        </w:tc>
        <w:tc>
          <w:tcPr>
            <w:tcW w:w="1270" w:type="dxa"/>
            <w:tcBorders>
              <w:bottom w:val="single" w:sz="4" w:space="0" w:color="000000"/>
              <w:right w:val="single" w:sz="4" w:space="0" w:color="000000"/>
            </w:tcBorders>
            <w:shd w:val="clear" w:color="auto" w:fill="auto"/>
            <w:vAlign w:val="bottom"/>
          </w:tcPr>
          <w:p w14:paraId="4584B2A5"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0,268</w:t>
            </w:r>
          </w:p>
        </w:tc>
        <w:tc>
          <w:tcPr>
            <w:tcW w:w="786" w:type="dxa"/>
            <w:tcBorders>
              <w:bottom w:val="single" w:sz="4" w:space="0" w:color="000000"/>
              <w:right w:val="single" w:sz="4" w:space="0" w:color="000000"/>
            </w:tcBorders>
            <w:shd w:val="clear" w:color="auto" w:fill="auto"/>
            <w:vAlign w:val="bottom"/>
          </w:tcPr>
          <w:p w14:paraId="0EC64B6C"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0,255</w:t>
            </w:r>
          </w:p>
        </w:tc>
        <w:tc>
          <w:tcPr>
            <w:tcW w:w="1248" w:type="dxa"/>
            <w:tcBorders>
              <w:bottom w:val="single" w:sz="4" w:space="0" w:color="000000"/>
              <w:right w:val="single" w:sz="4" w:space="0" w:color="000000"/>
            </w:tcBorders>
            <w:shd w:val="clear" w:color="auto" w:fill="auto"/>
            <w:vAlign w:val="bottom"/>
          </w:tcPr>
          <w:p w14:paraId="68481BCA"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0,193</w:t>
            </w:r>
          </w:p>
        </w:tc>
        <w:tc>
          <w:tcPr>
            <w:tcW w:w="1133" w:type="dxa"/>
            <w:tcBorders>
              <w:bottom w:val="single" w:sz="4" w:space="0" w:color="000000"/>
              <w:right w:val="single" w:sz="4" w:space="0" w:color="000000"/>
            </w:tcBorders>
            <w:shd w:val="clear" w:color="auto" w:fill="auto"/>
            <w:vAlign w:val="bottom"/>
          </w:tcPr>
          <w:p w14:paraId="315EFF02"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-9,59</w:t>
            </w:r>
          </w:p>
        </w:tc>
        <w:tc>
          <w:tcPr>
            <w:tcW w:w="1021" w:type="dxa"/>
            <w:tcBorders>
              <w:bottom w:val="single" w:sz="4" w:space="0" w:color="000000"/>
              <w:right w:val="single" w:sz="4" w:space="0" w:color="000000"/>
            </w:tcBorders>
            <w:shd w:val="clear" w:color="auto" w:fill="auto"/>
            <w:vAlign w:val="bottom"/>
          </w:tcPr>
          <w:p w14:paraId="2469B569"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2,533</w:t>
            </w:r>
          </w:p>
        </w:tc>
        <w:tc>
          <w:tcPr>
            <w:tcW w:w="823" w:type="dxa"/>
            <w:tcBorders>
              <w:bottom w:val="single" w:sz="4" w:space="0" w:color="000000"/>
              <w:right w:val="single" w:sz="4" w:space="0" w:color="000000"/>
            </w:tcBorders>
            <w:shd w:val="clear" w:color="auto" w:fill="auto"/>
            <w:vAlign w:val="bottom"/>
          </w:tcPr>
          <w:p w14:paraId="06615424"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-0,53</w:t>
            </w:r>
          </w:p>
        </w:tc>
        <w:tc>
          <w:tcPr>
            <w:tcW w:w="854" w:type="dxa"/>
            <w:tcBorders>
              <w:bottom w:val="single" w:sz="4" w:space="0" w:color="000000"/>
              <w:right w:val="single" w:sz="4" w:space="0" w:color="000000"/>
            </w:tcBorders>
            <w:shd w:val="clear" w:color="auto" w:fill="auto"/>
            <w:vAlign w:val="bottom"/>
          </w:tcPr>
          <w:p w14:paraId="5EE59822"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4,467</w:t>
            </w:r>
          </w:p>
        </w:tc>
        <w:tc>
          <w:tcPr>
            <w:tcW w:w="1271" w:type="dxa"/>
            <w:tcBorders>
              <w:bottom w:val="single" w:sz="4" w:space="0" w:color="000000"/>
              <w:right w:val="single" w:sz="4" w:space="0" w:color="000000"/>
            </w:tcBorders>
            <w:shd w:val="clear" w:color="auto" w:fill="auto"/>
            <w:vAlign w:val="bottom"/>
          </w:tcPr>
          <w:p w14:paraId="290A2CE4"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0,106</w:t>
            </w:r>
          </w:p>
        </w:tc>
      </w:tr>
      <w:tr w:rsidR="000E0FE8" w:rsidRPr="003B10E2" w14:paraId="5F83D23E" w14:textId="77777777" w:rsidTr="005D28E0">
        <w:trPr>
          <w:trHeight w:val="299"/>
        </w:trPr>
        <w:tc>
          <w:tcPr>
            <w:tcW w:w="1058" w:type="dxa"/>
            <w:tcBorders>
              <w:left w:val="single" w:sz="4" w:space="0" w:color="000000"/>
              <w:bottom w:val="single" w:sz="4" w:space="0" w:color="000000"/>
              <w:right w:val="single" w:sz="4" w:space="0" w:color="000000"/>
            </w:tcBorders>
            <w:shd w:val="clear" w:color="auto" w:fill="auto"/>
            <w:vAlign w:val="bottom"/>
          </w:tcPr>
          <w:p w14:paraId="016BBE6A" w14:textId="77777777" w:rsidR="000E0FE8" w:rsidRPr="003B10E2" w:rsidRDefault="000E0FE8" w:rsidP="005D28E0">
            <w:pPr>
              <w:widowControl w:val="0"/>
              <w:spacing w:after="0" w:line="240" w:lineRule="auto"/>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6</w:t>
            </w:r>
          </w:p>
        </w:tc>
        <w:tc>
          <w:tcPr>
            <w:tcW w:w="1270" w:type="dxa"/>
            <w:tcBorders>
              <w:bottom w:val="single" w:sz="4" w:space="0" w:color="000000"/>
              <w:right w:val="single" w:sz="4" w:space="0" w:color="000000"/>
            </w:tcBorders>
            <w:shd w:val="clear" w:color="auto" w:fill="auto"/>
            <w:vAlign w:val="bottom"/>
          </w:tcPr>
          <w:p w14:paraId="1D749DDC"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0,733</w:t>
            </w:r>
          </w:p>
        </w:tc>
        <w:tc>
          <w:tcPr>
            <w:tcW w:w="786" w:type="dxa"/>
            <w:tcBorders>
              <w:bottom w:val="single" w:sz="4" w:space="0" w:color="000000"/>
              <w:right w:val="single" w:sz="4" w:space="0" w:color="000000"/>
            </w:tcBorders>
            <w:shd w:val="clear" w:color="auto" w:fill="auto"/>
            <w:vAlign w:val="bottom"/>
          </w:tcPr>
          <w:p w14:paraId="1DD8C0FD"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0,735</w:t>
            </w:r>
          </w:p>
        </w:tc>
        <w:tc>
          <w:tcPr>
            <w:tcW w:w="1248" w:type="dxa"/>
            <w:tcBorders>
              <w:bottom w:val="single" w:sz="4" w:space="0" w:color="000000"/>
              <w:right w:val="single" w:sz="4" w:space="0" w:color="000000"/>
            </w:tcBorders>
            <w:shd w:val="clear" w:color="auto" w:fill="auto"/>
            <w:vAlign w:val="bottom"/>
          </w:tcPr>
          <w:p w14:paraId="1F707481"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0,657</w:t>
            </w:r>
          </w:p>
        </w:tc>
        <w:tc>
          <w:tcPr>
            <w:tcW w:w="1133" w:type="dxa"/>
            <w:tcBorders>
              <w:bottom w:val="single" w:sz="4" w:space="0" w:color="000000"/>
              <w:right w:val="single" w:sz="4" w:space="0" w:color="000000"/>
            </w:tcBorders>
            <w:shd w:val="clear" w:color="auto" w:fill="auto"/>
            <w:vAlign w:val="bottom"/>
          </w:tcPr>
          <w:p w14:paraId="383238BE"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-17,59</w:t>
            </w:r>
          </w:p>
        </w:tc>
        <w:tc>
          <w:tcPr>
            <w:tcW w:w="1021" w:type="dxa"/>
            <w:tcBorders>
              <w:bottom w:val="single" w:sz="4" w:space="0" w:color="000000"/>
              <w:right w:val="single" w:sz="4" w:space="0" w:color="000000"/>
            </w:tcBorders>
            <w:shd w:val="clear" w:color="auto" w:fill="auto"/>
            <w:vAlign w:val="bottom"/>
          </w:tcPr>
          <w:p w14:paraId="79B791DF"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3,32</w:t>
            </w:r>
          </w:p>
        </w:tc>
        <w:tc>
          <w:tcPr>
            <w:tcW w:w="823" w:type="dxa"/>
            <w:tcBorders>
              <w:bottom w:val="single" w:sz="4" w:space="0" w:color="000000"/>
              <w:right w:val="single" w:sz="4" w:space="0" w:color="000000"/>
            </w:tcBorders>
            <w:shd w:val="clear" w:color="auto" w:fill="auto"/>
            <w:vAlign w:val="bottom"/>
          </w:tcPr>
          <w:p w14:paraId="12640D0E"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-0,75</w:t>
            </w:r>
          </w:p>
        </w:tc>
        <w:tc>
          <w:tcPr>
            <w:tcW w:w="854" w:type="dxa"/>
            <w:tcBorders>
              <w:bottom w:val="single" w:sz="4" w:space="0" w:color="000000"/>
              <w:right w:val="single" w:sz="4" w:space="0" w:color="000000"/>
            </w:tcBorders>
            <w:shd w:val="clear" w:color="auto" w:fill="auto"/>
            <w:vAlign w:val="bottom"/>
          </w:tcPr>
          <w:p w14:paraId="23557B13"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5,912</w:t>
            </w:r>
          </w:p>
        </w:tc>
        <w:tc>
          <w:tcPr>
            <w:tcW w:w="1271" w:type="dxa"/>
            <w:tcBorders>
              <w:bottom w:val="single" w:sz="4" w:space="0" w:color="000000"/>
              <w:right w:val="single" w:sz="4" w:space="0" w:color="000000"/>
            </w:tcBorders>
            <w:shd w:val="clear" w:color="auto" w:fill="auto"/>
            <w:vAlign w:val="bottom"/>
          </w:tcPr>
          <w:p w14:paraId="215F4918"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0,221</w:t>
            </w:r>
          </w:p>
        </w:tc>
      </w:tr>
      <w:tr w:rsidR="000E0FE8" w:rsidRPr="003B10E2" w14:paraId="4511BCA2" w14:textId="77777777" w:rsidTr="005D28E0">
        <w:trPr>
          <w:trHeight w:val="299"/>
        </w:trPr>
        <w:tc>
          <w:tcPr>
            <w:tcW w:w="1058" w:type="dxa"/>
            <w:tcBorders>
              <w:left w:val="single" w:sz="4" w:space="0" w:color="000000"/>
              <w:bottom w:val="single" w:sz="4" w:space="0" w:color="000000"/>
              <w:right w:val="single" w:sz="4" w:space="0" w:color="000000"/>
            </w:tcBorders>
            <w:shd w:val="clear" w:color="auto" w:fill="auto"/>
            <w:vAlign w:val="bottom"/>
          </w:tcPr>
          <w:p w14:paraId="5F257B06" w14:textId="77777777" w:rsidR="000E0FE8" w:rsidRPr="003B10E2" w:rsidRDefault="000E0FE8" w:rsidP="005D28E0">
            <w:pPr>
              <w:widowControl w:val="0"/>
              <w:spacing w:after="0" w:line="240" w:lineRule="auto"/>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Средняя</w:t>
            </w:r>
          </w:p>
        </w:tc>
        <w:tc>
          <w:tcPr>
            <w:tcW w:w="1270" w:type="dxa"/>
            <w:tcBorders>
              <w:bottom w:val="single" w:sz="4" w:space="0" w:color="000000"/>
              <w:right w:val="single" w:sz="4" w:space="0" w:color="000000"/>
            </w:tcBorders>
            <w:shd w:val="clear" w:color="auto" w:fill="auto"/>
            <w:vAlign w:val="bottom"/>
          </w:tcPr>
          <w:p w14:paraId="3BED819A"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0,151</w:t>
            </w:r>
          </w:p>
        </w:tc>
        <w:tc>
          <w:tcPr>
            <w:tcW w:w="786" w:type="dxa"/>
            <w:tcBorders>
              <w:bottom w:val="single" w:sz="4" w:space="0" w:color="000000"/>
              <w:right w:val="single" w:sz="4" w:space="0" w:color="000000"/>
            </w:tcBorders>
            <w:shd w:val="clear" w:color="auto" w:fill="auto"/>
            <w:vAlign w:val="bottom"/>
          </w:tcPr>
          <w:p w14:paraId="2191C46B"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0,137</w:t>
            </w:r>
          </w:p>
        </w:tc>
        <w:tc>
          <w:tcPr>
            <w:tcW w:w="1248" w:type="dxa"/>
            <w:tcBorders>
              <w:bottom w:val="single" w:sz="4" w:space="0" w:color="000000"/>
              <w:right w:val="single" w:sz="4" w:space="0" w:color="000000"/>
            </w:tcBorders>
            <w:shd w:val="clear" w:color="auto" w:fill="auto"/>
            <w:vAlign w:val="bottom"/>
          </w:tcPr>
          <w:p w14:paraId="7028FDAE"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0,097</w:t>
            </w:r>
          </w:p>
        </w:tc>
        <w:tc>
          <w:tcPr>
            <w:tcW w:w="1133" w:type="dxa"/>
            <w:tcBorders>
              <w:bottom w:val="single" w:sz="4" w:space="0" w:color="000000"/>
              <w:right w:val="single" w:sz="4" w:space="0" w:color="000000"/>
            </w:tcBorders>
            <w:shd w:val="clear" w:color="auto" w:fill="auto"/>
            <w:vAlign w:val="bottom"/>
          </w:tcPr>
          <w:p w14:paraId="6F9900FB"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-8,26</w:t>
            </w:r>
          </w:p>
        </w:tc>
        <w:tc>
          <w:tcPr>
            <w:tcW w:w="1021" w:type="dxa"/>
            <w:tcBorders>
              <w:bottom w:val="single" w:sz="4" w:space="0" w:color="000000"/>
              <w:right w:val="single" w:sz="4" w:space="0" w:color="000000"/>
            </w:tcBorders>
            <w:shd w:val="clear" w:color="auto" w:fill="auto"/>
            <w:vAlign w:val="bottom"/>
          </w:tcPr>
          <w:p w14:paraId="5BC7984A"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2,307</w:t>
            </w:r>
          </w:p>
        </w:tc>
        <w:tc>
          <w:tcPr>
            <w:tcW w:w="823" w:type="dxa"/>
            <w:tcBorders>
              <w:bottom w:val="single" w:sz="4" w:space="0" w:color="000000"/>
              <w:right w:val="single" w:sz="4" w:space="0" w:color="000000"/>
            </w:tcBorders>
            <w:shd w:val="clear" w:color="auto" w:fill="auto"/>
            <w:vAlign w:val="bottom"/>
          </w:tcPr>
          <w:p w14:paraId="132A3982"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-0,32</w:t>
            </w:r>
          </w:p>
        </w:tc>
        <w:tc>
          <w:tcPr>
            <w:tcW w:w="854" w:type="dxa"/>
            <w:tcBorders>
              <w:bottom w:val="single" w:sz="4" w:space="0" w:color="000000"/>
              <w:right w:val="single" w:sz="4" w:space="0" w:color="000000"/>
            </w:tcBorders>
            <w:shd w:val="clear" w:color="auto" w:fill="auto"/>
            <w:vAlign w:val="bottom"/>
          </w:tcPr>
          <w:p w14:paraId="55ECF5E9"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3,959</w:t>
            </w:r>
          </w:p>
        </w:tc>
        <w:tc>
          <w:tcPr>
            <w:tcW w:w="1271" w:type="dxa"/>
            <w:tcBorders>
              <w:bottom w:val="single" w:sz="4" w:space="0" w:color="000000"/>
              <w:right w:val="single" w:sz="4" w:space="0" w:color="000000"/>
            </w:tcBorders>
            <w:shd w:val="clear" w:color="auto" w:fill="auto"/>
            <w:vAlign w:val="bottom"/>
          </w:tcPr>
          <w:p w14:paraId="7EA2C2A2"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0,065</w:t>
            </w:r>
          </w:p>
        </w:tc>
      </w:tr>
      <w:tr w:rsidR="000E0FE8" w:rsidRPr="003B10E2" w14:paraId="19882A63" w14:textId="77777777" w:rsidTr="005D28E0">
        <w:trPr>
          <w:trHeight w:val="911"/>
        </w:trPr>
        <w:tc>
          <w:tcPr>
            <w:tcW w:w="1058" w:type="dxa"/>
            <w:tcBorders>
              <w:left w:val="single" w:sz="4" w:space="0" w:color="000000"/>
              <w:bottom w:val="single" w:sz="4" w:space="0" w:color="000000"/>
              <w:right w:val="single" w:sz="4" w:space="0" w:color="000000"/>
            </w:tcBorders>
            <w:shd w:val="clear" w:color="auto" w:fill="auto"/>
            <w:vAlign w:val="bottom"/>
          </w:tcPr>
          <w:p w14:paraId="547E6F63" w14:textId="77777777" w:rsidR="000E0FE8" w:rsidRPr="003B10E2" w:rsidRDefault="000E0FE8" w:rsidP="005D28E0">
            <w:pPr>
              <w:widowControl w:val="0"/>
              <w:spacing w:after="0" w:line="240" w:lineRule="auto"/>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Разность между группой 1 и 6</w:t>
            </w:r>
          </w:p>
        </w:tc>
        <w:tc>
          <w:tcPr>
            <w:tcW w:w="1270" w:type="dxa"/>
            <w:tcBorders>
              <w:bottom w:val="single" w:sz="4" w:space="0" w:color="000000"/>
              <w:right w:val="single" w:sz="4" w:space="0" w:color="000000"/>
            </w:tcBorders>
            <w:shd w:val="clear" w:color="auto" w:fill="auto"/>
            <w:vAlign w:val="bottom"/>
          </w:tcPr>
          <w:p w14:paraId="11840F52"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1,043</w:t>
            </w:r>
          </w:p>
        </w:tc>
        <w:tc>
          <w:tcPr>
            <w:tcW w:w="786" w:type="dxa"/>
            <w:tcBorders>
              <w:bottom w:val="single" w:sz="4" w:space="0" w:color="000000"/>
              <w:right w:val="single" w:sz="4" w:space="0" w:color="000000"/>
            </w:tcBorders>
            <w:shd w:val="clear" w:color="auto" w:fill="auto"/>
            <w:vAlign w:val="bottom"/>
          </w:tcPr>
          <w:p w14:paraId="124C74EA"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0,997</w:t>
            </w:r>
          </w:p>
        </w:tc>
        <w:tc>
          <w:tcPr>
            <w:tcW w:w="1248" w:type="dxa"/>
            <w:tcBorders>
              <w:bottom w:val="single" w:sz="4" w:space="0" w:color="000000"/>
              <w:right w:val="single" w:sz="4" w:space="0" w:color="000000"/>
            </w:tcBorders>
            <w:shd w:val="clear" w:color="auto" w:fill="auto"/>
            <w:vAlign w:val="bottom"/>
          </w:tcPr>
          <w:p w14:paraId="1A2DEA5C"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1,019</w:t>
            </w:r>
          </w:p>
        </w:tc>
        <w:tc>
          <w:tcPr>
            <w:tcW w:w="1133" w:type="dxa"/>
            <w:tcBorders>
              <w:bottom w:val="single" w:sz="4" w:space="0" w:color="000000"/>
              <w:right w:val="single" w:sz="4" w:space="0" w:color="000000"/>
            </w:tcBorders>
            <w:shd w:val="clear" w:color="auto" w:fill="auto"/>
            <w:vAlign w:val="bottom"/>
          </w:tcPr>
          <w:p w14:paraId="6E848B7C"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-12,55</w:t>
            </w:r>
          </w:p>
        </w:tc>
        <w:tc>
          <w:tcPr>
            <w:tcW w:w="1021" w:type="dxa"/>
            <w:tcBorders>
              <w:bottom w:val="single" w:sz="4" w:space="0" w:color="000000"/>
              <w:right w:val="single" w:sz="4" w:space="0" w:color="000000"/>
            </w:tcBorders>
            <w:shd w:val="clear" w:color="auto" w:fill="auto"/>
            <w:vAlign w:val="bottom"/>
          </w:tcPr>
          <w:p w14:paraId="6DE7F97F"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3,287</w:t>
            </w:r>
          </w:p>
        </w:tc>
        <w:tc>
          <w:tcPr>
            <w:tcW w:w="823" w:type="dxa"/>
            <w:tcBorders>
              <w:bottom w:val="single" w:sz="4" w:space="0" w:color="000000"/>
              <w:right w:val="single" w:sz="4" w:space="0" w:color="000000"/>
            </w:tcBorders>
            <w:shd w:val="clear" w:color="auto" w:fill="auto"/>
            <w:vAlign w:val="bottom"/>
          </w:tcPr>
          <w:p w14:paraId="775B7B3D"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-0,68</w:t>
            </w:r>
          </w:p>
        </w:tc>
        <w:tc>
          <w:tcPr>
            <w:tcW w:w="854" w:type="dxa"/>
            <w:tcBorders>
              <w:bottom w:val="single" w:sz="4" w:space="0" w:color="000000"/>
              <w:right w:val="single" w:sz="4" w:space="0" w:color="000000"/>
            </w:tcBorders>
            <w:shd w:val="clear" w:color="auto" w:fill="auto"/>
            <w:vAlign w:val="bottom"/>
          </w:tcPr>
          <w:p w14:paraId="0B93C7FA"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5,259</w:t>
            </w:r>
          </w:p>
        </w:tc>
        <w:tc>
          <w:tcPr>
            <w:tcW w:w="1271" w:type="dxa"/>
            <w:tcBorders>
              <w:bottom w:val="single" w:sz="4" w:space="0" w:color="000000"/>
              <w:right w:val="single" w:sz="4" w:space="0" w:color="000000"/>
            </w:tcBorders>
            <w:shd w:val="clear" w:color="auto" w:fill="auto"/>
            <w:vAlign w:val="bottom"/>
          </w:tcPr>
          <w:p w14:paraId="3F6B7C31" w14:textId="77777777"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0,317</w:t>
            </w:r>
          </w:p>
        </w:tc>
      </w:tr>
    </w:tbl>
    <w:p w14:paraId="17CECF7D" w14:textId="77777777" w:rsidR="000E0FE8" w:rsidRPr="003B10E2" w:rsidRDefault="000E0FE8" w:rsidP="000E0FE8">
      <w:pPr>
        <w:spacing w:after="0" w:line="360" w:lineRule="auto"/>
      </w:pPr>
      <w:r w:rsidRPr="003B10E2">
        <w:rPr>
          <w:rFonts w:ascii="Times New Roman" w:hAnsi="Times New Roman"/>
          <w:color w:val="000000"/>
          <w:sz w:val="24"/>
          <w:szCs w:val="24"/>
        </w:rPr>
        <w:t xml:space="preserve">Источник: </w:t>
      </w:r>
      <w:r w:rsidRPr="003B10E2">
        <w:rPr>
          <w:rFonts w:ascii="Times New Roman" w:hAnsi="Times New Roman"/>
          <w:color w:val="000000"/>
          <w:sz w:val="24"/>
          <w:szCs w:val="24"/>
          <w:lang w:val="en-US"/>
        </w:rPr>
        <w:t>Thomson</w:t>
      </w:r>
      <w:r w:rsidRPr="003B10E2">
        <w:rPr>
          <w:rFonts w:ascii="Times New Roman" w:hAnsi="Times New Roman"/>
          <w:color w:val="000000"/>
          <w:sz w:val="24"/>
          <w:szCs w:val="24"/>
        </w:rPr>
        <w:t xml:space="preserve"> </w:t>
      </w:r>
      <w:r w:rsidRPr="003B10E2">
        <w:rPr>
          <w:rFonts w:ascii="Times New Roman" w:hAnsi="Times New Roman"/>
          <w:color w:val="000000"/>
          <w:sz w:val="24"/>
          <w:szCs w:val="24"/>
          <w:lang w:val="en-US"/>
        </w:rPr>
        <w:t>Reuters</w:t>
      </w:r>
      <w:r w:rsidRPr="003B10E2">
        <w:rPr>
          <w:rFonts w:ascii="Times New Roman" w:hAnsi="Times New Roman"/>
          <w:color w:val="000000"/>
          <w:sz w:val="24"/>
          <w:szCs w:val="24"/>
        </w:rPr>
        <w:t>.</w:t>
      </w:r>
    </w:p>
    <w:p w14:paraId="73FAB8BC" w14:textId="77777777" w:rsidR="000E0FE8" w:rsidRPr="003B10E2" w:rsidRDefault="000E0FE8" w:rsidP="000E0FE8">
      <w:pPr>
        <w:spacing w:after="0" w:line="360" w:lineRule="auto"/>
        <w:jc w:val="both"/>
        <w:rPr>
          <w:rFonts w:ascii="Times New Roman" w:hAnsi="Times New Roman"/>
          <w:color w:val="000000"/>
          <w:sz w:val="28"/>
          <w:szCs w:val="28"/>
        </w:rPr>
      </w:pPr>
    </w:p>
    <w:p w14:paraId="748E0BB0"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Далее основное внимание уделяется роли совокупной ликвидности рынка в объяснении временных колебаний валютного импульса. Хотя в анализе основное внимание уделяется роли совокупной ликвидности, важно рассмотреть другие аспекты состояния рынка.</w:t>
      </w:r>
    </w:p>
    <w:p w14:paraId="086367D6" w14:textId="77777777" w:rsidR="000E0FE8" w:rsidRPr="003B10E2" w:rsidRDefault="000E0FE8" w:rsidP="000E0FE8">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Показатель волатильности рассчитывается как стандартное отклонение взвешенного по стоимости индекса рынка. Сопоставляются временные интервалы для всех трех переменных состояния рынка. Некоторые аномалии на финансовых рынках, как правило, ослабевают в течение следующего десятилетия. Выводы также указывают на то, что доходность по двум валютным стратегиям положительно коррелирует в период повышения ликвидности и отражает увеличение доходности относительно предыдущего периода. Когда рыночная ликвидность низка или существенно колеблется, трейдеры в большей степени подвержены риску ликвидности, чем во время ликвидного и стабильного состояния рынка.</w:t>
      </w:r>
    </w:p>
    <w:p w14:paraId="68932AD2"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Данные о высокой доходности валютных аномалий за следующие месяцы высокой степени неликвидности рынка акций вытекают из наблюдаемых структурных изменений, снижения роли риска ликвидности и изменений в диверсификационных свойствах валютных стратегий. Недостаточная ликвидность действительно может быть </w:t>
      </w:r>
      <w:r w:rsidRPr="003B10E2">
        <w:rPr>
          <w:rFonts w:ascii="Times New Roman" w:hAnsi="Times New Roman"/>
          <w:color w:val="000000"/>
          <w:sz w:val="28"/>
          <w:szCs w:val="28"/>
          <w:lang w:val="en-US"/>
        </w:rPr>
        <w:t>c</w:t>
      </w:r>
      <w:r w:rsidRPr="003B10E2">
        <w:rPr>
          <w:rFonts w:ascii="Times New Roman" w:hAnsi="Times New Roman"/>
          <w:color w:val="000000"/>
          <w:sz w:val="28"/>
          <w:szCs w:val="28"/>
        </w:rPr>
        <w:t>коррелирована между рынками разных стран [165].</w:t>
      </w:r>
    </w:p>
    <w:p w14:paraId="70DEAF53"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Стратегия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xml:space="preserve"> является инвестиционной стратегией, которая включает заимствования в валюте с низкой процентной ставкой и инвестиции в валюты с высокой процентной ставкой. Цены на сырьевые товары, однако, являются источником финансовой информации, которая может быть полезной. Валюты стран-производителей сырья, таких как Австралия и Канада, имеют корреляцию с ценами на сырье. Риск фондового рынка не связан с формирующимися валютными портфелями [166].</w:t>
      </w:r>
    </w:p>
    <w:p w14:paraId="29F8F8B7"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Существует риск стратегии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xml:space="preserve">, который связан с ценами на сырьевые товары. Этот ценовой риск на сырьевых рынках связан с валютами развивающихся стран. Факторы риска для валют развитых стран отличаются от факторов риска для валют развивающихся стран. Денежные вливания в хедж-фонды связаны с доходностью стратегии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xml:space="preserve"> в развитых странах. Риски на фондовых и товарных рынках могут быть несколько сегментированы. Цены на сельскохозяйственные товары тесно связаны с фондовыми рынками развивающихся стран, а цены на металлы в основном влияют развитые экономики [136]. Эта разнородность вызвана большей ликвидностью валют развитых стран, которые рассматриваются как инвестиционный класс активов.</w:t>
      </w:r>
    </w:p>
    <w:p w14:paraId="4F6A5E2B"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Цены на экспорт и импорт товаров связаны с процентными ставками в</w:t>
      </w:r>
    </w:p>
    <w:p w14:paraId="3EAB81B8" w14:textId="77777777" w:rsidR="000E0FE8" w:rsidRPr="003B10E2" w:rsidRDefault="000E0FE8" w:rsidP="000E0FE8">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развитых странах. Более того, экспортерами сырьевых товаров являются несколько развивающихся стран с высокой процентной ставкой. Таким образом, цены на сырьевые товары могут повлиять на доходность торговли валютами [236]. Влияние курса японской иены и американского доллара оказывает влияние на доходность фондового рынка. Кроме этого, есть дополнительные эффекты:</w:t>
      </w:r>
    </w:p>
    <w:p w14:paraId="549C5179"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1) позитивные взаимосвязи между доходностью торговли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xml:space="preserve"> и показателями фондового рынка стран, соответствующих целевым валютам инвестирования (Австралия, Новая Зеландия и Китай); </w:t>
      </w:r>
    </w:p>
    <w:p w14:paraId="0BEE82CD"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2) отрицательная взаимосвязь между курсом американского доллара и динамикой фондового рынка США, в то время как отношения между курсом иены и котировками японских акций позитивные. </w:t>
      </w:r>
    </w:p>
    <w:p w14:paraId="581C9EE7"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Эффективно инвесторы получают прибыль не только от дифференциала процентных ставок, но и от повышения курса национальной валюты в течение инвестиционного горизонта. Например, за период с 2003 года по 2007 год, когда валютные рынки были относительно стабильными, наблюдались высокие объемы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xml:space="preserve"> для австралийского и новозеландского доллара против японской иены, что дополнительно увеличило доходы стратегии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xml:space="preserve">. Во времена финансовых потрясений, таких как глобальный кризис 2008 года, инвесторы понесли огромные потери, так как был ущерб от неблагоприятных колебаний обменного курса и сокращения разницы процентных ставок. Таким образом, эффективность торговли во многом зависит от волатильности финансовых рынков и настроения инвесторов к риску. Возможное объяснение этого разворота — аппетит инвесторов к риску. Инвестиционная валюта оценивается неопределенно по отношению к своей валюте финансирования вследствие дисбаланса между спросом и предложением. Как правило, инвесторы, которые занимают деньги под низкий процент, инвестирует эти средства в высокодоходные активы, такие как другие валюты или фондовые рынки [270]. </w:t>
      </w:r>
    </w:p>
    <w:p w14:paraId="5D08F91B"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Во время и после «потерянного десятилетия» в Японии финансовые рынки страны поддерживались благодаря массовым количественным и качественным смягчениям, которые создали неинтересную среду для внутреннего инвестирования и способствовали внешним операциям. Аналогичным образом глобальный финансовый кризис 2007 – 2008 годов также заставил США смягчить процентную политику для того, чтобы стимулировать рост и восстановить экономику. </w:t>
      </w:r>
    </w:p>
    <w:p w14:paraId="3C495DF2"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Когда Федеральная резервная система (ФРС) снизила процентные ставки до нуля в 2008 году, доллар США стал рассматриваться как оптимальный вариант для заимствования, особенно в посткризисный период. С другой стороны, австралийский и новозеландский рынки характеризовались высокими процентными средами с доходностью по 10-летним государственным облигациям приблизительно 7% до кризиса. </w:t>
      </w:r>
    </w:p>
    <w:p w14:paraId="65A5DE49"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Для каждой валютной пары или каждой торговой стратегии существует два соответствующих рынка акций, которые использовались в качестве зависимых переменных в уравнениях регрессии [120]. Как показатель рыночной волатильности индекс </w:t>
      </w:r>
      <w:r w:rsidRPr="003B10E2">
        <w:rPr>
          <w:rFonts w:ascii="Times New Roman" w:hAnsi="Times New Roman"/>
          <w:color w:val="000000"/>
          <w:sz w:val="28"/>
          <w:szCs w:val="28"/>
          <w:lang w:val="en-US"/>
        </w:rPr>
        <w:t>VIX</w:t>
      </w:r>
      <w:r w:rsidRPr="003B10E2">
        <w:rPr>
          <w:rFonts w:ascii="Times New Roman" w:hAnsi="Times New Roman"/>
          <w:color w:val="000000"/>
          <w:sz w:val="28"/>
          <w:szCs w:val="28"/>
        </w:rPr>
        <w:t xml:space="preserve"> является важным фактором, который влияет на доходность.</w:t>
      </w:r>
    </w:p>
    <w:p w14:paraId="274D7A67"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После периода тестирования действительности гипотезы о паритете процентных ставок фокус исследований сместился к объяснению доходности путем поиска отклонений. Одним из последствий введения нулевой ставки и агрессивного ослабления денежно-кредитной политики в Японии стало превращение японской иены (</w:t>
      </w:r>
      <w:r w:rsidRPr="003B10E2">
        <w:rPr>
          <w:rFonts w:ascii="Times New Roman" w:hAnsi="Times New Roman"/>
          <w:color w:val="000000"/>
          <w:sz w:val="28"/>
          <w:szCs w:val="28"/>
          <w:lang w:val="en-US"/>
        </w:rPr>
        <w:t>JPY</w:t>
      </w:r>
      <w:r w:rsidRPr="003B10E2">
        <w:rPr>
          <w:rFonts w:ascii="Times New Roman" w:hAnsi="Times New Roman"/>
          <w:color w:val="000000"/>
          <w:sz w:val="28"/>
          <w:szCs w:val="28"/>
        </w:rPr>
        <w:t xml:space="preserve">) в международную валюту фондирования. Более высокая прибыль от торговли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xml:space="preserve"> привела к повышению эффективности работы фондовых рынков, что объясняется потоками капитала от валюты финансирования до финансовых рынков страны инвестирования. Переток волатильности был исследован с помощью моделей </w:t>
      </w:r>
      <w:r w:rsidRPr="003B10E2">
        <w:rPr>
          <w:rFonts w:ascii="Times New Roman" w:hAnsi="Times New Roman"/>
          <w:color w:val="000000"/>
          <w:sz w:val="28"/>
          <w:szCs w:val="28"/>
          <w:lang w:val="en-US"/>
        </w:rPr>
        <w:t>GARCH</w:t>
      </w:r>
      <w:r w:rsidRPr="003B10E2">
        <w:rPr>
          <w:rFonts w:ascii="Times New Roman" w:hAnsi="Times New Roman"/>
          <w:color w:val="000000"/>
          <w:sz w:val="28"/>
          <w:szCs w:val="28"/>
        </w:rPr>
        <w:t>. Переток вложений из акций в валюту наблюдается во время финансового кризиса, обратное движение наблюдается в посткризисный период.</w:t>
      </w:r>
    </w:p>
    <w:p w14:paraId="625D79C3"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С января 1994 года по март 2021 года обнаружены более высокие темпы изменения волатильности</w:t>
      </w:r>
      <w:r w:rsidR="00D32EE3" w:rsidRPr="003B10E2">
        <w:rPr>
          <w:rFonts w:ascii="Times New Roman" w:hAnsi="Times New Roman"/>
          <w:color w:val="000000"/>
          <w:sz w:val="28"/>
          <w:szCs w:val="28"/>
        </w:rPr>
        <w:t xml:space="preserve">. </w:t>
      </w:r>
      <w:r w:rsidRPr="003B10E2">
        <w:rPr>
          <w:rFonts w:ascii="Times New Roman" w:hAnsi="Times New Roman"/>
          <w:color w:val="000000"/>
          <w:sz w:val="28"/>
          <w:szCs w:val="28"/>
        </w:rPr>
        <w:t xml:space="preserve">Более высокая прибыль от торговли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xml:space="preserve"> привела к существенному улучшению доходности на фондовом рынке Австралии [168]. Таким образом, можно констатировать, что существует значительная положительная связь между прибыльностью стратегии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xml:space="preserve"> и доходностью акций в соответствующих целевых странах. По мере роста спроса на инвестиционную валюту его стоимость акций увеличивается, так как стоимость акций зависит от будущих ожидаемых денежных потоков компании, номинированных в соответствующей валюте. </w:t>
      </w:r>
    </w:p>
    <w:p w14:paraId="37151E75"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Самые распространенные стратегии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xml:space="preserve"> в период с 2009 года по 2014 год сформированы на базе двух валют финансирования (японской иены и доллара США) и трех инвестиционных валют (австралийского доллара, новозеландского доллара и китайского юаня.) После 2014 года доллар США перестает быть валютой фондирования, уступая место евро. Такой механизм способствует выводу капитала из низкодоходной среды в высокодоходную среду, что повышает ликвидность фондового рынка страны назначения и приводит к инфляции [248]. </w:t>
      </w:r>
    </w:p>
    <w:p w14:paraId="403E4891"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данном исследовании выяснилось, что есть позитивная значительная взаимосвязь между динамикой курса иены и показателями японского фондового рынка. Она противоречит традиционной теории, которая ожидает отрицательных взаимоотношений между двумя рынками из-за оттока капитала, который произошел в Японии [278]. Таким образом, влияние основанных на иене торговых стратегий на японский фондовый рынок является нетрадиционным. Также стало заметно, что взаимоотношения между динамикой доллара США и индекса S&amp;P 500 крайне неопределенные. С 2014 года стал заметен переход на евро в качестве валюты финансирования для осуществления торговли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xml:space="preserve"> на фоне того, как Европейский центральный банк (ЕЦБ) не меняет объем стимулов для ускорения экономического роста. </w:t>
      </w:r>
    </w:p>
    <w:p w14:paraId="3072C941"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Существуют некоторые доказательства, подтверждающие использование евро в качестве валюты финансирования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xml:space="preserve">, например, нерациональное поведение валюты во время греческого потрясения в середине 2015 года. Когда греческие новости были хорошими, аппетит к риску увеличивался и побуждал инвесторов занимать евро для финансирования операций за рубежом. </w:t>
      </w:r>
    </w:p>
    <w:p w14:paraId="3E9F8FA4" w14:textId="77777777" w:rsidR="000E0FE8" w:rsidRPr="003B10E2" w:rsidRDefault="000E0FE8" w:rsidP="00B13660">
      <w:pPr>
        <w:spacing w:after="0" w:line="360" w:lineRule="auto"/>
        <w:ind w:firstLine="851"/>
        <w:jc w:val="both"/>
      </w:pPr>
      <w:r w:rsidRPr="003B10E2">
        <w:rPr>
          <w:rFonts w:ascii="Times New Roman" w:hAnsi="Times New Roman"/>
          <w:color w:val="000000"/>
          <w:sz w:val="28"/>
          <w:szCs w:val="28"/>
        </w:rPr>
        <w:t xml:space="preserve">Однако, когда аппетит к риску угас из-за высокой волатильности, деньги вернулись назад, помогая росту евро. Агрессивные меры денежно-кредитной политики, проводимой ЕЦБ, внесли определенные эффекты на глобальный фондовый рынок. На фоне политики низких процентных ставок и низкой инфляции в России происходит трансформация инвестиционных стратегий. В 2020 году возникли существенные сомнения в прогнозировании темпов глобального экономического роста в среднесрочной и долгосрочной перспективах. Стратегия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xml:space="preserve"> эффективная в периоды роста глобальной экономики, сходит на нет.</w:t>
      </w:r>
    </w:p>
    <w:p w14:paraId="0A5655EE"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этом разделе приведены эмпирические данные прогнозирования волатильности по отношению к существующим асимметриям в динамике доходности и волатильности финансовых активов. </w:t>
      </w:r>
    </w:p>
    <w:p w14:paraId="2D2B4CA6" w14:textId="77777777" w:rsidR="000E0FE8" w:rsidRPr="003B10E2" w:rsidRDefault="00C72198" w:rsidP="000E0FE8">
      <w:pPr>
        <w:spacing w:after="0" w:line="240" w:lineRule="auto"/>
        <w:jc w:val="center"/>
        <w:rPr>
          <w:rFonts w:ascii="Times New Roman" w:hAnsi="Times New Roman"/>
          <w:color w:val="000000"/>
          <w:sz w:val="24"/>
          <w:szCs w:val="24"/>
        </w:rPr>
      </w:pPr>
      <w:r w:rsidRPr="003B10E2">
        <w:rPr>
          <w:noProof/>
        </w:rPr>
        <w:drawing>
          <wp:anchor distT="0" distB="0" distL="114300" distR="114300" simplePos="0" relativeHeight="251655680" behindDoc="0" locked="0" layoutInCell="1" allowOverlap="1" wp14:anchorId="2280DAF6" wp14:editId="445CD619">
            <wp:simplePos x="0" y="0"/>
            <wp:positionH relativeFrom="column">
              <wp:posOffset>18415</wp:posOffset>
            </wp:positionH>
            <wp:positionV relativeFrom="paragraph">
              <wp:posOffset>83820</wp:posOffset>
            </wp:positionV>
            <wp:extent cx="5858510" cy="3376930"/>
            <wp:effectExtent l="0" t="0" r="0" b="0"/>
            <wp:wrapTopAndBottom/>
            <wp:docPr id="28" name="Объект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154"/>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54930" cy="2971165"/>
                    </a:xfrm>
                    <a:prstGeom prst="rect">
                      <a:avLst/>
                    </a:prstGeom>
                    <a:noFill/>
                  </pic:spPr>
                </pic:pic>
              </a:graphicData>
            </a:graphic>
            <wp14:sizeRelH relativeFrom="page">
              <wp14:pctWidth>0</wp14:pctWidth>
            </wp14:sizeRelH>
            <wp14:sizeRelV relativeFrom="page">
              <wp14:pctHeight>0</wp14:pctHeight>
            </wp14:sizeRelV>
          </wp:anchor>
        </w:drawing>
      </w:r>
      <w:r w:rsidR="000E0FE8" w:rsidRPr="003B10E2">
        <w:rPr>
          <w:rFonts w:ascii="Times New Roman" w:hAnsi="Times New Roman"/>
          <w:color w:val="000000"/>
          <w:sz w:val="24"/>
          <w:szCs w:val="24"/>
        </w:rPr>
        <w:t xml:space="preserve">Источник: </w:t>
      </w:r>
      <w:r w:rsidR="000E0FE8" w:rsidRPr="003B10E2">
        <w:rPr>
          <w:rFonts w:ascii="Times New Roman" w:hAnsi="Times New Roman"/>
          <w:color w:val="000000"/>
          <w:sz w:val="24"/>
          <w:szCs w:val="24"/>
          <w:lang w:val="en-US"/>
        </w:rPr>
        <w:t>Thomson</w:t>
      </w:r>
      <w:r w:rsidR="000E0FE8" w:rsidRPr="003B10E2">
        <w:rPr>
          <w:rFonts w:ascii="Times New Roman" w:hAnsi="Times New Roman"/>
          <w:color w:val="000000"/>
          <w:sz w:val="24"/>
          <w:szCs w:val="24"/>
        </w:rPr>
        <w:t xml:space="preserve"> </w:t>
      </w:r>
      <w:r w:rsidR="000E0FE8" w:rsidRPr="003B10E2">
        <w:rPr>
          <w:rFonts w:ascii="Times New Roman" w:hAnsi="Times New Roman"/>
          <w:color w:val="000000"/>
          <w:sz w:val="24"/>
          <w:szCs w:val="24"/>
          <w:lang w:val="en-US"/>
        </w:rPr>
        <w:t>Reuters</w:t>
      </w:r>
      <w:r w:rsidR="000E0FE8" w:rsidRPr="003B10E2">
        <w:rPr>
          <w:rFonts w:ascii="Times New Roman" w:hAnsi="Times New Roman"/>
          <w:color w:val="000000"/>
          <w:sz w:val="24"/>
          <w:szCs w:val="24"/>
        </w:rPr>
        <w:t>.</w:t>
      </w:r>
    </w:p>
    <w:p w14:paraId="71285731" w14:textId="77777777"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9C0C92" w:rsidRPr="003B10E2">
        <w:rPr>
          <w:rFonts w:ascii="Times New Roman" w:hAnsi="Times New Roman"/>
          <w:color w:val="000000"/>
          <w:sz w:val="24"/>
          <w:szCs w:val="24"/>
        </w:rPr>
        <w:t>38</w:t>
      </w:r>
      <w:r w:rsidRPr="003B10E2">
        <w:rPr>
          <w:rFonts w:ascii="Times New Roman" w:hAnsi="Times New Roman"/>
          <w:color w:val="000000"/>
          <w:sz w:val="24"/>
          <w:szCs w:val="24"/>
        </w:rPr>
        <w:t xml:space="preserve"> – Ежедневная динамика VIX</w:t>
      </w:r>
    </w:p>
    <w:p w14:paraId="33A5D94E" w14:textId="77777777" w:rsidR="000E0FE8" w:rsidRPr="003B10E2" w:rsidRDefault="000E0FE8" w:rsidP="000E0FE8">
      <w:pPr>
        <w:spacing w:after="0" w:line="360" w:lineRule="auto"/>
        <w:ind w:firstLine="851"/>
        <w:jc w:val="both"/>
        <w:rPr>
          <w:rFonts w:ascii="Times New Roman" w:hAnsi="Times New Roman"/>
          <w:color w:val="000000"/>
          <w:sz w:val="28"/>
          <w:szCs w:val="28"/>
        </w:rPr>
      </w:pPr>
    </w:p>
    <w:p w14:paraId="7C8E4B64"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Рассматривая длинные ряды </w:t>
      </w:r>
      <w:r w:rsidRPr="003B10E2">
        <w:rPr>
          <w:rFonts w:ascii="Times New Roman" w:hAnsi="Times New Roman"/>
          <w:color w:val="000000"/>
          <w:sz w:val="28"/>
          <w:szCs w:val="28"/>
          <w:lang w:val="en-US"/>
        </w:rPr>
        <w:t>S</w:t>
      </w:r>
      <w:r w:rsidRPr="003B10E2">
        <w:rPr>
          <w:rFonts w:ascii="Times New Roman" w:hAnsi="Times New Roman"/>
          <w:color w:val="000000"/>
          <w:sz w:val="28"/>
          <w:szCs w:val="28"/>
        </w:rPr>
        <w:t>&amp;</w:t>
      </w:r>
      <w:r w:rsidRPr="003B10E2">
        <w:rPr>
          <w:rFonts w:ascii="Times New Roman" w:hAnsi="Times New Roman"/>
          <w:color w:val="000000"/>
          <w:sz w:val="28"/>
          <w:szCs w:val="28"/>
          <w:lang w:val="en-US"/>
        </w:rPr>
        <w:t>P</w:t>
      </w:r>
      <w:r w:rsidRPr="003B10E2">
        <w:rPr>
          <w:rFonts w:ascii="Times New Roman" w:hAnsi="Times New Roman"/>
          <w:color w:val="000000"/>
          <w:sz w:val="28"/>
          <w:szCs w:val="28"/>
        </w:rPr>
        <w:t xml:space="preserve"> 500, видно, что эффект от резкого скачка волатильности длится около одной недели, в то время как сильный шок за счет эффекта рычага исчезает через день. Предлагаемая модель прогнозирования волатильности способна охватить многие эмпирические данные (Рисунок </w:t>
      </w:r>
      <w:r w:rsidR="009C0C92" w:rsidRPr="003B10E2">
        <w:rPr>
          <w:rFonts w:ascii="Times New Roman" w:hAnsi="Times New Roman"/>
          <w:color w:val="000000"/>
          <w:sz w:val="28"/>
          <w:szCs w:val="28"/>
        </w:rPr>
        <w:t>38</w:t>
      </w:r>
      <w:r w:rsidRPr="003B10E2">
        <w:rPr>
          <w:rFonts w:ascii="Times New Roman" w:hAnsi="Times New Roman"/>
          <w:color w:val="000000"/>
          <w:sz w:val="28"/>
          <w:szCs w:val="28"/>
        </w:rPr>
        <w:t xml:space="preserve">). </w:t>
      </w:r>
    </w:p>
    <w:p w14:paraId="79EF3529"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Прогнозирование волатильности имеет решающее значение для многих инвестиционных решений, таких как модели поведения инвесторов и управление рисками [170]. </w:t>
      </w:r>
    </w:p>
    <w:p w14:paraId="68D74D38"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Хорошо известно, что волатильность автокоррелирована на продолжительном периоде времени [247]. Доказательства находятся в научной литературе [30]. Эта автокорреляция является одним из драйверов влияния обратной связи волатильности [248]. Толкование заключается в том, что при увеличении волатильности возникает ожидание более высокой будущей волатильности, и участники рынка могут сокращать риски, что вызовет немедленное падение цен на акции [128]. Прыжки волатильности позволяют предсказать один будущий период волатильности [128]. </w:t>
      </w:r>
    </w:p>
    <w:p w14:paraId="26BA49C4"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Нужно различать нисходящие и восходящие прыжки [188]. Будущая волатильность действительно растет во время негативного шока, так как изменения, вероятно, связаны с повышением неопределенности относительно фундаментальной стоимости актива. Тем не менее эффект от шока не обязательно увеличивает будущую волатильность. Позитивный скачок связан с появлением хороших новостей, а также ожиданий повышения будущих доходов. Эффект последнего способен компенсировать эффект возрастающей неопределенности [189]. В соответствии с эффектом рычага, как постоянные, так и шоковые компоненты возврата имеют значительное влияние на будущую волатильность. Как упоминалось ранее, сохранение эффекта рычага, по мере увеличения горизонта прогнозирования становится менее статистически значимым. В конечном счете скачки волатильности (непрерывная вариация) не являются статистически значимыми [190]. Они присутствуют во времена спокойных периодов, их прогнозирование на коротком горизонте невозможно. </w:t>
      </w:r>
    </w:p>
    <w:p w14:paraId="53ACB7AC"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Предлагаемая модель прогнозирования волатильности состоит из следующих факторов:</w:t>
      </w:r>
    </w:p>
    <w:p w14:paraId="240F28AA"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1) время и размер шоков внутридневных доходностей;</w:t>
      </w:r>
    </w:p>
    <w:p w14:paraId="7497B9CD"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2) вариация шока.</w:t>
      </w:r>
    </w:p>
    <w:p w14:paraId="7BBFE894"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Модель мотивирована подавляющим эмпирическим свидетельством асимметрии финансового времени [270]. Показано, что корреляционные асимметрии между доходностью и волатильностью присутствуют как для непрерывных, так и для шоковых компонентов.</w:t>
      </w:r>
    </w:p>
    <w:p w14:paraId="0C4A6064"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Фактически эмпирический анализ основан на многолетней истории высокочастотных значений индекса </w:t>
      </w:r>
      <w:r w:rsidRPr="003B10E2">
        <w:rPr>
          <w:rFonts w:ascii="Times New Roman" w:hAnsi="Times New Roman"/>
          <w:color w:val="000000"/>
          <w:sz w:val="28"/>
          <w:szCs w:val="28"/>
          <w:lang w:val="en-US"/>
        </w:rPr>
        <w:t>S</w:t>
      </w:r>
      <w:r w:rsidRPr="003B10E2">
        <w:rPr>
          <w:rFonts w:ascii="Times New Roman" w:hAnsi="Times New Roman"/>
          <w:color w:val="000000"/>
          <w:sz w:val="28"/>
          <w:szCs w:val="28"/>
        </w:rPr>
        <w:t>&amp;</w:t>
      </w:r>
      <w:r w:rsidRPr="003B10E2">
        <w:rPr>
          <w:rFonts w:ascii="Times New Roman" w:hAnsi="Times New Roman"/>
          <w:color w:val="000000"/>
          <w:sz w:val="28"/>
          <w:szCs w:val="28"/>
          <w:lang w:val="en-US"/>
        </w:rPr>
        <w:t>P</w:t>
      </w:r>
      <w:r w:rsidRPr="003B10E2">
        <w:rPr>
          <w:rFonts w:ascii="Times New Roman" w:hAnsi="Times New Roman"/>
          <w:color w:val="000000"/>
          <w:sz w:val="28"/>
          <w:szCs w:val="28"/>
        </w:rPr>
        <w:t xml:space="preserve"> 500. При наличии достаточного количества высокочастотных данных усиливается точность оценки возвратных скачков, а квартальные отклонения компенсируются в целом лучшими прогнозами будущей волатильности [250].</w:t>
      </w:r>
    </w:p>
    <w:p w14:paraId="1C60A217"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отличие от детерминированных циклов стохастические сезонные компоненты могут изменяться со временем. Именно поэтому важно изучить природу сезонности [248]. Периодические внутридневные закономерности повторяются в точности, и это может быть вполне прогнозируемым. </w:t>
      </w:r>
      <w:r w:rsidRPr="003B10E2">
        <w:rPr>
          <w:rFonts w:ascii="Times New Roman" w:hAnsi="Times New Roman"/>
          <w:color w:val="000000"/>
          <w:sz w:val="28"/>
          <w:szCs w:val="28"/>
          <w:lang w:val="en-US"/>
        </w:rPr>
        <w:t>C</w:t>
      </w:r>
      <w:r w:rsidRPr="003B10E2">
        <w:rPr>
          <w:rFonts w:ascii="Times New Roman" w:hAnsi="Times New Roman"/>
          <w:color w:val="000000"/>
          <w:sz w:val="28"/>
          <w:szCs w:val="28"/>
        </w:rPr>
        <w:t xml:space="preserve">редневзвешенная внутридневная доходность почти постоянна для всех акций и незначительно позитивна. Время открытия и закрытия рынка акций имеет большую активность, что приводит к более высоким объемам торговли и волатильности, чем во время обеда у банковских сотрудников. Это вызывает ярко выраженную U-образную форму во внутридневном объеме торгов. Для реализованной волатильность больше соответствует J-обратной форме. </w:t>
      </w:r>
    </w:p>
    <w:p w14:paraId="423703F4"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Для индекса DJIA сезонность является детерминированной. Сезонная длинная память заметна как для реализованной волатильности, так и для объема торговли [278]. Эмпирические данные доказывают наличие «нормальной» долгой памяти, детерминированных циклов и сезонной долгой памяти [298]. </w:t>
      </w:r>
    </w:p>
    <w:p w14:paraId="539F78F0"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Активно управляемые портфели ценных бумаг, которые имеют меньший риск при более высокой волатильности, существенно выигрывают по сравнению со стандартными по критерию коэффициента Шарпа. Эта стратегия имеет меньший риск во время рыночной рецессии, что способствует минимизации потерь. Дисперсия предсказуема лишь на коротких временных горизонтах, а прогнозы дисперсии часто слабо связанны с будущей доходностью. </w:t>
      </w:r>
    </w:p>
    <w:p w14:paraId="27EF6C1A"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Для стандартного портфеля на американском рынке механизм коррекции волатильности дает дополнительный прирост коэффициента Альфа +4,9 % годовых, что способствует общему увеличению коэффициента Шарпа на 25%. Существует связь между волатильностью и средней доходностью, но также есть сильные взаимосвязи между запаздывающей волатильностью и текущей волатильности [190]. Это означает, что правило стремления к среднему значению цен на акции ослабевает в периоды высокой волатильности [140]. </w:t>
      </w:r>
    </w:p>
    <w:p w14:paraId="2712DDEA"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Портфели с коррекцией на волатильность дали доказательства контрцикличности между циклами ожидаемой доходности и рентабельности стратегии [141]. Например, в августе 2015 года, в период высокой волатильности, многие домохозяйства массово продавали акции. </w:t>
      </w:r>
    </w:p>
    <w:p w14:paraId="19D823E4"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Портфель с коррекцией на волатильность может быть легко реализован инвестором в реальном времени без использования оценочных параметров. Типичный инвестор, вероятно, будет избегать сильных импульсов на рынке. Портфель с коррекцией на волатильность берет на себя больше рисков, когда волатильность низкая: стратегия работает путем сдвига, когда она принимает рыночный риск.</w:t>
      </w:r>
    </w:p>
    <w:p w14:paraId="13E5990E"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Типичный консервативный инвестор может извлечь выгоду от использования портфеля с коррекцией на волатильность. Коэффициент Шарпа не всегда хороший показатель для оценки прироста эффективности [191]. Можно утверждать, что периоды низкой волатильности аналогичны периодам низкой беты портфеля активов. Эти выводы ставят под сомнение многие макроэкономические модели [251]. На самом деле многие модели равновесного ценообразования активов в значительной степени игнорируют компромисс риска и доходности [281].</w:t>
      </w:r>
    </w:p>
    <w:p w14:paraId="6A2D5C8A"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Волатильность имеет тенденцию быть высокой на спадах при высокой макроэкономической неопределенности [291]. Одним из интуитивных объяснений является то, что инвесторы медленно отказываются от своих убеждений о волатильности [193]. Портфели с коррекцией на волатильность обеспечивают большую доходность с учетом рисков и просты реализации в реальном времени, что сочетается с поведением консервативного инвестора, и ключевым объектом является изменяющаяся во времени премия за риск.</w:t>
      </w:r>
      <w:r w:rsidRPr="003B10E2">
        <w:rPr>
          <w:color w:val="000000"/>
        </w:rPr>
        <w:t xml:space="preserve"> </w:t>
      </w:r>
    </w:p>
    <w:p w14:paraId="69440BA6" w14:textId="77777777" w:rsidR="000E0FE8" w:rsidRPr="003B10E2" w:rsidRDefault="000E0FE8" w:rsidP="00B13660">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данной части работы исследуются возможности влияния цен на нефть на доходность фондового рынка в США и других рынков. Несколько предыдущих исследования показали, что резкие изменения цен на нефть оказывают влияние как макроэкономические переменные и доходность акций. </w:t>
      </w:r>
    </w:p>
    <w:p w14:paraId="727FC042"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Уровень предсказуемости доходности акций, как правило, достаточно низок. Статистически значимое улучшение вероятности по сравнению с 0.5 означает значительную предсказуемость, что может привести к экономическим выгодам в торговых стратегиях. </w:t>
      </w:r>
    </w:p>
    <w:p w14:paraId="29FFA5D4"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Мы используем набор данных с периодом выборки 1990 – 2021 гг. на одиннадцати рынках. Бинарные зависимые переменные, которые можно выделить:</w:t>
      </w:r>
    </w:p>
    <w:p w14:paraId="4F89879D"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1) реальная цена на нефть марки Брент;</w:t>
      </w:r>
    </w:p>
    <w:p w14:paraId="6A246474"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2) трехмесячная процентная ставка на денежном рынке;</w:t>
      </w:r>
    </w:p>
    <w:p w14:paraId="112EAEDA"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3) индекс потребительских цен.</w:t>
      </w:r>
    </w:p>
    <w:p w14:paraId="46F6AC93"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Принятие решений о формировании портфеля, дает более высокую годовую доходность портфеля, чем стратегия без учета динамики цен на нефть на шести из 12 рынков.</w:t>
      </w:r>
    </w:p>
    <w:p w14:paraId="004752E8"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Например, отрицательные изменения цен на нефть имеют статистически значимое (по крайней мере, на уровне 10%) влияние на рынки Швеции, в то время как позитивные изменения сказываются на немецком и голландском рынках. Для рынка Италии важны положительные и отрицательные изменения. В целом эффект цен на нефть ассиметричен за исключением российских и канадских фондовых рынков, где коэффициент положителен. Это объясняется тем, что Россия и Канада являются чистыми экспортерами нефти [249]. </w:t>
      </w:r>
    </w:p>
    <w:p w14:paraId="4B44370B"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Таким образом, диссертация расширила литературу по проблеме влияния цен на нефть на фондовые рынки путем изучения предсказательной силы изменений реальных цен на нефть на доходности акций в США и десяти других рынках с помощью модели пробит-регрессии [249]. Выводы свидетельствуют о том, что реальные цены на нефть действительно являются полезными сигналами изменения доходности акций для ряда фондовых рынков. При этом найдено не так мало доказательств симметричных эффектов от повышения и уменьшения цен на нефть, но невозможно сделать общие выводы, потому что результаты существенно различаются между рынками [246]. </w:t>
      </w:r>
    </w:p>
    <w:p w14:paraId="130073A6" w14:textId="77777777"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Симметричные эффекты от повышения и уменьшения цен на нефть будут оказывать прямое влияние на доходности стратегии торговли волатильностью. Долгосрочные традиционные инвестиционные стратегии глобальных институциональных инвесторов с учетом структурных сдвигов в следующие 10 лет будут приносить меньшую доходность. На фоне политики низких процентных ставок и низкой инфляции в России происходит трансформация инвестиционных стратегий. Стратегия carry trade, эффективная в периоды роста глобальной экономики, сходит на нет. Глобальные инвесторы будут перемещать свои средства в стратегии торговли волатильностью на различных рынках капитала на фоне трансформации традиционных моделей инвестирования. </w:t>
      </w:r>
    </w:p>
    <w:p w14:paraId="13615038" w14:textId="77777777" w:rsidR="00B13660" w:rsidRPr="003B10E2" w:rsidRDefault="00B13660">
      <w:pPr>
        <w:suppressAutoHyphens w:val="0"/>
        <w:rPr>
          <w:rFonts w:ascii="Times New Roman" w:eastAsia="Times New Roman" w:hAnsi="Times New Roman"/>
          <w:b/>
          <w:bCs/>
          <w:color w:val="000000"/>
          <w:sz w:val="32"/>
          <w:szCs w:val="32"/>
        </w:rPr>
      </w:pPr>
      <w:r w:rsidRPr="003B10E2">
        <w:rPr>
          <w:rFonts w:ascii="Times New Roman" w:eastAsia="Times New Roman" w:hAnsi="Times New Roman"/>
          <w:b/>
          <w:bCs/>
          <w:color w:val="000000"/>
          <w:sz w:val="32"/>
          <w:szCs w:val="32"/>
        </w:rPr>
        <w:br w:type="page"/>
      </w:r>
    </w:p>
    <w:p w14:paraId="174F2E91" w14:textId="77777777" w:rsidR="00651284" w:rsidRPr="003B10E2" w:rsidRDefault="00651284" w:rsidP="00683F14">
      <w:pPr>
        <w:pStyle w:val="1"/>
        <w:spacing w:before="0" w:line="360" w:lineRule="auto"/>
        <w:contextualSpacing/>
        <w:jc w:val="center"/>
        <w:rPr>
          <w:rFonts w:ascii="Times New Roman" w:hAnsi="Times New Roman"/>
          <w:b/>
          <w:color w:val="000000"/>
          <w:lang w:eastAsia="ar-SA"/>
        </w:rPr>
      </w:pPr>
      <w:bookmarkStart w:id="173" w:name="_Toc145164382"/>
      <w:r w:rsidRPr="003B10E2">
        <w:rPr>
          <w:rFonts w:ascii="Times New Roman" w:hAnsi="Times New Roman"/>
          <w:b/>
          <w:color w:val="000000"/>
          <w:lang w:eastAsia="ar-SA"/>
        </w:rPr>
        <w:t xml:space="preserve">Глава </w:t>
      </w:r>
      <w:bookmarkEnd w:id="87"/>
      <w:bookmarkEnd w:id="88"/>
      <w:bookmarkEnd w:id="89"/>
      <w:bookmarkEnd w:id="90"/>
      <w:bookmarkEnd w:id="91"/>
      <w:bookmarkEnd w:id="92"/>
      <w:bookmarkEnd w:id="93"/>
      <w:bookmarkEnd w:id="94"/>
      <w:r w:rsidR="00BF366E" w:rsidRPr="003B10E2">
        <w:rPr>
          <w:rFonts w:ascii="Times New Roman" w:hAnsi="Times New Roman"/>
          <w:b/>
          <w:color w:val="000000"/>
          <w:lang w:eastAsia="ar-SA"/>
        </w:rPr>
        <w:t>3</w:t>
      </w:r>
      <w:r w:rsidR="0040151F" w:rsidRPr="003B10E2">
        <w:rPr>
          <w:rFonts w:ascii="Times New Roman" w:hAnsi="Times New Roman"/>
          <w:b/>
          <w:color w:val="000000"/>
          <w:lang w:eastAsia="ar-SA"/>
        </w:rPr>
        <w:t xml:space="preserve"> </w:t>
      </w:r>
      <w:r w:rsidRPr="003B10E2">
        <w:rPr>
          <w:rFonts w:ascii="Times New Roman" w:hAnsi="Times New Roman"/>
          <w:b/>
          <w:color w:val="000000"/>
          <w:lang w:eastAsia="ar-SA"/>
        </w:rPr>
        <w:t xml:space="preserve">Современные тренды в структуре </w:t>
      </w:r>
      <w:r w:rsidR="005D427A" w:rsidRPr="003B10E2">
        <w:rPr>
          <w:rFonts w:ascii="Times New Roman" w:hAnsi="Times New Roman"/>
          <w:b/>
          <w:color w:val="000000"/>
          <w:lang w:eastAsia="ar-SA"/>
        </w:rPr>
        <w:t>рынка капитала</w:t>
      </w:r>
      <w:r w:rsidR="007D6D04" w:rsidRPr="003B10E2">
        <w:rPr>
          <w:rFonts w:ascii="Times New Roman" w:hAnsi="Times New Roman"/>
          <w:b/>
          <w:color w:val="000000"/>
          <w:lang w:eastAsia="ar-SA"/>
        </w:rPr>
        <w:t xml:space="preserve"> Росси</w:t>
      </w:r>
      <w:r w:rsidR="00885330" w:rsidRPr="003B10E2">
        <w:rPr>
          <w:rFonts w:ascii="Times New Roman" w:hAnsi="Times New Roman"/>
          <w:b/>
          <w:color w:val="000000"/>
          <w:lang w:eastAsia="ar-SA"/>
        </w:rPr>
        <w:t>и и Китая</w:t>
      </w:r>
      <w:r w:rsidRPr="003B10E2">
        <w:rPr>
          <w:rFonts w:ascii="Times New Roman" w:hAnsi="Times New Roman"/>
          <w:b/>
          <w:color w:val="000000"/>
          <w:lang w:eastAsia="ar-SA"/>
        </w:rPr>
        <w:t>: 2009 – 2025</w:t>
      </w:r>
      <w:bookmarkEnd w:id="95"/>
      <w:bookmarkEnd w:id="96"/>
      <w:r w:rsidRPr="003B10E2">
        <w:rPr>
          <w:rFonts w:ascii="Times New Roman" w:hAnsi="Times New Roman"/>
          <w:b/>
          <w:color w:val="000000"/>
          <w:lang w:eastAsia="ar-SA"/>
        </w:rPr>
        <w:t xml:space="preserve"> гг.</w:t>
      </w:r>
      <w:bookmarkStart w:id="174" w:name="_Toc523499803"/>
      <w:bookmarkStart w:id="175" w:name="_Toc503179438"/>
      <w:bookmarkStart w:id="176" w:name="_Toc502763364"/>
      <w:bookmarkStart w:id="177" w:name="_Toc500085719"/>
      <w:bookmarkStart w:id="178" w:name="_Toc497237373"/>
      <w:bookmarkStart w:id="179" w:name="_Toc497227192"/>
      <w:bookmarkStart w:id="180" w:name="_Toc497226915"/>
      <w:bookmarkStart w:id="181" w:name="_Toc497226348"/>
      <w:bookmarkEnd w:id="173"/>
    </w:p>
    <w:bookmarkEnd w:id="174"/>
    <w:bookmarkEnd w:id="175"/>
    <w:bookmarkEnd w:id="176"/>
    <w:bookmarkEnd w:id="177"/>
    <w:bookmarkEnd w:id="178"/>
    <w:bookmarkEnd w:id="179"/>
    <w:bookmarkEnd w:id="180"/>
    <w:bookmarkEnd w:id="181"/>
    <w:p w14:paraId="53BA2952" w14:textId="77777777" w:rsidR="0040151F" w:rsidRPr="003B10E2" w:rsidRDefault="0040151F" w:rsidP="0040151F">
      <w:pPr>
        <w:keepNext/>
        <w:keepLines/>
        <w:spacing w:before="40" w:after="0"/>
        <w:outlineLvl w:val="1"/>
        <w:rPr>
          <w:rFonts w:ascii="Times New Roman" w:hAnsi="Times New Roman"/>
          <w:b/>
          <w:bCs/>
          <w:sz w:val="32"/>
          <w:szCs w:val="32"/>
        </w:rPr>
      </w:pPr>
    </w:p>
    <w:p w14:paraId="27D014EB" w14:textId="77777777" w:rsidR="0040151F" w:rsidRPr="003B10E2" w:rsidRDefault="00BF366E" w:rsidP="00683F14">
      <w:pPr>
        <w:keepNext/>
        <w:keepLines/>
        <w:spacing w:after="0" w:line="360" w:lineRule="auto"/>
        <w:ind w:firstLine="709"/>
        <w:contextualSpacing/>
        <w:jc w:val="both"/>
        <w:outlineLvl w:val="1"/>
        <w:rPr>
          <w:rFonts w:ascii="Times New Roman" w:eastAsia="Times New Roman" w:hAnsi="Times New Roman"/>
          <w:b/>
          <w:color w:val="000000"/>
          <w:sz w:val="28"/>
          <w:szCs w:val="28"/>
          <w:lang w:eastAsia="ar-SA"/>
        </w:rPr>
      </w:pPr>
      <w:bookmarkStart w:id="182" w:name="_Toc145164383"/>
      <w:r w:rsidRPr="003B10E2">
        <w:rPr>
          <w:rFonts w:ascii="Times New Roman" w:eastAsia="Times New Roman" w:hAnsi="Times New Roman"/>
          <w:b/>
          <w:color w:val="000000"/>
          <w:sz w:val="28"/>
          <w:szCs w:val="28"/>
          <w:lang w:eastAsia="ar-SA"/>
        </w:rPr>
        <w:t>3</w:t>
      </w:r>
      <w:r w:rsidR="0040151F" w:rsidRPr="003B10E2">
        <w:rPr>
          <w:rFonts w:ascii="Times New Roman" w:eastAsia="Times New Roman" w:hAnsi="Times New Roman"/>
          <w:b/>
          <w:color w:val="000000"/>
          <w:sz w:val="28"/>
          <w:szCs w:val="28"/>
          <w:lang w:eastAsia="ar-SA"/>
        </w:rPr>
        <w:t>.1</w:t>
      </w:r>
      <w:r w:rsidR="00651284" w:rsidRPr="003B10E2">
        <w:rPr>
          <w:rFonts w:ascii="Times New Roman" w:eastAsia="Times New Roman" w:hAnsi="Times New Roman"/>
          <w:b/>
          <w:color w:val="000000"/>
          <w:sz w:val="28"/>
          <w:szCs w:val="28"/>
          <w:lang w:eastAsia="ar-SA"/>
        </w:rPr>
        <w:t xml:space="preserve"> Структурные изменения на рынке акций на фоне внешних шоков</w:t>
      </w:r>
      <w:bookmarkEnd w:id="182"/>
    </w:p>
    <w:p w14:paraId="74BF44F3" w14:textId="77777777"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Поскольку финансовые рынки смотрят в будущее, цены зависят не только от текущих условий, но также и от будущих ожиданий развития. Кейнс, в его знаменитой метафоре конкурса красоты, утверждал, что из-за того, что будущее в принципе неизвестно [217], инвесторы финансового рынка вынуждены предсказывать среднее ожидание доходности рынка при принятии инвестиционных решений, что немедленно отражается на уровне глобального риск-аппетита.</w:t>
      </w:r>
    </w:p>
    <w:p w14:paraId="68C5065A" w14:textId="77777777" w:rsidR="00651284" w:rsidRPr="003B10E2" w:rsidRDefault="00651284" w:rsidP="003C09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Кризис 2008 г. сделал инвесторов </w:t>
      </w:r>
      <w:r w:rsidR="007F62F2" w:rsidRPr="003B10E2">
        <w:rPr>
          <w:rFonts w:ascii="Times New Roman" w:hAnsi="Times New Roman"/>
          <w:color w:val="000000"/>
          <w:sz w:val="28"/>
          <w:szCs w:val="28"/>
        </w:rPr>
        <w:t xml:space="preserve">на китайском и российском рынках капитала </w:t>
      </w:r>
      <w:r w:rsidRPr="003B10E2">
        <w:rPr>
          <w:rFonts w:ascii="Times New Roman" w:hAnsi="Times New Roman"/>
          <w:color w:val="000000"/>
          <w:sz w:val="28"/>
          <w:szCs w:val="28"/>
        </w:rPr>
        <w:t>более восприимчивыми к влиянию факторов риск-аппетита и роста регулирования и побудил инвесторов</w:t>
      </w:r>
      <w:r w:rsidR="007D6D04" w:rsidRPr="003B10E2">
        <w:rPr>
          <w:rFonts w:ascii="Times New Roman" w:hAnsi="Times New Roman"/>
          <w:color w:val="000000"/>
          <w:sz w:val="28"/>
          <w:szCs w:val="28"/>
        </w:rPr>
        <w:t xml:space="preserve"> из Китая</w:t>
      </w:r>
      <w:r w:rsidRPr="003B10E2">
        <w:rPr>
          <w:rFonts w:ascii="Times New Roman" w:hAnsi="Times New Roman"/>
          <w:color w:val="000000"/>
          <w:sz w:val="28"/>
          <w:szCs w:val="28"/>
        </w:rPr>
        <w:t xml:space="preserve"> вкладывать свои активы в большей степени в соответствии с принципами стилевого инвестирования (инвестиционный подход, при котором предполагается, что переключение между различными индексными стратегиями важно для успешного инвестирования). В отличие от инвестиций в отдельные ценные бумаги, стилевые инвесторы принимают решения о распределении портфеля, размещая деньги в стилевых индексах, таких как Индекс компаний с наибольшей капитализацией, Индекс компаний роста, Индекс развивающихся рынков [168, 170, 178].</w:t>
      </w:r>
    </w:p>
    <w:p w14:paraId="69919012" w14:textId="77777777" w:rsidR="0088161E" w:rsidRPr="003B10E2" w:rsidRDefault="00651284" w:rsidP="007C437C">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Важнейшую роль в передаче внешних шоков играют каналы передачи: регуляторный канал, канал предложения ликвидности, канал риск-аппетита глобальных инвесторов. В данном случае канал — это способ воздействия внешних шоков на финансовый рынок. Регуляторный канал представляет собой воздействие на рынок капитала через нормативное регулирование, канал предложения ликвидности</w:t>
      </w:r>
      <w:r w:rsidRPr="003B10E2">
        <w:rPr>
          <w:color w:val="000000"/>
        </w:rPr>
        <w:t xml:space="preserve"> </w:t>
      </w:r>
      <w:r w:rsidRPr="003B10E2">
        <w:rPr>
          <w:rFonts w:ascii="Times New Roman" w:hAnsi="Times New Roman"/>
          <w:color w:val="000000"/>
          <w:sz w:val="28"/>
          <w:szCs w:val="28"/>
        </w:rPr>
        <w:t>—</w:t>
      </w:r>
      <w:r w:rsidRPr="003B10E2">
        <w:rPr>
          <w:color w:val="000000"/>
        </w:rPr>
        <w:t xml:space="preserve"> </w:t>
      </w:r>
      <w:r w:rsidRPr="003B10E2">
        <w:rPr>
          <w:rFonts w:ascii="Times New Roman" w:hAnsi="Times New Roman"/>
          <w:color w:val="000000"/>
          <w:sz w:val="28"/>
          <w:szCs w:val="28"/>
        </w:rPr>
        <w:t xml:space="preserve">через изменение денежной массы центробанками различных стран, канал риск-аппетита глобальных инвесторов — через изменение готовности инвесторов брать на себя риски. В таблице </w:t>
      </w:r>
      <w:r w:rsidR="009C0C92" w:rsidRPr="003B10E2">
        <w:rPr>
          <w:rFonts w:ascii="Times New Roman" w:hAnsi="Times New Roman"/>
          <w:color w:val="000000"/>
          <w:sz w:val="28"/>
          <w:szCs w:val="28"/>
        </w:rPr>
        <w:t>12</w:t>
      </w:r>
      <w:r w:rsidRPr="003B10E2">
        <w:rPr>
          <w:rFonts w:ascii="Times New Roman" w:hAnsi="Times New Roman"/>
          <w:color w:val="000000"/>
          <w:sz w:val="28"/>
          <w:szCs w:val="28"/>
        </w:rPr>
        <w:t xml:space="preserve"> отражены причинно-следственные связи между внешними шоками и структурными изме</w:t>
      </w:r>
      <w:r w:rsidR="003C09E8" w:rsidRPr="003B10E2">
        <w:rPr>
          <w:rFonts w:ascii="Times New Roman" w:hAnsi="Times New Roman"/>
          <w:color w:val="000000"/>
          <w:sz w:val="28"/>
          <w:szCs w:val="28"/>
        </w:rPr>
        <w:t>нениями на рынке акций.</w:t>
      </w:r>
      <w:bookmarkStart w:id="183" w:name="_Hlk138266688"/>
    </w:p>
    <w:p w14:paraId="1050F987" w14:textId="77777777" w:rsidR="00651284" w:rsidRPr="003B10E2" w:rsidRDefault="000F46ED" w:rsidP="003C09E8">
      <w:pPr>
        <w:spacing w:after="0" w:line="240" w:lineRule="auto"/>
        <w:rPr>
          <w:rFonts w:ascii="Times New Roman" w:hAnsi="Times New Roman"/>
          <w:color w:val="000000"/>
          <w:sz w:val="24"/>
          <w:szCs w:val="24"/>
        </w:rPr>
      </w:pPr>
      <w:r w:rsidRPr="003B10E2">
        <w:rPr>
          <w:rFonts w:ascii="Times New Roman" w:hAnsi="Times New Roman"/>
          <w:color w:val="000000"/>
          <w:sz w:val="24"/>
          <w:szCs w:val="24"/>
        </w:rPr>
        <w:t xml:space="preserve">Таблица </w:t>
      </w:r>
      <w:r w:rsidR="009C0C92" w:rsidRPr="003B10E2">
        <w:rPr>
          <w:rFonts w:ascii="Times New Roman" w:hAnsi="Times New Roman"/>
          <w:color w:val="000000"/>
          <w:sz w:val="24"/>
          <w:szCs w:val="24"/>
        </w:rPr>
        <w:t>12</w:t>
      </w:r>
      <w:r w:rsidR="0040151F" w:rsidRPr="003B10E2">
        <w:rPr>
          <w:rFonts w:ascii="Times New Roman" w:hAnsi="Times New Roman"/>
          <w:color w:val="000000"/>
          <w:sz w:val="24"/>
          <w:szCs w:val="24"/>
        </w:rPr>
        <w:t xml:space="preserve"> – Каналы и структурные изменения на рынке акций</w:t>
      </w:r>
      <w:r w:rsidR="007D6D04" w:rsidRPr="003B10E2">
        <w:rPr>
          <w:rFonts w:ascii="Times New Roman" w:hAnsi="Times New Roman"/>
          <w:color w:val="000000"/>
          <w:sz w:val="24"/>
          <w:szCs w:val="24"/>
        </w:rPr>
        <w:t xml:space="preserve"> Китая и России</w:t>
      </w:r>
    </w:p>
    <w:p w14:paraId="0D81749B" w14:textId="77777777" w:rsidR="003C09E8" w:rsidRPr="003B10E2" w:rsidRDefault="003C09E8" w:rsidP="003C09E8">
      <w:pPr>
        <w:spacing w:after="0" w:line="240" w:lineRule="auto"/>
        <w:rPr>
          <w:rFonts w:ascii="Times New Roman" w:hAnsi="Times New Roman"/>
          <w:color w:val="000000"/>
          <w:sz w:val="24"/>
          <w:szCs w:val="24"/>
        </w:rPr>
      </w:pPr>
    </w:p>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701"/>
        <w:gridCol w:w="3119"/>
        <w:gridCol w:w="2686"/>
      </w:tblGrid>
      <w:tr w:rsidR="00651284" w:rsidRPr="003B10E2" w14:paraId="47B459CD" w14:textId="77777777" w:rsidTr="002D341E">
        <w:tc>
          <w:tcPr>
            <w:tcW w:w="1838" w:type="dxa"/>
            <w:tcBorders>
              <w:bottom w:val="double" w:sz="4" w:space="0" w:color="000000"/>
            </w:tcBorders>
            <w:shd w:val="clear" w:color="auto" w:fill="auto"/>
          </w:tcPr>
          <w:p w14:paraId="3A631981" w14:textId="77777777" w:rsidR="00651284" w:rsidRPr="003B10E2" w:rsidRDefault="00651284" w:rsidP="002D341E">
            <w:pPr>
              <w:widowControl w:val="0"/>
              <w:spacing w:after="0" w:line="360" w:lineRule="auto"/>
              <w:jc w:val="center"/>
              <w:rPr>
                <w:rFonts w:ascii="Times New Roman" w:hAnsi="Times New Roman"/>
                <w:color w:val="000000"/>
              </w:rPr>
            </w:pPr>
            <w:r w:rsidRPr="003B10E2">
              <w:rPr>
                <w:rFonts w:ascii="Times New Roman" w:hAnsi="Times New Roman"/>
                <w:color w:val="000000"/>
              </w:rPr>
              <w:t>Внешний шок</w:t>
            </w:r>
          </w:p>
        </w:tc>
        <w:tc>
          <w:tcPr>
            <w:tcW w:w="1701" w:type="dxa"/>
            <w:tcBorders>
              <w:bottom w:val="double" w:sz="4" w:space="0" w:color="000000"/>
            </w:tcBorders>
            <w:shd w:val="clear" w:color="auto" w:fill="auto"/>
          </w:tcPr>
          <w:p w14:paraId="06D63060" w14:textId="77777777" w:rsidR="00651284" w:rsidRPr="003B10E2" w:rsidRDefault="00651284" w:rsidP="002D341E">
            <w:pPr>
              <w:widowControl w:val="0"/>
              <w:spacing w:after="0" w:line="360" w:lineRule="auto"/>
              <w:jc w:val="center"/>
              <w:rPr>
                <w:rFonts w:ascii="Times New Roman" w:hAnsi="Times New Roman"/>
                <w:color w:val="000000"/>
              </w:rPr>
            </w:pPr>
            <w:r w:rsidRPr="003B10E2">
              <w:rPr>
                <w:rFonts w:ascii="Times New Roman" w:hAnsi="Times New Roman"/>
                <w:color w:val="000000"/>
              </w:rPr>
              <w:t>Канал</w:t>
            </w:r>
          </w:p>
        </w:tc>
        <w:tc>
          <w:tcPr>
            <w:tcW w:w="3119" w:type="dxa"/>
            <w:tcBorders>
              <w:bottom w:val="double" w:sz="4" w:space="0" w:color="000000"/>
            </w:tcBorders>
            <w:shd w:val="clear" w:color="auto" w:fill="auto"/>
          </w:tcPr>
          <w:p w14:paraId="620A836D" w14:textId="77777777" w:rsidR="00651284" w:rsidRPr="003B10E2" w:rsidRDefault="00651284" w:rsidP="002D341E">
            <w:pPr>
              <w:widowControl w:val="0"/>
              <w:spacing w:after="0" w:line="360" w:lineRule="auto"/>
              <w:jc w:val="center"/>
              <w:rPr>
                <w:rFonts w:ascii="Times New Roman" w:hAnsi="Times New Roman"/>
                <w:color w:val="000000"/>
              </w:rPr>
            </w:pPr>
            <w:r w:rsidRPr="003B10E2">
              <w:rPr>
                <w:rFonts w:ascii="Times New Roman" w:hAnsi="Times New Roman"/>
                <w:color w:val="000000"/>
              </w:rPr>
              <w:t>Поведение инвесторов</w:t>
            </w:r>
          </w:p>
        </w:tc>
        <w:tc>
          <w:tcPr>
            <w:tcW w:w="2686" w:type="dxa"/>
            <w:tcBorders>
              <w:bottom w:val="double" w:sz="4" w:space="0" w:color="000000"/>
            </w:tcBorders>
            <w:shd w:val="clear" w:color="auto" w:fill="auto"/>
          </w:tcPr>
          <w:p w14:paraId="4860E169" w14:textId="77777777" w:rsidR="00651284" w:rsidRPr="003B10E2" w:rsidRDefault="00651284" w:rsidP="002D341E">
            <w:pPr>
              <w:widowControl w:val="0"/>
              <w:spacing w:after="0" w:line="360" w:lineRule="auto"/>
              <w:jc w:val="center"/>
              <w:rPr>
                <w:rFonts w:ascii="Times New Roman" w:hAnsi="Times New Roman"/>
                <w:color w:val="000000"/>
              </w:rPr>
            </w:pPr>
            <w:r w:rsidRPr="003B10E2">
              <w:rPr>
                <w:rFonts w:ascii="Times New Roman" w:hAnsi="Times New Roman"/>
                <w:color w:val="000000"/>
              </w:rPr>
              <w:t>Структурные изменения</w:t>
            </w:r>
          </w:p>
        </w:tc>
      </w:tr>
      <w:tr w:rsidR="00651284" w:rsidRPr="003B10E2" w14:paraId="78A7D7B8" w14:textId="77777777" w:rsidTr="002D341E">
        <w:trPr>
          <w:trHeight w:val="1590"/>
        </w:trPr>
        <w:tc>
          <w:tcPr>
            <w:tcW w:w="1838" w:type="dxa"/>
            <w:vMerge w:val="restart"/>
            <w:tcBorders>
              <w:top w:val="double" w:sz="4" w:space="0" w:color="000000"/>
            </w:tcBorders>
            <w:shd w:val="clear" w:color="auto" w:fill="auto"/>
          </w:tcPr>
          <w:p w14:paraId="6CE5F373" w14:textId="77777777" w:rsidR="00651284" w:rsidRPr="003B10E2" w:rsidRDefault="00651284" w:rsidP="002D341E">
            <w:pPr>
              <w:widowControl w:val="0"/>
              <w:spacing w:after="0" w:line="240" w:lineRule="auto"/>
              <w:rPr>
                <w:rFonts w:ascii="Times New Roman" w:hAnsi="Times New Roman"/>
                <w:color w:val="000000"/>
              </w:rPr>
            </w:pPr>
            <w:r w:rsidRPr="003B10E2">
              <w:rPr>
                <w:rFonts w:ascii="Times New Roman" w:hAnsi="Times New Roman"/>
                <w:color w:val="000000"/>
              </w:rPr>
              <w:t>Международный финансовый кризис 2008 г.</w:t>
            </w:r>
          </w:p>
        </w:tc>
        <w:tc>
          <w:tcPr>
            <w:tcW w:w="1701" w:type="dxa"/>
            <w:tcBorders>
              <w:top w:val="double" w:sz="4" w:space="0" w:color="000000"/>
            </w:tcBorders>
            <w:shd w:val="clear" w:color="auto" w:fill="auto"/>
          </w:tcPr>
          <w:p w14:paraId="4CB964C8" w14:textId="77777777" w:rsidR="00651284" w:rsidRPr="003B10E2" w:rsidRDefault="00651284" w:rsidP="002D341E">
            <w:pPr>
              <w:widowControl w:val="0"/>
              <w:spacing w:after="0" w:line="240" w:lineRule="auto"/>
              <w:rPr>
                <w:rFonts w:ascii="Times New Roman" w:hAnsi="Times New Roman"/>
                <w:color w:val="000000"/>
              </w:rPr>
            </w:pPr>
            <w:r w:rsidRPr="003B10E2">
              <w:rPr>
                <w:rFonts w:ascii="Times New Roman" w:hAnsi="Times New Roman"/>
                <w:color w:val="000000"/>
              </w:rPr>
              <w:t>Канал предложения ликвидности*.</w:t>
            </w:r>
          </w:p>
          <w:p w14:paraId="7F5C3CF8" w14:textId="77777777" w:rsidR="00651284" w:rsidRPr="003B10E2" w:rsidRDefault="00651284" w:rsidP="002D341E">
            <w:pPr>
              <w:widowControl w:val="0"/>
              <w:spacing w:after="0" w:line="240" w:lineRule="auto"/>
              <w:rPr>
                <w:rFonts w:ascii="Times New Roman" w:hAnsi="Times New Roman"/>
                <w:color w:val="000000"/>
                <w:lang w:val="en-US"/>
              </w:rPr>
            </w:pPr>
          </w:p>
        </w:tc>
        <w:tc>
          <w:tcPr>
            <w:tcW w:w="3119" w:type="dxa"/>
            <w:tcBorders>
              <w:top w:val="double" w:sz="4" w:space="0" w:color="000000"/>
            </w:tcBorders>
            <w:shd w:val="clear" w:color="auto" w:fill="auto"/>
          </w:tcPr>
          <w:p w14:paraId="109C0104" w14:textId="77777777" w:rsidR="00651284" w:rsidRPr="003B10E2" w:rsidRDefault="00651284" w:rsidP="002D341E">
            <w:pPr>
              <w:widowControl w:val="0"/>
              <w:spacing w:after="0" w:line="240" w:lineRule="auto"/>
              <w:rPr>
                <w:rFonts w:ascii="Times New Roman" w:hAnsi="Times New Roman"/>
                <w:color w:val="000000"/>
              </w:rPr>
            </w:pPr>
            <w:r w:rsidRPr="003B10E2">
              <w:rPr>
                <w:rFonts w:ascii="Times New Roman" w:hAnsi="Times New Roman"/>
                <w:color w:val="000000"/>
              </w:rPr>
              <w:t xml:space="preserve">1. В результате вливания ликвидности и распространения </w:t>
            </w:r>
          </w:p>
          <w:p w14:paraId="4BDFA0F0" w14:textId="77777777" w:rsidR="00651284" w:rsidRPr="003B10E2" w:rsidRDefault="00651284" w:rsidP="002D341E">
            <w:pPr>
              <w:widowControl w:val="0"/>
              <w:spacing w:after="0" w:line="240" w:lineRule="auto"/>
              <w:rPr>
                <w:rFonts w:ascii="Times New Roman" w:hAnsi="Times New Roman"/>
                <w:color w:val="000000"/>
              </w:rPr>
            </w:pPr>
            <w:r w:rsidRPr="003B10E2">
              <w:rPr>
                <w:rFonts w:ascii="Times New Roman" w:hAnsi="Times New Roman"/>
                <w:color w:val="000000"/>
              </w:rPr>
              <w:t xml:space="preserve">стилевого инвестирования нерезиденты вкладывают средства в наиболее растущие и рискованные </w:t>
            </w:r>
            <w:r w:rsidR="007D6D04" w:rsidRPr="003B10E2">
              <w:rPr>
                <w:rFonts w:ascii="Times New Roman" w:hAnsi="Times New Roman"/>
                <w:color w:val="000000"/>
              </w:rPr>
              <w:t xml:space="preserve">китайские </w:t>
            </w:r>
            <w:r w:rsidRPr="003B10E2">
              <w:rPr>
                <w:rFonts w:ascii="Times New Roman" w:hAnsi="Times New Roman"/>
                <w:color w:val="000000"/>
              </w:rPr>
              <w:t>активы, поэтому средства из российских акций (они показывают консервативную доходность) направляются в акции быстро растущих рынков (Китай, США). Эффект стилевого инвестирования ранее доказан на рынках Китая и США [168, 170, 178].</w:t>
            </w:r>
          </w:p>
          <w:p w14:paraId="5D2DF0A7" w14:textId="77777777" w:rsidR="00651284" w:rsidRPr="003B10E2" w:rsidRDefault="00651284" w:rsidP="002D341E">
            <w:pPr>
              <w:widowControl w:val="0"/>
              <w:spacing w:after="0" w:line="240" w:lineRule="auto"/>
              <w:rPr>
                <w:rFonts w:ascii="Times New Roman" w:hAnsi="Times New Roman"/>
                <w:color w:val="000000"/>
              </w:rPr>
            </w:pPr>
          </w:p>
        </w:tc>
        <w:tc>
          <w:tcPr>
            <w:tcW w:w="2686" w:type="dxa"/>
            <w:tcBorders>
              <w:top w:val="double" w:sz="4" w:space="0" w:color="000000"/>
            </w:tcBorders>
            <w:shd w:val="clear" w:color="auto" w:fill="auto"/>
          </w:tcPr>
          <w:p w14:paraId="46760BDD" w14:textId="77777777" w:rsidR="00651284" w:rsidRPr="003B10E2" w:rsidRDefault="00651284" w:rsidP="002D341E">
            <w:pPr>
              <w:widowControl w:val="0"/>
              <w:spacing w:after="0" w:line="240" w:lineRule="auto"/>
              <w:rPr>
                <w:rFonts w:ascii="Times New Roman" w:hAnsi="Times New Roman"/>
                <w:color w:val="000000"/>
              </w:rPr>
            </w:pPr>
            <w:r w:rsidRPr="003B10E2">
              <w:rPr>
                <w:rFonts w:ascii="Times New Roman" w:hAnsi="Times New Roman"/>
                <w:color w:val="000000"/>
              </w:rPr>
              <w:t xml:space="preserve">1. </w:t>
            </w:r>
            <w:r w:rsidR="0057285F" w:rsidRPr="003B10E2">
              <w:rPr>
                <w:rFonts w:ascii="Times New Roman" w:hAnsi="Times New Roman"/>
                <w:color w:val="000000"/>
              </w:rPr>
              <w:t>Переток инвестиций наиболее растущие и рискованные</w:t>
            </w:r>
            <w:r w:rsidR="007D6D04" w:rsidRPr="003B10E2">
              <w:rPr>
                <w:rFonts w:ascii="Times New Roman" w:hAnsi="Times New Roman"/>
                <w:color w:val="000000"/>
              </w:rPr>
              <w:t xml:space="preserve"> китайские</w:t>
            </w:r>
            <w:r w:rsidR="0057285F" w:rsidRPr="003B10E2">
              <w:rPr>
                <w:rFonts w:ascii="Times New Roman" w:hAnsi="Times New Roman"/>
                <w:color w:val="000000"/>
              </w:rPr>
              <w:t xml:space="preserve"> активы из российских акций.</w:t>
            </w:r>
          </w:p>
          <w:p w14:paraId="39B1E4EB" w14:textId="77777777" w:rsidR="00651284" w:rsidRPr="003B10E2" w:rsidRDefault="00651284" w:rsidP="002D341E">
            <w:pPr>
              <w:widowControl w:val="0"/>
              <w:spacing w:after="0" w:line="240" w:lineRule="auto"/>
              <w:rPr>
                <w:rFonts w:ascii="Times New Roman" w:hAnsi="Times New Roman"/>
                <w:color w:val="000000"/>
              </w:rPr>
            </w:pPr>
          </w:p>
        </w:tc>
      </w:tr>
      <w:tr w:rsidR="00651284" w:rsidRPr="003B10E2" w14:paraId="7E2FBD52" w14:textId="77777777" w:rsidTr="002D341E">
        <w:trPr>
          <w:trHeight w:val="1590"/>
        </w:trPr>
        <w:tc>
          <w:tcPr>
            <w:tcW w:w="1838" w:type="dxa"/>
            <w:vMerge/>
            <w:shd w:val="clear" w:color="auto" w:fill="auto"/>
          </w:tcPr>
          <w:p w14:paraId="5A0BB191" w14:textId="77777777" w:rsidR="00651284" w:rsidRPr="003B10E2" w:rsidRDefault="00651284" w:rsidP="002D341E">
            <w:pPr>
              <w:widowControl w:val="0"/>
              <w:spacing w:after="0" w:line="240" w:lineRule="auto"/>
              <w:rPr>
                <w:rFonts w:ascii="Times New Roman" w:hAnsi="Times New Roman"/>
                <w:color w:val="000000"/>
              </w:rPr>
            </w:pPr>
          </w:p>
        </w:tc>
        <w:tc>
          <w:tcPr>
            <w:tcW w:w="1701" w:type="dxa"/>
            <w:shd w:val="clear" w:color="auto" w:fill="auto"/>
          </w:tcPr>
          <w:p w14:paraId="0DA7EE1B" w14:textId="77777777" w:rsidR="00651284" w:rsidRPr="003B10E2" w:rsidRDefault="00651284" w:rsidP="002D341E">
            <w:pPr>
              <w:widowControl w:val="0"/>
              <w:spacing w:after="0" w:line="240" w:lineRule="auto"/>
              <w:rPr>
                <w:rFonts w:ascii="Times New Roman" w:hAnsi="Times New Roman"/>
                <w:color w:val="000000"/>
              </w:rPr>
            </w:pPr>
            <w:r w:rsidRPr="003B10E2">
              <w:rPr>
                <w:rFonts w:ascii="Times New Roman" w:hAnsi="Times New Roman"/>
                <w:color w:val="000000"/>
              </w:rPr>
              <w:t>Канал предложения</w:t>
            </w:r>
          </w:p>
          <w:p w14:paraId="7E6640E5" w14:textId="77777777" w:rsidR="00651284" w:rsidRPr="003B10E2" w:rsidRDefault="00651284" w:rsidP="002D341E">
            <w:pPr>
              <w:widowControl w:val="0"/>
              <w:spacing w:after="0" w:line="240" w:lineRule="auto"/>
              <w:rPr>
                <w:rFonts w:ascii="Times New Roman" w:hAnsi="Times New Roman"/>
                <w:color w:val="000000"/>
              </w:rPr>
            </w:pPr>
            <w:r w:rsidRPr="003B10E2">
              <w:rPr>
                <w:rFonts w:ascii="Times New Roman" w:hAnsi="Times New Roman"/>
                <w:color w:val="000000"/>
              </w:rPr>
              <w:t>ликвидности</w:t>
            </w:r>
            <w:r w:rsidRPr="003B10E2">
              <w:rPr>
                <w:rStyle w:val="ac"/>
                <w:rFonts w:ascii="Times New Roman" w:hAnsi="Times New Roman"/>
                <w:color w:val="000000"/>
              </w:rPr>
              <w:footnoteReference w:id="9"/>
            </w:r>
            <w:r w:rsidRPr="003B10E2">
              <w:rPr>
                <w:rFonts w:ascii="Times New Roman" w:hAnsi="Times New Roman"/>
                <w:color w:val="000000"/>
                <w:vertAlign w:val="superscript"/>
              </w:rPr>
              <w:t>.</w:t>
            </w:r>
          </w:p>
        </w:tc>
        <w:tc>
          <w:tcPr>
            <w:tcW w:w="3119" w:type="dxa"/>
            <w:shd w:val="clear" w:color="auto" w:fill="auto"/>
          </w:tcPr>
          <w:p w14:paraId="33D48F26" w14:textId="77777777" w:rsidR="00651284" w:rsidRPr="003B10E2" w:rsidRDefault="00651284" w:rsidP="002D341E">
            <w:pPr>
              <w:widowControl w:val="0"/>
              <w:spacing w:after="0" w:line="240" w:lineRule="auto"/>
              <w:rPr>
                <w:rFonts w:ascii="Times New Roman" w:hAnsi="Times New Roman"/>
                <w:color w:val="000000"/>
              </w:rPr>
            </w:pPr>
            <w:r w:rsidRPr="003B10E2">
              <w:rPr>
                <w:rFonts w:ascii="Times New Roman" w:hAnsi="Times New Roman"/>
                <w:color w:val="000000"/>
              </w:rPr>
              <w:t>2. Стимулирующие меры центробанков в развитых странах [247, 249] привели к повышению ликвидности. На фоне этого стала расти популярность индексных инвестиций и покупка индексов крупнейшими инвесторами развивающихся стран. Поскольку по своей природе индексные инвестиции имеют короткий срок вложения, они могут быстро перемещаться с одного рынка на другой.</w:t>
            </w:r>
          </w:p>
        </w:tc>
        <w:tc>
          <w:tcPr>
            <w:tcW w:w="2686" w:type="dxa"/>
            <w:shd w:val="clear" w:color="auto" w:fill="auto"/>
          </w:tcPr>
          <w:p w14:paraId="7C846551" w14:textId="77777777" w:rsidR="00651284" w:rsidRPr="003B10E2" w:rsidRDefault="00651284" w:rsidP="002D341E">
            <w:pPr>
              <w:widowControl w:val="0"/>
              <w:spacing w:after="0" w:line="240" w:lineRule="auto"/>
              <w:rPr>
                <w:rFonts w:ascii="Times New Roman" w:hAnsi="Times New Roman"/>
                <w:color w:val="000000"/>
              </w:rPr>
            </w:pPr>
            <w:r w:rsidRPr="003B10E2">
              <w:rPr>
                <w:rFonts w:ascii="Times New Roman" w:hAnsi="Times New Roman"/>
                <w:color w:val="000000"/>
              </w:rPr>
              <w:t xml:space="preserve">2. Сохранение доли инвесторов-нерезидентов на уровне 40-50%, несмотря на снижение долларовой капитализации и объемов торгов. Ранее был доказан тот факт, инвесторы-нерезиденты в </w:t>
            </w:r>
            <w:r w:rsidR="007D6D04" w:rsidRPr="003B10E2">
              <w:rPr>
                <w:rFonts w:ascii="Times New Roman" w:hAnsi="Times New Roman"/>
                <w:color w:val="000000"/>
              </w:rPr>
              <w:t xml:space="preserve">Китае и </w:t>
            </w:r>
            <w:r w:rsidRPr="003B10E2">
              <w:rPr>
                <w:rFonts w:ascii="Times New Roman" w:hAnsi="Times New Roman"/>
                <w:color w:val="000000"/>
              </w:rPr>
              <w:t>России – это прежде всего индексные инвесторы, а не кэрри-трейдеры. Так как индексные инвестиции используются преимущественно инвесторами-нерезидентами</w:t>
            </w:r>
            <w:r w:rsidR="007C437C">
              <w:rPr>
                <w:rFonts w:ascii="Times New Roman" w:hAnsi="Times New Roman"/>
                <w:color w:val="000000"/>
              </w:rPr>
              <w:t>.</w:t>
            </w:r>
          </w:p>
        </w:tc>
      </w:tr>
    </w:tbl>
    <w:p w14:paraId="087EFE62" w14:textId="77777777" w:rsidR="00820407" w:rsidRPr="003B10E2" w:rsidRDefault="00820407" w:rsidP="00820407">
      <w:pPr>
        <w:spacing w:after="0" w:line="360" w:lineRule="auto"/>
        <w:contextualSpacing/>
        <w:jc w:val="both"/>
        <w:rPr>
          <w:rFonts w:ascii="Times New Roman" w:hAnsi="Times New Roman"/>
          <w:bCs/>
          <w:color w:val="000000"/>
          <w:sz w:val="24"/>
          <w:szCs w:val="24"/>
        </w:rPr>
      </w:pPr>
      <w:r w:rsidRPr="003B10E2">
        <w:rPr>
          <w:rFonts w:ascii="Times New Roman" w:hAnsi="Times New Roman"/>
          <w:bCs/>
          <w:color w:val="000000"/>
          <w:sz w:val="24"/>
          <w:szCs w:val="24"/>
        </w:rPr>
        <w:t>Продолжение таблицы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559"/>
        <w:gridCol w:w="3261"/>
        <w:gridCol w:w="2687"/>
      </w:tblGrid>
      <w:tr w:rsidR="00820407" w:rsidRPr="003B10E2" w14:paraId="1F54E32D" w14:textId="77777777" w:rsidTr="002D341E">
        <w:tc>
          <w:tcPr>
            <w:tcW w:w="1838" w:type="dxa"/>
            <w:shd w:val="clear" w:color="auto" w:fill="auto"/>
          </w:tcPr>
          <w:p w14:paraId="0AF1B85E" w14:textId="77777777" w:rsidR="00820407" w:rsidRPr="003B10E2" w:rsidRDefault="00820407" w:rsidP="002D341E">
            <w:pPr>
              <w:spacing w:after="0" w:line="360" w:lineRule="auto"/>
              <w:contextualSpacing/>
              <w:jc w:val="center"/>
              <w:rPr>
                <w:rFonts w:ascii="Times New Roman" w:hAnsi="Times New Roman"/>
                <w:bCs/>
                <w:color w:val="000000"/>
              </w:rPr>
            </w:pPr>
            <w:r w:rsidRPr="003B10E2">
              <w:rPr>
                <w:rFonts w:ascii="Times New Roman" w:hAnsi="Times New Roman"/>
                <w:bCs/>
                <w:color w:val="000000"/>
              </w:rPr>
              <w:t>1</w:t>
            </w:r>
          </w:p>
        </w:tc>
        <w:tc>
          <w:tcPr>
            <w:tcW w:w="1559" w:type="dxa"/>
            <w:shd w:val="clear" w:color="auto" w:fill="auto"/>
          </w:tcPr>
          <w:p w14:paraId="763A9B8D" w14:textId="77777777" w:rsidR="00820407" w:rsidRPr="003B10E2" w:rsidRDefault="00820407" w:rsidP="002D341E">
            <w:pPr>
              <w:spacing w:after="0" w:line="360" w:lineRule="auto"/>
              <w:contextualSpacing/>
              <w:jc w:val="center"/>
              <w:rPr>
                <w:rFonts w:ascii="Times New Roman" w:hAnsi="Times New Roman"/>
                <w:bCs/>
                <w:color w:val="000000"/>
              </w:rPr>
            </w:pPr>
            <w:r w:rsidRPr="003B10E2">
              <w:rPr>
                <w:rFonts w:ascii="Times New Roman" w:hAnsi="Times New Roman"/>
                <w:bCs/>
                <w:color w:val="000000"/>
              </w:rPr>
              <w:t>2</w:t>
            </w:r>
          </w:p>
        </w:tc>
        <w:tc>
          <w:tcPr>
            <w:tcW w:w="3261" w:type="dxa"/>
            <w:shd w:val="clear" w:color="auto" w:fill="auto"/>
          </w:tcPr>
          <w:p w14:paraId="416E7346" w14:textId="77777777" w:rsidR="00820407" w:rsidRPr="003B10E2" w:rsidRDefault="00820407" w:rsidP="002D341E">
            <w:pPr>
              <w:spacing w:after="0" w:line="360" w:lineRule="auto"/>
              <w:contextualSpacing/>
              <w:jc w:val="center"/>
              <w:rPr>
                <w:rFonts w:ascii="Times New Roman" w:hAnsi="Times New Roman"/>
                <w:bCs/>
                <w:color w:val="000000"/>
              </w:rPr>
            </w:pPr>
            <w:r w:rsidRPr="003B10E2">
              <w:rPr>
                <w:rFonts w:ascii="Times New Roman" w:hAnsi="Times New Roman"/>
                <w:bCs/>
                <w:color w:val="000000"/>
              </w:rPr>
              <w:t>3</w:t>
            </w:r>
          </w:p>
        </w:tc>
        <w:tc>
          <w:tcPr>
            <w:tcW w:w="2687" w:type="dxa"/>
            <w:shd w:val="clear" w:color="auto" w:fill="auto"/>
          </w:tcPr>
          <w:p w14:paraId="4549126E" w14:textId="77777777" w:rsidR="00820407" w:rsidRPr="003B10E2" w:rsidRDefault="00820407" w:rsidP="002D341E">
            <w:pPr>
              <w:spacing w:after="0" w:line="360" w:lineRule="auto"/>
              <w:contextualSpacing/>
              <w:jc w:val="center"/>
              <w:rPr>
                <w:rFonts w:ascii="Times New Roman" w:hAnsi="Times New Roman"/>
                <w:bCs/>
                <w:color w:val="000000"/>
              </w:rPr>
            </w:pPr>
            <w:r w:rsidRPr="003B10E2">
              <w:rPr>
                <w:rFonts w:ascii="Times New Roman" w:hAnsi="Times New Roman"/>
                <w:bCs/>
                <w:color w:val="000000"/>
              </w:rPr>
              <w:t>4</w:t>
            </w:r>
          </w:p>
        </w:tc>
      </w:tr>
      <w:tr w:rsidR="00820407" w:rsidRPr="003B10E2" w14:paraId="12B6125A" w14:textId="77777777" w:rsidTr="002D341E">
        <w:trPr>
          <w:trHeight w:val="518"/>
        </w:trPr>
        <w:tc>
          <w:tcPr>
            <w:tcW w:w="1838" w:type="dxa"/>
            <w:vMerge w:val="restart"/>
            <w:shd w:val="clear" w:color="auto" w:fill="auto"/>
          </w:tcPr>
          <w:p w14:paraId="169BE754" w14:textId="77777777" w:rsidR="00820407" w:rsidRPr="003B10E2" w:rsidRDefault="00820407" w:rsidP="002D341E">
            <w:pPr>
              <w:widowControl w:val="0"/>
              <w:spacing w:after="0" w:line="240" w:lineRule="auto"/>
              <w:rPr>
                <w:rFonts w:ascii="Times New Roman" w:hAnsi="Times New Roman"/>
                <w:color w:val="000000"/>
                <w:lang w:val="en-US"/>
              </w:rPr>
            </w:pPr>
            <w:r w:rsidRPr="003B10E2">
              <w:rPr>
                <w:rFonts w:ascii="Times New Roman" w:hAnsi="Times New Roman"/>
                <w:color w:val="000000"/>
                <w:lang w:val="en-US"/>
              </w:rPr>
              <w:t>Финансовый кризис 2014 г.</w:t>
            </w:r>
          </w:p>
          <w:p w14:paraId="76063AE8" w14:textId="77777777" w:rsidR="00820407" w:rsidRPr="003B10E2" w:rsidRDefault="00820407" w:rsidP="002D341E">
            <w:pPr>
              <w:widowControl w:val="0"/>
              <w:spacing w:after="0" w:line="240" w:lineRule="auto"/>
              <w:rPr>
                <w:rFonts w:ascii="Times New Roman" w:hAnsi="Times New Roman"/>
                <w:color w:val="000000"/>
                <w:lang w:val="en-US"/>
              </w:rPr>
            </w:pPr>
          </w:p>
        </w:tc>
        <w:tc>
          <w:tcPr>
            <w:tcW w:w="1559" w:type="dxa"/>
            <w:vMerge w:val="restart"/>
            <w:shd w:val="clear" w:color="auto" w:fill="auto"/>
          </w:tcPr>
          <w:p w14:paraId="680EDBBA" w14:textId="77777777" w:rsidR="00820407" w:rsidRPr="003B10E2" w:rsidRDefault="00820407" w:rsidP="002D341E">
            <w:pPr>
              <w:widowControl w:val="0"/>
              <w:spacing w:after="0" w:line="240" w:lineRule="auto"/>
              <w:rPr>
                <w:rFonts w:ascii="Times New Roman" w:hAnsi="Times New Roman"/>
                <w:color w:val="000000"/>
              </w:rPr>
            </w:pPr>
            <w:r w:rsidRPr="003B10E2">
              <w:rPr>
                <w:rFonts w:ascii="Times New Roman" w:hAnsi="Times New Roman"/>
                <w:color w:val="000000"/>
              </w:rPr>
              <w:t>Канал риск-аппетита глобальных инвесторов.</w:t>
            </w:r>
          </w:p>
          <w:p w14:paraId="1D105BBE" w14:textId="77777777" w:rsidR="00820407" w:rsidRPr="003B10E2" w:rsidRDefault="00820407" w:rsidP="002D341E">
            <w:pPr>
              <w:widowControl w:val="0"/>
              <w:spacing w:after="0" w:line="240" w:lineRule="auto"/>
              <w:rPr>
                <w:rFonts w:ascii="Times New Roman" w:hAnsi="Times New Roman"/>
                <w:color w:val="000000"/>
              </w:rPr>
            </w:pPr>
          </w:p>
        </w:tc>
        <w:tc>
          <w:tcPr>
            <w:tcW w:w="3261" w:type="dxa"/>
            <w:shd w:val="clear" w:color="auto" w:fill="auto"/>
          </w:tcPr>
          <w:p w14:paraId="179C5474" w14:textId="77777777" w:rsidR="00820407" w:rsidRPr="003B10E2" w:rsidRDefault="00820407" w:rsidP="002D341E">
            <w:pPr>
              <w:widowControl w:val="0"/>
              <w:spacing w:after="0" w:line="240" w:lineRule="auto"/>
              <w:rPr>
                <w:rFonts w:ascii="Times New Roman" w:hAnsi="Times New Roman"/>
                <w:color w:val="000000"/>
              </w:rPr>
            </w:pPr>
            <w:r w:rsidRPr="003B10E2">
              <w:rPr>
                <w:rFonts w:ascii="Times New Roman" w:hAnsi="Times New Roman"/>
                <w:color w:val="000000"/>
              </w:rPr>
              <w:t>3. Институциональные инвесторы стали искать рискованные рынки для получения приемлемого уровня долларовой доходности (4-10%). Политика отрицательных ставок привела к притоку инвесторов в рискованные активы (мусорные облигации, американские акции и золото).</w:t>
            </w:r>
          </w:p>
          <w:p w14:paraId="6360A41B" w14:textId="77777777" w:rsidR="00820407" w:rsidRPr="003B10E2" w:rsidRDefault="00820407" w:rsidP="002D341E">
            <w:pPr>
              <w:widowControl w:val="0"/>
              <w:spacing w:after="0" w:line="240" w:lineRule="auto"/>
              <w:rPr>
                <w:rFonts w:ascii="Times New Roman" w:hAnsi="Times New Roman"/>
                <w:color w:val="000000"/>
              </w:rPr>
            </w:pPr>
            <w:r w:rsidRPr="003B10E2">
              <w:rPr>
                <w:rFonts w:ascii="Times New Roman" w:hAnsi="Times New Roman"/>
                <w:color w:val="000000"/>
              </w:rPr>
              <w:t>Многие российские акции стали «неинтересными».</w:t>
            </w:r>
          </w:p>
        </w:tc>
        <w:tc>
          <w:tcPr>
            <w:tcW w:w="2687" w:type="dxa"/>
            <w:shd w:val="clear" w:color="auto" w:fill="auto"/>
          </w:tcPr>
          <w:p w14:paraId="0D8481F8" w14:textId="77777777" w:rsidR="00820407" w:rsidRPr="003B10E2" w:rsidRDefault="00820407" w:rsidP="002D341E">
            <w:pPr>
              <w:widowControl w:val="0"/>
              <w:spacing w:after="0" w:line="240" w:lineRule="auto"/>
              <w:rPr>
                <w:rFonts w:ascii="Times New Roman" w:hAnsi="Times New Roman"/>
                <w:color w:val="000000"/>
              </w:rPr>
            </w:pPr>
            <w:r w:rsidRPr="003B10E2">
              <w:rPr>
                <w:rFonts w:ascii="Times New Roman" w:hAnsi="Times New Roman"/>
                <w:color w:val="000000"/>
              </w:rPr>
              <w:t>3. В условиях низких глобальных процентных ставок</w:t>
            </w:r>
          </w:p>
          <w:p w14:paraId="2F7AB89F" w14:textId="77777777" w:rsidR="00820407" w:rsidRPr="003B10E2" w:rsidRDefault="00820407" w:rsidP="002D341E">
            <w:pPr>
              <w:widowControl w:val="0"/>
              <w:spacing w:after="0" w:line="240" w:lineRule="auto"/>
              <w:rPr>
                <w:rFonts w:ascii="Times New Roman" w:hAnsi="Times New Roman"/>
                <w:color w:val="000000"/>
              </w:rPr>
            </w:pPr>
            <w:r w:rsidRPr="003B10E2">
              <w:rPr>
                <w:rFonts w:ascii="Times New Roman" w:hAnsi="Times New Roman"/>
                <w:color w:val="000000"/>
              </w:rPr>
              <w:t>отношение капитализации к ВВП и отношение объемов торгов к ВВП России находится не выше уровня 2007 года. При этом продолжается сохранение доли нерезидентов несмотря на риск антироссийских санкций.</w:t>
            </w:r>
            <w:r w:rsidR="007D6D04" w:rsidRPr="003B10E2">
              <w:rPr>
                <w:sz w:val="20"/>
                <w:szCs w:val="20"/>
              </w:rPr>
              <w:t xml:space="preserve"> О</w:t>
            </w:r>
            <w:r w:rsidR="007D6D04" w:rsidRPr="003B10E2">
              <w:rPr>
                <w:rFonts w:ascii="Times New Roman" w:hAnsi="Times New Roman"/>
                <w:color w:val="000000"/>
              </w:rPr>
              <w:t>тношение капитализации к ВВП и отношение объемов торгов к ВВП Китая заметно выше, чем в России.</w:t>
            </w:r>
          </w:p>
          <w:p w14:paraId="12098814" w14:textId="77777777" w:rsidR="00820407" w:rsidRPr="003B10E2" w:rsidRDefault="00820407" w:rsidP="002D341E">
            <w:pPr>
              <w:widowControl w:val="0"/>
              <w:spacing w:after="0" w:line="240" w:lineRule="auto"/>
              <w:rPr>
                <w:rFonts w:ascii="Times New Roman" w:hAnsi="Times New Roman"/>
                <w:color w:val="000000"/>
              </w:rPr>
            </w:pPr>
          </w:p>
        </w:tc>
      </w:tr>
      <w:tr w:rsidR="00820407" w:rsidRPr="003B10E2" w14:paraId="6C4443B4" w14:textId="77777777" w:rsidTr="002D341E">
        <w:trPr>
          <w:trHeight w:val="517"/>
        </w:trPr>
        <w:tc>
          <w:tcPr>
            <w:tcW w:w="1838" w:type="dxa"/>
            <w:vMerge/>
            <w:shd w:val="clear" w:color="auto" w:fill="auto"/>
          </w:tcPr>
          <w:p w14:paraId="6DEACB2D" w14:textId="77777777" w:rsidR="00820407" w:rsidRPr="003B10E2" w:rsidRDefault="00820407" w:rsidP="002D341E">
            <w:pPr>
              <w:widowControl w:val="0"/>
              <w:spacing w:after="0" w:line="240" w:lineRule="auto"/>
              <w:rPr>
                <w:rFonts w:ascii="Times New Roman" w:hAnsi="Times New Roman"/>
                <w:color w:val="000000"/>
                <w:sz w:val="20"/>
                <w:szCs w:val="20"/>
              </w:rPr>
            </w:pPr>
          </w:p>
        </w:tc>
        <w:tc>
          <w:tcPr>
            <w:tcW w:w="1559" w:type="dxa"/>
            <w:vMerge/>
            <w:shd w:val="clear" w:color="auto" w:fill="auto"/>
          </w:tcPr>
          <w:p w14:paraId="63817E4C" w14:textId="77777777" w:rsidR="00820407" w:rsidRPr="003B10E2" w:rsidRDefault="00820407" w:rsidP="002D341E">
            <w:pPr>
              <w:widowControl w:val="0"/>
              <w:spacing w:after="0" w:line="240" w:lineRule="auto"/>
              <w:rPr>
                <w:rFonts w:ascii="Times New Roman" w:hAnsi="Times New Roman"/>
                <w:color w:val="000000"/>
                <w:sz w:val="20"/>
                <w:szCs w:val="20"/>
              </w:rPr>
            </w:pPr>
          </w:p>
        </w:tc>
        <w:tc>
          <w:tcPr>
            <w:tcW w:w="3261" w:type="dxa"/>
            <w:shd w:val="clear" w:color="auto" w:fill="auto"/>
          </w:tcPr>
          <w:p w14:paraId="79D71AAC" w14:textId="77777777" w:rsidR="00820407" w:rsidRPr="003B10E2" w:rsidRDefault="00820407" w:rsidP="002D341E">
            <w:pPr>
              <w:widowControl w:val="0"/>
              <w:spacing w:after="0" w:line="240" w:lineRule="auto"/>
              <w:rPr>
                <w:rFonts w:ascii="Times New Roman" w:hAnsi="Times New Roman"/>
                <w:color w:val="000000"/>
              </w:rPr>
            </w:pPr>
            <w:r w:rsidRPr="003B10E2">
              <w:rPr>
                <w:rFonts w:ascii="Times New Roman" w:hAnsi="Times New Roman"/>
                <w:color w:val="000000"/>
              </w:rPr>
              <w:t>4. Повышенная премия за риск изменила отношение глобальных инвесторов к риску (оправданная доходность для такого уровня риска стала выше).</w:t>
            </w:r>
          </w:p>
          <w:p w14:paraId="4C273C5C" w14:textId="77777777" w:rsidR="00820407" w:rsidRPr="003B10E2" w:rsidRDefault="00820407" w:rsidP="002D341E">
            <w:pPr>
              <w:widowControl w:val="0"/>
              <w:spacing w:after="0" w:line="240" w:lineRule="auto"/>
              <w:rPr>
                <w:rFonts w:ascii="Times New Roman" w:hAnsi="Times New Roman"/>
                <w:color w:val="000000"/>
              </w:rPr>
            </w:pPr>
          </w:p>
        </w:tc>
        <w:tc>
          <w:tcPr>
            <w:tcW w:w="2687" w:type="dxa"/>
            <w:shd w:val="clear" w:color="auto" w:fill="auto"/>
          </w:tcPr>
          <w:p w14:paraId="18436346" w14:textId="77777777" w:rsidR="00820407" w:rsidRPr="003B10E2" w:rsidRDefault="00820407" w:rsidP="002D341E">
            <w:pPr>
              <w:widowControl w:val="0"/>
              <w:spacing w:after="0" w:line="240" w:lineRule="auto"/>
              <w:rPr>
                <w:rFonts w:ascii="Times New Roman" w:hAnsi="Times New Roman"/>
                <w:color w:val="000000"/>
              </w:rPr>
            </w:pPr>
            <w:r w:rsidRPr="003B10E2">
              <w:rPr>
                <w:rFonts w:ascii="Times New Roman" w:hAnsi="Times New Roman"/>
                <w:color w:val="000000"/>
              </w:rPr>
              <w:t xml:space="preserve">4. Рост дивидендной доходности </w:t>
            </w:r>
            <w:r w:rsidR="00142E20" w:rsidRPr="003B10E2">
              <w:rPr>
                <w:rFonts w:ascii="Times New Roman" w:hAnsi="Times New Roman"/>
                <w:color w:val="000000"/>
              </w:rPr>
              <w:t>китайских</w:t>
            </w:r>
            <w:r w:rsidR="007D6D04" w:rsidRPr="003B10E2">
              <w:rPr>
                <w:rFonts w:ascii="Times New Roman" w:hAnsi="Times New Roman"/>
                <w:color w:val="000000"/>
              </w:rPr>
              <w:t xml:space="preserve"> и </w:t>
            </w:r>
            <w:r w:rsidR="00142E20" w:rsidRPr="003B10E2">
              <w:rPr>
                <w:rFonts w:ascii="Times New Roman" w:hAnsi="Times New Roman"/>
                <w:color w:val="000000"/>
              </w:rPr>
              <w:t>российских</w:t>
            </w:r>
            <w:r w:rsidR="007D6D04" w:rsidRPr="003B10E2">
              <w:rPr>
                <w:rFonts w:ascii="Times New Roman" w:hAnsi="Times New Roman"/>
                <w:color w:val="000000"/>
              </w:rPr>
              <w:t xml:space="preserve"> акций </w:t>
            </w:r>
            <w:r w:rsidRPr="003B10E2">
              <w:rPr>
                <w:rFonts w:ascii="Times New Roman" w:hAnsi="Times New Roman"/>
                <w:color w:val="000000"/>
              </w:rPr>
              <w:t>отражает повышение премии за риск на рынке акций.</w:t>
            </w:r>
          </w:p>
        </w:tc>
      </w:tr>
      <w:tr w:rsidR="00820407" w:rsidRPr="003B10E2" w14:paraId="12A89256" w14:textId="77777777" w:rsidTr="002D341E">
        <w:tc>
          <w:tcPr>
            <w:tcW w:w="1838" w:type="dxa"/>
            <w:vMerge/>
            <w:shd w:val="clear" w:color="auto" w:fill="auto"/>
          </w:tcPr>
          <w:p w14:paraId="11E630FA" w14:textId="77777777" w:rsidR="00820407" w:rsidRPr="003B10E2" w:rsidRDefault="00820407" w:rsidP="002D341E">
            <w:pPr>
              <w:spacing w:after="0" w:line="360" w:lineRule="auto"/>
              <w:contextualSpacing/>
              <w:jc w:val="both"/>
              <w:rPr>
                <w:rFonts w:ascii="Times New Roman" w:hAnsi="Times New Roman"/>
                <w:bCs/>
                <w:color w:val="000000"/>
                <w:sz w:val="28"/>
                <w:szCs w:val="28"/>
              </w:rPr>
            </w:pPr>
          </w:p>
        </w:tc>
        <w:tc>
          <w:tcPr>
            <w:tcW w:w="1559" w:type="dxa"/>
            <w:shd w:val="clear" w:color="auto" w:fill="auto"/>
          </w:tcPr>
          <w:p w14:paraId="46F19F8A" w14:textId="77777777" w:rsidR="00820407" w:rsidRPr="003B10E2" w:rsidRDefault="00820407" w:rsidP="002D341E">
            <w:pPr>
              <w:widowControl w:val="0"/>
              <w:spacing w:after="0" w:line="240" w:lineRule="auto"/>
              <w:rPr>
                <w:rFonts w:ascii="Times New Roman" w:hAnsi="Times New Roman"/>
                <w:color w:val="000000"/>
              </w:rPr>
            </w:pPr>
            <w:r w:rsidRPr="003B10E2">
              <w:rPr>
                <w:rFonts w:ascii="Times New Roman" w:hAnsi="Times New Roman"/>
                <w:color w:val="000000"/>
                <w:lang w:val="en-US"/>
              </w:rPr>
              <w:t>Регуляторный канал</w:t>
            </w:r>
          </w:p>
        </w:tc>
        <w:tc>
          <w:tcPr>
            <w:tcW w:w="3261" w:type="dxa"/>
            <w:shd w:val="clear" w:color="auto" w:fill="auto"/>
          </w:tcPr>
          <w:p w14:paraId="3E825E3B" w14:textId="77777777" w:rsidR="00820407" w:rsidRPr="003B10E2" w:rsidRDefault="00820407" w:rsidP="002D341E">
            <w:pPr>
              <w:widowControl w:val="0"/>
              <w:spacing w:after="0" w:line="240" w:lineRule="auto"/>
              <w:rPr>
                <w:rFonts w:ascii="Times New Roman" w:hAnsi="Times New Roman"/>
                <w:color w:val="000000"/>
              </w:rPr>
            </w:pPr>
            <w:r w:rsidRPr="003B10E2">
              <w:rPr>
                <w:rFonts w:ascii="Times New Roman" w:hAnsi="Times New Roman"/>
                <w:color w:val="000000"/>
              </w:rPr>
              <w:t>5. Институциональные инвесторы уходят из акций.</w:t>
            </w:r>
          </w:p>
          <w:p w14:paraId="2A65C2E5" w14:textId="77777777" w:rsidR="00820407" w:rsidRPr="003B10E2" w:rsidRDefault="00820407" w:rsidP="002D341E">
            <w:pPr>
              <w:widowControl w:val="0"/>
              <w:spacing w:after="0" w:line="240" w:lineRule="auto"/>
              <w:rPr>
                <w:rFonts w:ascii="Times New Roman" w:hAnsi="Times New Roman"/>
                <w:color w:val="000000"/>
              </w:rPr>
            </w:pPr>
            <w:r w:rsidRPr="003B10E2">
              <w:rPr>
                <w:rFonts w:ascii="Times New Roman" w:hAnsi="Times New Roman"/>
                <w:color w:val="000000"/>
              </w:rPr>
              <w:t>Доля институциональных инвесторов в акции стала ниже в 2020 году по сравнению с 2014 годом (достигла уровня 9%). Из-за введения регулятивных требований к институциональным инвесторам в России, с 2014 года они стремятся распределять свои активы преимущественно в облигации с высоким кредитным рейтингом.</w:t>
            </w:r>
          </w:p>
          <w:p w14:paraId="1CF28D48" w14:textId="77777777" w:rsidR="00820407" w:rsidRPr="003B10E2" w:rsidRDefault="00820407" w:rsidP="002D341E">
            <w:pPr>
              <w:widowControl w:val="0"/>
              <w:spacing w:after="0" w:line="240" w:lineRule="auto"/>
              <w:rPr>
                <w:rFonts w:ascii="Times New Roman" w:hAnsi="Times New Roman"/>
                <w:color w:val="000000"/>
              </w:rPr>
            </w:pPr>
          </w:p>
        </w:tc>
        <w:tc>
          <w:tcPr>
            <w:tcW w:w="2687" w:type="dxa"/>
            <w:shd w:val="clear" w:color="auto" w:fill="auto"/>
          </w:tcPr>
          <w:p w14:paraId="2022BE94" w14:textId="77777777" w:rsidR="00820407" w:rsidRPr="003B10E2" w:rsidRDefault="00820407" w:rsidP="002D341E">
            <w:pPr>
              <w:widowControl w:val="0"/>
              <w:spacing w:after="0" w:line="240" w:lineRule="auto"/>
              <w:rPr>
                <w:rFonts w:ascii="Times New Roman" w:hAnsi="Times New Roman"/>
                <w:color w:val="000000"/>
              </w:rPr>
            </w:pPr>
            <w:r w:rsidRPr="003B10E2">
              <w:rPr>
                <w:rFonts w:ascii="Times New Roman" w:hAnsi="Times New Roman"/>
                <w:color w:val="000000"/>
              </w:rPr>
              <w:t xml:space="preserve">5. Снижение доли российских </w:t>
            </w:r>
            <w:r w:rsidR="007D6D04" w:rsidRPr="003B10E2">
              <w:rPr>
                <w:rFonts w:ascii="Times New Roman" w:hAnsi="Times New Roman"/>
                <w:color w:val="000000"/>
              </w:rPr>
              <w:t xml:space="preserve">и китайских </w:t>
            </w:r>
            <w:r w:rsidRPr="003B10E2">
              <w:rPr>
                <w:rFonts w:ascii="Times New Roman" w:hAnsi="Times New Roman"/>
                <w:color w:val="000000"/>
              </w:rPr>
              <w:t xml:space="preserve">институциональных инвесторов на рынке акций. </w:t>
            </w:r>
          </w:p>
          <w:p w14:paraId="6FF5E8D0" w14:textId="77777777" w:rsidR="00820407" w:rsidRPr="003B10E2" w:rsidRDefault="00820407" w:rsidP="002D341E">
            <w:pPr>
              <w:widowControl w:val="0"/>
              <w:spacing w:after="0" w:line="240" w:lineRule="auto"/>
              <w:rPr>
                <w:rFonts w:ascii="Times New Roman" w:hAnsi="Times New Roman"/>
                <w:color w:val="000000"/>
              </w:rPr>
            </w:pPr>
            <w:r w:rsidRPr="003B10E2">
              <w:rPr>
                <w:rFonts w:ascii="Times New Roman" w:hAnsi="Times New Roman"/>
                <w:color w:val="000000"/>
              </w:rPr>
              <w:t>Помимо девальвации рубля, фактором снижения доли российских институциональных инвесторов на рынке акции России стало отсутствие роста пенсионных резервов.</w:t>
            </w:r>
          </w:p>
          <w:p w14:paraId="47F1647B" w14:textId="77777777" w:rsidR="00820407" w:rsidRPr="003B10E2" w:rsidRDefault="00820407" w:rsidP="002D341E">
            <w:pPr>
              <w:widowControl w:val="0"/>
              <w:spacing w:after="0" w:line="240" w:lineRule="auto"/>
              <w:rPr>
                <w:rFonts w:ascii="Times New Roman" w:hAnsi="Times New Roman"/>
                <w:color w:val="000000"/>
              </w:rPr>
            </w:pPr>
          </w:p>
        </w:tc>
      </w:tr>
      <w:tr w:rsidR="00820407" w:rsidRPr="003B10E2" w14:paraId="558088D1" w14:textId="77777777" w:rsidTr="002D341E">
        <w:trPr>
          <w:trHeight w:val="3152"/>
        </w:trPr>
        <w:tc>
          <w:tcPr>
            <w:tcW w:w="1838" w:type="dxa"/>
            <w:shd w:val="clear" w:color="auto" w:fill="auto"/>
          </w:tcPr>
          <w:p w14:paraId="6802A3F0" w14:textId="77777777" w:rsidR="00820407" w:rsidRPr="003B10E2" w:rsidRDefault="00820407" w:rsidP="002D341E">
            <w:pPr>
              <w:widowControl w:val="0"/>
              <w:spacing w:after="0" w:line="240" w:lineRule="auto"/>
              <w:rPr>
                <w:rFonts w:ascii="Times New Roman" w:hAnsi="Times New Roman"/>
                <w:color w:val="000000"/>
                <w:sz w:val="20"/>
                <w:szCs w:val="20"/>
              </w:rPr>
            </w:pPr>
          </w:p>
          <w:p w14:paraId="48581EF4" w14:textId="77777777" w:rsidR="00820407" w:rsidRPr="003B10E2" w:rsidRDefault="00820407" w:rsidP="002D341E">
            <w:pPr>
              <w:widowControl w:val="0"/>
              <w:spacing w:after="0" w:line="240" w:lineRule="auto"/>
              <w:rPr>
                <w:rFonts w:ascii="Times New Roman" w:hAnsi="Times New Roman"/>
                <w:color w:val="000000"/>
                <w:lang w:val="en-US"/>
              </w:rPr>
            </w:pPr>
            <w:r w:rsidRPr="003B10E2">
              <w:rPr>
                <w:rFonts w:ascii="Times New Roman" w:hAnsi="Times New Roman"/>
                <w:color w:val="000000"/>
                <w:lang w:val="en-US"/>
              </w:rPr>
              <w:t>Пандемический кризис 2020 г.</w:t>
            </w:r>
          </w:p>
        </w:tc>
        <w:tc>
          <w:tcPr>
            <w:tcW w:w="1559" w:type="dxa"/>
            <w:shd w:val="clear" w:color="auto" w:fill="auto"/>
          </w:tcPr>
          <w:p w14:paraId="77A85EA3" w14:textId="77777777" w:rsidR="00820407" w:rsidRPr="003B10E2" w:rsidRDefault="00820407" w:rsidP="002D341E">
            <w:pPr>
              <w:widowControl w:val="0"/>
              <w:spacing w:after="0" w:line="240" w:lineRule="auto"/>
              <w:rPr>
                <w:rFonts w:ascii="Times New Roman" w:hAnsi="Times New Roman"/>
                <w:color w:val="000000"/>
                <w:lang w:val="en-US"/>
              </w:rPr>
            </w:pPr>
            <w:r w:rsidRPr="003B10E2">
              <w:rPr>
                <w:rFonts w:ascii="Times New Roman" w:hAnsi="Times New Roman"/>
                <w:color w:val="000000"/>
                <w:lang w:val="en-US"/>
              </w:rPr>
              <w:t>Канал предложения</w:t>
            </w:r>
          </w:p>
          <w:p w14:paraId="114397EB" w14:textId="77777777" w:rsidR="00820407" w:rsidRPr="003B10E2" w:rsidRDefault="00820407" w:rsidP="002D341E">
            <w:pPr>
              <w:widowControl w:val="0"/>
              <w:spacing w:after="0" w:line="240" w:lineRule="auto"/>
              <w:rPr>
                <w:rFonts w:ascii="Times New Roman" w:hAnsi="Times New Roman"/>
                <w:color w:val="000000"/>
                <w:lang w:val="en-US"/>
              </w:rPr>
            </w:pPr>
            <w:r w:rsidRPr="003B10E2">
              <w:rPr>
                <w:rFonts w:ascii="Times New Roman" w:hAnsi="Times New Roman"/>
                <w:color w:val="000000"/>
                <w:lang w:val="en-US"/>
              </w:rPr>
              <w:t>ликвидности.</w:t>
            </w:r>
          </w:p>
        </w:tc>
        <w:tc>
          <w:tcPr>
            <w:tcW w:w="3261" w:type="dxa"/>
            <w:shd w:val="clear" w:color="auto" w:fill="auto"/>
          </w:tcPr>
          <w:p w14:paraId="6927B9DB" w14:textId="77777777" w:rsidR="00820407" w:rsidRPr="003B10E2" w:rsidRDefault="00820407" w:rsidP="002D341E">
            <w:pPr>
              <w:widowControl w:val="0"/>
              <w:spacing w:after="0" w:line="240" w:lineRule="auto"/>
              <w:rPr>
                <w:rFonts w:ascii="Times New Roman" w:hAnsi="Times New Roman"/>
                <w:color w:val="000000"/>
              </w:rPr>
            </w:pPr>
            <w:r w:rsidRPr="003B10E2">
              <w:rPr>
                <w:rFonts w:ascii="Times New Roman" w:hAnsi="Times New Roman"/>
                <w:color w:val="000000"/>
              </w:rPr>
              <w:t xml:space="preserve">6. Доля портфельных инвестиций в акции со стороны российских инвесторов растет на фоне экономических стимулирующих мер. </w:t>
            </w:r>
          </w:p>
          <w:p w14:paraId="3411FC32" w14:textId="77777777" w:rsidR="00820407" w:rsidRPr="003B10E2" w:rsidRDefault="00820407" w:rsidP="002D341E">
            <w:pPr>
              <w:widowControl w:val="0"/>
              <w:spacing w:after="0" w:line="240" w:lineRule="auto"/>
              <w:rPr>
                <w:rFonts w:ascii="Times New Roman" w:hAnsi="Times New Roman"/>
                <w:color w:val="000000"/>
                <w:lang w:val="en-US"/>
              </w:rPr>
            </w:pPr>
            <w:r w:rsidRPr="003B10E2">
              <w:rPr>
                <w:rFonts w:ascii="Times New Roman" w:hAnsi="Times New Roman"/>
                <w:color w:val="000000"/>
              </w:rPr>
              <w:t xml:space="preserve">При этом востребованными становятся операции хеджирования на рынке ПФИ, где объем торгов заметно вырос. </w:t>
            </w:r>
            <w:r w:rsidRPr="003B10E2">
              <w:rPr>
                <w:rFonts w:ascii="Times New Roman" w:hAnsi="Times New Roman"/>
                <w:color w:val="000000"/>
                <w:lang w:val="en-US"/>
              </w:rPr>
              <w:t>Заметен рост активности розничных инвесторов.</w:t>
            </w:r>
          </w:p>
        </w:tc>
        <w:tc>
          <w:tcPr>
            <w:tcW w:w="2687" w:type="dxa"/>
            <w:shd w:val="clear" w:color="auto" w:fill="auto"/>
          </w:tcPr>
          <w:p w14:paraId="3104EABF" w14:textId="77777777" w:rsidR="00820407" w:rsidRPr="003B10E2" w:rsidRDefault="00820407" w:rsidP="002D341E">
            <w:pPr>
              <w:widowControl w:val="0"/>
              <w:spacing w:after="0" w:line="240" w:lineRule="auto"/>
              <w:rPr>
                <w:rFonts w:ascii="Times New Roman" w:hAnsi="Times New Roman"/>
                <w:color w:val="000000"/>
              </w:rPr>
            </w:pPr>
            <w:r w:rsidRPr="003B10E2">
              <w:rPr>
                <w:rFonts w:ascii="Times New Roman" w:hAnsi="Times New Roman"/>
                <w:color w:val="000000"/>
              </w:rPr>
              <w:t xml:space="preserve">6. Рост ликвидности в России привел к росту объемов срочного рынка и стабилизации рынка акций, так как инструменты срочного рынка требуют меньшего обеспечения по сравнению с акциями и могут более эффективно использоваться для хеджирования рисков. </w:t>
            </w:r>
          </w:p>
          <w:p w14:paraId="24AE8066" w14:textId="77777777" w:rsidR="00820407" w:rsidRPr="003B10E2" w:rsidRDefault="00820407" w:rsidP="002D341E">
            <w:pPr>
              <w:widowControl w:val="0"/>
              <w:spacing w:after="0" w:line="240" w:lineRule="auto"/>
              <w:rPr>
                <w:rFonts w:ascii="Times New Roman" w:hAnsi="Times New Roman"/>
                <w:color w:val="000000"/>
              </w:rPr>
            </w:pPr>
          </w:p>
        </w:tc>
      </w:tr>
    </w:tbl>
    <w:p w14:paraId="3F0DA9DE" w14:textId="77777777" w:rsidR="00820407" w:rsidRPr="003B10E2" w:rsidRDefault="00820407" w:rsidP="00820407">
      <w:pPr>
        <w:spacing w:after="0" w:line="360" w:lineRule="auto"/>
      </w:pPr>
      <w:r w:rsidRPr="003B10E2">
        <w:rPr>
          <w:rFonts w:ascii="Times New Roman" w:hAnsi="Times New Roman"/>
          <w:color w:val="000000"/>
          <w:sz w:val="24"/>
          <w:szCs w:val="24"/>
        </w:rPr>
        <w:t>Источник: составлено автором.</w:t>
      </w:r>
    </w:p>
    <w:p w14:paraId="0A3A91BA" w14:textId="77777777" w:rsidR="00651284" w:rsidRPr="003B10E2" w:rsidRDefault="00651284" w:rsidP="0040151F">
      <w:pPr>
        <w:spacing w:after="0" w:line="360" w:lineRule="auto"/>
        <w:ind w:firstLine="708"/>
        <w:contextualSpacing/>
        <w:jc w:val="both"/>
        <w:rPr>
          <w:bCs/>
        </w:rPr>
      </w:pPr>
      <w:r w:rsidRPr="003B10E2">
        <w:rPr>
          <w:rFonts w:ascii="Times New Roman" w:hAnsi="Times New Roman"/>
          <w:bCs/>
          <w:color w:val="000000"/>
          <w:sz w:val="28"/>
          <w:szCs w:val="28"/>
        </w:rPr>
        <w:t xml:space="preserve">1. Снижение долларовой капитализации </w:t>
      </w:r>
      <w:bookmarkEnd w:id="183"/>
      <w:r w:rsidRPr="003B10E2">
        <w:rPr>
          <w:rFonts w:ascii="Times New Roman" w:hAnsi="Times New Roman"/>
          <w:bCs/>
          <w:color w:val="000000"/>
          <w:sz w:val="28"/>
          <w:szCs w:val="28"/>
        </w:rPr>
        <w:t xml:space="preserve">рынка акций </w:t>
      </w:r>
      <w:r w:rsidR="007D6D04" w:rsidRPr="003B10E2">
        <w:rPr>
          <w:rFonts w:ascii="Times New Roman" w:hAnsi="Times New Roman"/>
          <w:bCs/>
          <w:color w:val="000000"/>
          <w:sz w:val="28"/>
          <w:szCs w:val="28"/>
        </w:rPr>
        <w:t xml:space="preserve">в </w:t>
      </w:r>
      <w:r w:rsidRPr="003B10E2">
        <w:rPr>
          <w:rFonts w:ascii="Times New Roman" w:hAnsi="Times New Roman"/>
          <w:bCs/>
          <w:color w:val="000000"/>
          <w:sz w:val="28"/>
          <w:szCs w:val="28"/>
        </w:rPr>
        <w:t>России</w:t>
      </w:r>
      <w:r w:rsidR="00C767F8" w:rsidRPr="003B10E2">
        <w:rPr>
          <w:rFonts w:ascii="Times New Roman" w:hAnsi="Times New Roman"/>
          <w:bCs/>
          <w:color w:val="000000"/>
          <w:sz w:val="28"/>
          <w:szCs w:val="28"/>
        </w:rPr>
        <w:t xml:space="preserve"> и рост капитализации акций в Китае (</w:t>
      </w:r>
      <w:r w:rsidR="0057285F" w:rsidRPr="003B10E2">
        <w:rPr>
          <w:rFonts w:ascii="Times New Roman" w:hAnsi="Times New Roman"/>
          <w:bCs/>
          <w:color w:val="000000"/>
          <w:sz w:val="28"/>
          <w:szCs w:val="28"/>
        </w:rPr>
        <w:t xml:space="preserve">Рисунок </w:t>
      </w:r>
      <w:r w:rsidR="009C0C92" w:rsidRPr="003B10E2">
        <w:rPr>
          <w:rFonts w:ascii="Times New Roman" w:hAnsi="Times New Roman"/>
          <w:bCs/>
          <w:color w:val="000000"/>
          <w:sz w:val="28"/>
          <w:szCs w:val="28"/>
        </w:rPr>
        <w:t>38</w:t>
      </w:r>
      <w:r w:rsidR="0057285F" w:rsidRPr="003B10E2">
        <w:rPr>
          <w:rFonts w:ascii="Times New Roman" w:hAnsi="Times New Roman"/>
          <w:bCs/>
          <w:color w:val="000000"/>
          <w:sz w:val="28"/>
          <w:szCs w:val="28"/>
        </w:rPr>
        <w:t>)</w:t>
      </w:r>
      <w:r w:rsidRPr="003B10E2">
        <w:rPr>
          <w:rFonts w:ascii="Times New Roman" w:hAnsi="Times New Roman"/>
          <w:bCs/>
          <w:color w:val="000000"/>
          <w:sz w:val="28"/>
          <w:szCs w:val="28"/>
        </w:rPr>
        <w:t>.</w:t>
      </w:r>
    </w:p>
    <w:p w14:paraId="03F54B84" w14:textId="77777777" w:rsidR="00651284" w:rsidRPr="003B10E2" w:rsidRDefault="00651284" w:rsidP="0057285F">
      <w:pPr>
        <w:spacing w:after="0" w:line="360" w:lineRule="auto"/>
        <w:ind w:firstLine="851"/>
        <w:jc w:val="both"/>
        <w:rPr>
          <w:rFonts w:ascii="Times New Roman" w:hAnsi="Times New Roman"/>
          <w:color w:val="000000"/>
          <w:sz w:val="24"/>
          <w:szCs w:val="24"/>
        </w:rPr>
      </w:pPr>
      <w:r w:rsidRPr="003B10E2">
        <w:rPr>
          <w:rFonts w:ascii="Times New Roman" w:hAnsi="Times New Roman"/>
          <w:color w:val="000000"/>
          <w:sz w:val="28"/>
          <w:szCs w:val="28"/>
        </w:rPr>
        <w:t>Еще одним крупным структурным изменением на российском рынке стало возникновение «иностранного сегмента» акций на Санкт-Петербургской бирже</w:t>
      </w:r>
      <w:r w:rsidR="0057285F" w:rsidRPr="003B10E2">
        <w:rPr>
          <w:rFonts w:ascii="Times New Roman" w:hAnsi="Times New Roman"/>
          <w:color w:val="000000"/>
          <w:sz w:val="28"/>
          <w:szCs w:val="28"/>
        </w:rPr>
        <w:t>.</w:t>
      </w:r>
      <w:r w:rsidR="0088161E" w:rsidRPr="003B10E2">
        <w:rPr>
          <w:rFonts w:ascii="Times New Roman" w:hAnsi="Times New Roman"/>
          <w:color w:val="000000"/>
          <w:sz w:val="28"/>
          <w:szCs w:val="28"/>
        </w:rPr>
        <w:t xml:space="preserve"> </w:t>
      </w:r>
    </w:p>
    <w:p w14:paraId="745EAA3E" w14:textId="77777777" w:rsidR="00651284" w:rsidRPr="003B10E2" w:rsidRDefault="00C72198" w:rsidP="00A4250A">
      <w:pPr>
        <w:ind w:firstLine="851"/>
        <w:jc w:val="center"/>
        <w:rPr>
          <w:rFonts w:ascii="Times New Roman" w:hAnsi="Times New Roman"/>
          <w:color w:val="000000"/>
          <w:sz w:val="28"/>
          <w:szCs w:val="28"/>
        </w:rPr>
      </w:pPr>
      <w:r w:rsidRPr="003B10E2">
        <w:rPr>
          <w:noProof/>
        </w:rPr>
        <w:drawing>
          <wp:anchor distT="0" distB="0" distL="114300" distR="114300" simplePos="0" relativeHeight="251645440" behindDoc="0" locked="0" layoutInCell="1" allowOverlap="1" wp14:anchorId="388E68E8" wp14:editId="4A5B4E5E">
            <wp:simplePos x="0" y="0"/>
            <wp:positionH relativeFrom="column">
              <wp:posOffset>139065</wp:posOffset>
            </wp:positionH>
            <wp:positionV relativeFrom="paragraph">
              <wp:posOffset>243840</wp:posOffset>
            </wp:positionV>
            <wp:extent cx="5915025" cy="2733675"/>
            <wp:effectExtent l="0" t="0" r="0" b="0"/>
            <wp:wrapTopAndBottom/>
            <wp:docPr id="1930485728" name="Рисунок 8" descr="C:\Users\liska\Desktop\аа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C:\Users\liska\Desktop\ааа.JPG"/>
                    <pic:cNvPicPr>
                      <a:picLocks/>
                    </pic:cNvPicPr>
                  </pic:nvPicPr>
                  <pic:blipFill>
                    <a:blip r:embed="rId55">
                      <a:grayscl/>
                      <a:extLst>
                        <a:ext uri="{28A0092B-C50C-407E-A947-70E740481C1C}">
                          <a14:useLocalDpi xmlns:a14="http://schemas.microsoft.com/office/drawing/2010/main" val="0"/>
                        </a:ext>
                      </a:extLst>
                    </a:blip>
                    <a:srcRect/>
                    <a:stretch>
                      <a:fillRect/>
                    </a:stretch>
                  </pic:blipFill>
                  <pic:spPr bwMode="auto">
                    <a:xfrm>
                      <a:off x="0" y="0"/>
                      <a:ext cx="5146040" cy="2378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B5FB91" w14:textId="77777777" w:rsidR="001A0EE3" w:rsidRPr="003B10E2" w:rsidRDefault="001A0EE3" w:rsidP="001A0EE3">
      <w:pPr>
        <w:spacing w:after="0" w:line="240" w:lineRule="auto"/>
        <w:ind w:firstLine="851"/>
        <w:contextualSpacing/>
        <w:jc w:val="center"/>
        <w:rPr>
          <w:rFonts w:ascii="Times New Roman" w:hAnsi="Times New Roman"/>
          <w:color w:val="000000"/>
          <w:sz w:val="24"/>
          <w:szCs w:val="24"/>
        </w:rPr>
      </w:pPr>
      <w:r w:rsidRPr="003B10E2">
        <w:rPr>
          <w:rFonts w:ascii="Times New Roman" w:hAnsi="Times New Roman"/>
          <w:color w:val="000000"/>
          <w:sz w:val="24"/>
          <w:szCs w:val="24"/>
        </w:rPr>
        <w:t>Источник: составлено автором.</w:t>
      </w:r>
    </w:p>
    <w:p w14:paraId="5680CB02" w14:textId="77777777" w:rsidR="00651284" w:rsidRPr="003B10E2" w:rsidRDefault="00FF138F" w:rsidP="001A0EE3">
      <w:pPr>
        <w:spacing w:after="0" w:line="240" w:lineRule="auto"/>
        <w:ind w:firstLine="851"/>
        <w:contextualSpacing/>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9C0C92" w:rsidRPr="003B10E2">
        <w:rPr>
          <w:rFonts w:ascii="Times New Roman" w:hAnsi="Times New Roman"/>
          <w:color w:val="000000"/>
          <w:sz w:val="24"/>
          <w:szCs w:val="24"/>
        </w:rPr>
        <w:t>38</w:t>
      </w:r>
      <w:r w:rsidR="00651284" w:rsidRPr="003B10E2">
        <w:rPr>
          <w:rFonts w:ascii="Times New Roman" w:hAnsi="Times New Roman"/>
          <w:color w:val="000000"/>
          <w:sz w:val="24"/>
          <w:szCs w:val="24"/>
        </w:rPr>
        <w:t xml:space="preserve"> </w:t>
      </w:r>
      <w:r w:rsidR="001A0EE3" w:rsidRPr="003B10E2">
        <w:rPr>
          <w:rFonts w:ascii="Times New Roman" w:hAnsi="Times New Roman"/>
          <w:color w:val="000000"/>
          <w:sz w:val="24"/>
          <w:szCs w:val="24"/>
        </w:rPr>
        <w:t>– Схема ухода инвесторов от риска</w:t>
      </w:r>
    </w:p>
    <w:p w14:paraId="25F8E3C5" w14:textId="77777777" w:rsidR="001A0EE3" w:rsidRPr="003B10E2" w:rsidRDefault="001A0EE3" w:rsidP="00651284">
      <w:pPr>
        <w:spacing w:after="0" w:line="360" w:lineRule="auto"/>
        <w:ind w:firstLine="851"/>
        <w:contextualSpacing/>
        <w:jc w:val="both"/>
        <w:rPr>
          <w:rFonts w:ascii="Times New Roman" w:hAnsi="Times New Roman"/>
          <w:color w:val="000000"/>
          <w:sz w:val="28"/>
          <w:szCs w:val="28"/>
        </w:rPr>
      </w:pPr>
    </w:p>
    <w:p w14:paraId="5846C073" w14:textId="77777777" w:rsidR="00CA0710" w:rsidRPr="003B10E2" w:rsidRDefault="00651284" w:rsidP="009A7448">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Объемы торгов на рынке акций России</w:t>
      </w:r>
      <w:r w:rsidR="0055577D" w:rsidRPr="003B10E2">
        <w:rPr>
          <w:rFonts w:ascii="Times New Roman" w:hAnsi="Times New Roman"/>
          <w:color w:val="000000"/>
          <w:sz w:val="28"/>
          <w:szCs w:val="28"/>
        </w:rPr>
        <w:t xml:space="preserve"> и Китая</w:t>
      </w:r>
      <w:r w:rsidRPr="003B10E2">
        <w:rPr>
          <w:rFonts w:ascii="Times New Roman" w:hAnsi="Times New Roman"/>
          <w:color w:val="000000"/>
          <w:sz w:val="28"/>
          <w:szCs w:val="28"/>
        </w:rPr>
        <w:t xml:space="preserve"> связаны с трендом глобализации всей отрасли управления активами, возросшим значением стилевых институциональных инвесторов и их краткосрочными мотивами получения прибыли. Объемы торгов и капитализация российского рынка акций не растут существенно в течение последних лет по сравнению с аналогичными китайскими показателями</w:t>
      </w:r>
      <w:r w:rsidR="009A162B" w:rsidRPr="003B10E2">
        <w:rPr>
          <w:rFonts w:ascii="Times New Roman" w:hAnsi="Times New Roman"/>
          <w:color w:val="000000"/>
          <w:sz w:val="28"/>
          <w:szCs w:val="28"/>
        </w:rPr>
        <w:t>.</w:t>
      </w:r>
      <w:r w:rsidRPr="003B10E2">
        <w:rPr>
          <w:rFonts w:ascii="Times New Roman" w:hAnsi="Times New Roman"/>
          <w:color w:val="000000"/>
          <w:sz w:val="28"/>
          <w:szCs w:val="28"/>
        </w:rPr>
        <w:t xml:space="preserve"> Популярные категории стилей (например, технологические акции, акции роста и циклические акции) кажутся достаточно важными, чтобы сформировать основу распределения активов инвесторами в акции. Чтобы сэкономить время на количестве факторов, которые нужно отслеживать, инвесторы часто рассматривают акции как комбинации небольшого числа факторов стиля, а не как независимые объекты</w:t>
      </w:r>
      <w:r w:rsidR="009A162B" w:rsidRPr="003B10E2">
        <w:rPr>
          <w:rFonts w:ascii="Times New Roman" w:hAnsi="Times New Roman"/>
          <w:color w:val="000000"/>
          <w:sz w:val="28"/>
          <w:szCs w:val="28"/>
        </w:rPr>
        <w:t>.</w:t>
      </w:r>
      <w:r w:rsidRPr="003B10E2">
        <w:rPr>
          <w:rFonts w:ascii="Times New Roman" w:hAnsi="Times New Roman"/>
          <w:color w:val="000000"/>
          <w:sz w:val="28"/>
          <w:szCs w:val="28"/>
        </w:rPr>
        <w:t xml:space="preserve"> </w:t>
      </w:r>
      <w:bookmarkEnd w:id="98"/>
    </w:p>
    <w:p w14:paraId="2D51EB59" w14:textId="77777777" w:rsidR="00651284" w:rsidRPr="003B10E2" w:rsidRDefault="00651284" w:rsidP="00FF138F">
      <w:pPr>
        <w:spacing w:after="0" w:line="360" w:lineRule="auto"/>
        <w:ind w:firstLine="851"/>
        <w:contextualSpacing/>
        <w:jc w:val="both"/>
        <w:rPr>
          <w:color w:val="000000"/>
        </w:rPr>
      </w:pPr>
      <w:r w:rsidRPr="003B10E2">
        <w:rPr>
          <w:rFonts w:ascii="Times New Roman" w:hAnsi="Times New Roman"/>
          <w:color w:val="000000"/>
          <w:sz w:val="28"/>
          <w:szCs w:val="28"/>
        </w:rPr>
        <w:t>Снижение курса рубля — важнейший фактор снижения долларовой капитализации на рынке акци</w:t>
      </w:r>
      <w:r w:rsidR="008A3C6A" w:rsidRPr="003B10E2">
        <w:rPr>
          <w:rFonts w:ascii="Times New Roman" w:hAnsi="Times New Roman"/>
          <w:color w:val="000000"/>
          <w:sz w:val="28"/>
          <w:szCs w:val="28"/>
        </w:rPr>
        <w:t>й</w:t>
      </w:r>
      <w:r w:rsidRPr="003B10E2">
        <w:rPr>
          <w:rFonts w:ascii="Times New Roman" w:hAnsi="Times New Roman"/>
          <w:color w:val="000000"/>
          <w:sz w:val="28"/>
          <w:szCs w:val="28"/>
        </w:rPr>
        <w:t xml:space="preserve"> России. Сама девальвация рубля с 2008 по 2020 гг. является откликом на внешние шоки</w:t>
      </w:r>
      <w:r w:rsidR="009A162B" w:rsidRPr="003B10E2">
        <w:rPr>
          <w:rFonts w:ascii="Times New Roman" w:hAnsi="Times New Roman"/>
          <w:color w:val="000000"/>
          <w:sz w:val="28"/>
          <w:szCs w:val="28"/>
        </w:rPr>
        <w:t>.</w:t>
      </w:r>
      <w:r w:rsidRPr="003B10E2">
        <w:rPr>
          <w:rFonts w:ascii="Times New Roman" w:hAnsi="Times New Roman"/>
          <w:color w:val="000000"/>
          <w:sz w:val="28"/>
          <w:szCs w:val="28"/>
        </w:rPr>
        <w:t xml:space="preserve"> Объем вторичных торгов акциями на Московской бирже сохраняется заметно ниже предкризисног</w:t>
      </w:r>
      <w:r w:rsidR="00FF138F" w:rsidRPr="003B10E2">
        <w:rPr>
          <w:rFonts w:ascii="Times New Roman" w:hAnsi="Times New Roman"/>
          <w:color w:val="000000"/>
          <w:sz w:val="28"/>
          <w:szCs w:val="28"/>
        </w:rPr>
        <w:t xml:space="preserve">о уровня 2013 года (рисунок </w:t>
      </w:r>
      <w:r w:rsidR="00DF25DE" w:rsidRPr="003B10E2">
        <w:rPr>
          <w:rFonts w:ascii="Times New Roman" w:hAnsi="Times New Roman"/>
          <w:color w:val="000000"/>
          <w:sz w:val="28"/>
          <w:szCs w:val="28"/>
        </w:rPr>
        <w:t>39</w:t>
      </w:r>
      <w:r w:rsidRPr="003B10E2">
        <w:rPr>
          <w:rFonts w:ascii="Times New Roman" w:hAnsi="Times New Roman"/>
          <w:color w:val="000000"/>
          <w:sz w:val="28"/>
          <w:szCs w:val="28"/>
        </w:rPr>
        <w:t>).</w:t>
      </w:r>
    </w:p>
    <w:p w14:paraId="3ABE7A91" w14:textId="77777777" w:rsidR="001A0EE3" w:rsidRPr="003B10E2" w:rsidRDefault="00C72198" w:rsidP="001A0EE3">
      <w:pPr>
        <w:spacing w:after="0" w:line="240" w:lineRule="auto"/>
        <w:jc w:val="center"/>
        <w:rPr>
          <w:rFonts w:ascii="Times New Roman" w:hAnsi="Times New Roman"/>
          <w:sz w:val="24"/>
          <w:szCs w:val="24"/>
        </w:rPr>
      </w:pPr>
      <w:bookmarkStart w:id="184" w:name="_Hlk137584454"/>
      <w:r w:rsidRPr="003B10E2">
        <w:rPr>
          <w:rFonts w:ascii="Times New Roman" w:hAnsi="Times New Roman"/>
          <w:iCs/>
          <w:noProof/>
          <w:sz w:val="24"/>
          <w:szCs w:val="24"/>
        </w:rPr>
        <w:drawing>
          <wp:inline distT="0" distB="0" distL="0" distR="0" wp14:anchorId="2BDA4DEE" wp14:editId="70EC7EDF">
            <wp:extent cx="5895340" cy="3017520"/>
            <wp:effectExtent l="0" t="0" r="0" b="0"/>
            <wp:docPr id="676508808" name="Рисунок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7"/>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95340" cy="3017520"/>
                    </a:xfrm>
                    <a:prstGeom prst="rect">
                      <a:avLst/>
                    </a:prstGeom>
                    <a:noFill/>
                  </pic:spPr>
                </pic:pic>
              </a:graphicData>
            </a:graphic>
          </wp:inline>
        </w:drawing>
      </w:r>
      <w:r w:rsidR="001A0EE3" w:rsidRPr="003B10E2">
        <w:rPr>
          <w:rFonts w:ascii="Times New Roman" w:hAnsi="Times New Roman"/>
          <w:iCs/>
          <w:sz w:val="24"/>
          <w:szCs w:val="24"/>
        </w:rPr>
        <w:t>Источник: Thomson Reuters.</w:t>
      </w:r>
    </w:p>
    <w:p w14:paraId="3870E039" w14:textId="77777777" w:rsidR="001A0EE3" w:rsidRPr="003B10E2" w:rsidRDefault="001A0EE3" w:rsidP="001A0EE3">
      <w:pPr>
        <w:spacing w:after="0" w:line="240" w:lineRule="auto"/>
        <w:jc w:val="center"/>
        <w:rPr>
          <w:rFonts w:ascii="Times New Roman" w:hAnsi="Times New Roman"/>
          <w:color w:val="000000"/>
          <w:sz w:val="24"/>
          <w:szCs w:val="24"/>
        </w:rPr>
      </w:pPr>
      <w:r w:rsidRPr="003B10E2">
        <w:rPr>
          <w:rFonts w:ascii="Times New Roman" w:hAnsi="Times New Roman"/>
          <w:iCs/>
          <w:color w:val="000000"/>
          <w:sz w:val="24"/>
          <w:szCs w:val="24"/>
        </w:rPr>
        <w:t xml:space="preserve">Рисунок </w:t>
      </w:r>
      <w:r w:rsidR="00DF25DE" w:rsidRPr="003B10E2">
        <w:rPr>
          <w:rFonts w:ascii="Times New Roman" w:hAnsi="Times New Roman"/>
          <w:iCs/>
          <w:color w:val="000000"/>
          <w:sz w:val="24"/>
          <w:szCs w:val="24"/>
        </w:rPr>
        <w:t>39</w:t>
      </w:r>
      <w:r w:rsidRPr="003B10E2">
        <w:rPr>
          <w:rFonts w:ascii="Times New Roman" w:hAnsi="Times New Roman"/>
          <w:iCs/>
          <w:color w:val="000000"/>
          <w:sz w:val="24"/>
          <w:szCs w:val="24"/>
        </w:rPr>
        <w:t xml:space="preserve"> –</w:t>
      </w:r>
      <w:r w:rsidR="00651284" w:rsidRPr="003B10E2">
        <w:rPr>
          <w:rFonts w:ascii="Times New Roman" w:hAnsi="Times New Roman"/>
          <w:color w:val="000000"/>
          <w:sz w:val="24"/>
          <w:szCs w:val="24"/>
        </w:rPr>
        <w:t xml:space="preserve"> Объем вторичных торгов </w:t>
      </w:r>
      <w:bookmarkStart w:id="185" w:name="_Hlk58881650"/>
      <w:r w:rsidR="00651284" w:rsidRPr="003B10E2">
        <w:rPr>
          <w:rFonts w:ascii="Times New Roman" w:hAnsi="Times New Roman"/>
          <w:color w:val="000000"/>
          <w:sz w:val="24"/>
          <w:szCs w:val="24"/>
        </w:rPr>
        <w:t>акциями на Московской бирже</w:t>
      </w:r>
      <w:bookmarkEnd w:id="185"/>
      <w:r w:rsidR="00651284" w:rsidRPr="003B10E2">
        <w:rPr>
          <w:rFonts w:ascii="Times New Roman" w:hAnsi="Times New Roman"/>
          <w:color w:val="000000"/>
          <w:sz w:val="24"/>
          <w:szCs w:val="24"/>
        </w:rPr>
        <w:t xml:space="preserve">, </w:t>
      </w:r>
    </w:p>
    <w:p w14:paraId="5D56B27D" w14:textId="77777777" w:rsidR="00651284" w:rsidRPr="003B10E2" w:rsidRDefault="00651284" w:rsidP="001A0EE3">
      <w:pPr>
        <w:spacing w:after="0" w:line="240" w:lineRule="auto"/>
        <w:jc w:val="center"/>
        <w:rPr>
          <w:rFonts w:ascii="Times New Roman" w:hAnsi="Times New Roman"/>
          <w:iCs/>
          <w:color w:val="000000"/>
          <w:sz w:val="24"/>
          <w:szCs w:val="24"/>
        </w:rPr>
      </w:pPr>
      <w:r w:rsidRPr="003B10E2">
        <w:rPr>
          <w:rFonts w:ascii="Times New Roman" w:hAnsi="Times New Roman"/>
          <w:color w:val="000000"/>
          <w:sz w:val="24"/>
          <w:szCs w:val="24"/>
        </w:rPr>
        <w:t>млрд долл.</w:t>
      </w:r>
    </w:p>
    <w:bookmarkEnd w:id="184"/>
    <w:p w14:paraId="620A3FB2" w14:textId="77777777" w:rsidR="00651284" w:rsidRPr="003B10E2" w:rsidRDefault="00651284" w:rsidP="00FF138F">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Объем вторичных торгов акциями на Московской бирже к ВВП сохраняется ниже уровней 2007 года.</w:t>
      </w:r>
    </w:p>
    <w:p w14:paraId="3E3A8B25" w14:textId="77777777" w:rsidR="0055577D" w:rsidRPr="003B10E2" w:rsidRDefault="00C72198" w:rsidP="001A0EE3">
      <w:pPr>
        <w:spacing w:after="0" w:line="240" w:lineRule="auto"/>
        <w:contextualSpacing/>
        <w:jc w:val="center"/>
        <w:rPr>
          <w:rFonts w:ascii="Times New Roman" w:hAnsi="Times New Roman"/>
          <w:iCs/>
          <w:color w:val="000000"/>
          <w:sz w:val="24"/>
          <w:szCs w:val="24"/>
        </w:rPr>
      </w:pPr>
      <w:r w:rsidRPr="003B10E2">
        <w:rPr>
          <w:noProof/>
        </w:rPr>
        <w:drawing>
          <wp:inline distT="0" distB="0" distL="0" distR="0" wp14:anchorId="3BCC21EE" wp14:editId="213E771D">
            <wp:extent cx="5516880" cy="3411855"/>
            <wp:effectExtent l="0" t="0" r="7620" b="0"/>
            <wp:docPr id="36"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55577D" w:rsidRPr="003B10E2">
        <w:rPr>
          <w:rFonts w:ascii="Times New Roman" w:hAnsi="Times New Roman"/>
          <w:iCs/>
          <w:color w:val="000000"/>
          <w:sz w:val="24"/>
          <w:szCs w:val="24"/>
        </w:rPr>
        <w:t xml:space="preserve"> </w:t>
      </w:r>
    </w:p>
    <w:p w14:paraId="66F8F177" w14:textId="77777777" w:rsidR="00651284" w:rsidRPr="003B10E2" w:rsidRDefault="001A0EE3" w:rsidP="001A0EE3">
      <w:pPr>
        <w:spacing w:after="0" w:line="240" w:lineRule="auto"/>
        <w:contextualSpacing/>
        <w:jc w:val="center"/>
        <w:rPr>
          <w:rFonts w:ascii="Times New Roman" w:hAnsi="Times New Roman"/>
          <w:color w:val="000000"/>
          <w:sz w:val="24"/>
          <w:szCs w:val="24"/>
        </w:rPr>
      </w:pPr>
      <w:r w:rsidRPr="003B10E2">
        <w:rPr>
          <w:rFonts w:ascii="Times New Roman" w:hAnsi="Times New Roman"/>
          <w:iCs/>
          <w:color w:val="000000"/>
          <w:sz w:val="24"/>
          <w:szCs w:val="24"/>
        </w:rPr>
        <w:t>Источник: Thomson Reuters.</w:t>
      </w:r>
    </w:p>
    <w:p w14:paraId="77545910" w14:textId="77777777" w:rsidR="00651284" w:rsidRPr="003B10E2" w:rsidRDefault="00FF138F" w:rsidP="008A3C6A">
      <w:pPr>
        <w:spacing w:after="0" w:line="240" w:lineRule="auto"/>
        <w:contextualSpacing/>
        <w:jc w:val="center"/>
        <w:rPr>
          <w:rFonts w:ascii="Times New Roman" w:hAnsi="Times New Roman"/>
          <w:color w:val="000000"/>
          <w:sz w:val="24"/>
          <w:szCs w:val="24"/>
        </w:rPr>
      </w:pPr>
      <w:r w:rsidRPr="003B10E2">
        <w:rPr>
          <w:rFonts w:ascii="Times New Roman" w:hAnsi="Times New Roman"/>
          <w:iCs/>
          <w:color w:val="000000"/>
          <w:sz w:val="24"/>
          <w:szCs w:val="24"/>
        </w:rPr>
        <w:t xml:space="preserve">Рисунок </w:t>
      </w:r>
      <w:r w:rsidR="009C0C92" w:rsidRPr="003B10E2">
        <w:rPr>
          <w:rFonts w:ascii="Times New Roman" w:hAnsi="Times New Roman"/>
          <w:iCs/>
          <w:color w:val="000000"/>
          <w:sz w:val="24"/>
          <w:szCs w:val="24"/>
        </w:rPr>
        <w:t>4</w:t>
      </w:r>
      <w:r w:rsidR="00DF25DE" w:rsidRPr="003B10E2">
        <w:rPr>
          <w:rFonts w:ascii="Times New Roman" w:hAnsi="Times New Roman"/>
          <w:iCs/>
          <w:color w:val="000000"/>
          <w:sz w:val="24"/>
          <w:szCs w:val="24"/>
        </w:rPr>
        <w:t>0</w:t>
      </w:r>
      <w:r w:rsidR="001A0EE3" w:rsidRPr="003B10E2">
        <w:rPr>
          <w:rFonts w:ascii="Times New Roman" w:hAnsi="Times New Roman"/>
          <w:iCs/>
          <w:color w:val="000000"/>
          <w:sz w:val="24"/>
          <w:szCs w:val="24"/>
        </w:rPr>
        <w:t xml:space="preserve"> –</w:t>
      </w:r>
      <w:r w:rsidR="00651284" w:rsidRPr="003B10E2">
        <w:rPr>
          <w:rFonts w:ascii="Times New Roman" w:hAnsi="Times New Roman"/>
          <w:iCs/>
          <w:color w:val="000000"/>
          <w:sz w:val="24"/>
          <w:szCs w:val="24"/>
        </w:rPr>
        <w:t xml:space="preserve"> </w:t>
      </w:r>
      <w:r w:rsidR="00651284" w:rsidRPr="003B10E2">
        <w:rPr>
          <w:rFonts w:ascii="Times New Roman" w:hAnsi="Times New Roman"/>
          <w:color w:val="000000"/>
          <w:sz w:val="24"/>
          <w:szCs w:val="24"/>
        </w:rPr>
        <w:t xml:space="preserve">Объем вторичных торгов акциями на Московской бирже </w:t>
      </w:r>
      <w:r w:rsidR="001A0EE3" w:rsidRPr="003B10E2">
        <w:rPr>
          <w:rFonts w:ascii="Times New Roman" w:hAnsi="Times New Roman"/>
          <w:color w:val="000000"/>
          <w:sz w:val="24"/>
          <w:szCs w:val="24"/>
        </w:rPr>
        <w:t>к ВВП России, %</w:t>
      </w:r>
    </w:p>
    <w:p w14:paraId="79E9BE29" w14:textId="77777777" w:rsidR="00690BF6" w:rsidRPr="003B10E2" w:rsidRDefault="00690BF6" w:rsidP="00170553">
      <w:pPr>
        <w:spacing w:after="0" w:line="360" w:lineRule="auto"/>
        <w:ind w:firstLine="851"/>
        <w:jc w:val="both"/>
        <w:rPr>
          <w:rFonts w:ascii="Times New Roman" w:hAnsi="Times New Roman"/>
          <w:color w:val="000000"/>
          <w:sz w:val="28"/>
          <w:szCs w:val="28"/>
        </w:rPr>
      </w:pPr>
    </w:p>
    <w:p w14:paraId="173114C5" w14:textId="77777777" w:rsidR="0055577D" w:rsidRPr="003B10E2" w:rsidRDefault="00170553" w:rsidP="00170553">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Капитализация - это ключевой показатель финансового состояния компании и фондового рынка в целом. Она рассчитывается путем умножения текущей цены акции на общее количество акций, находящихся в обращении. Капитализация предоставляет инвесторам и экономистам важную информацию о стоимости компании и ее размере на рынке. В контексте фондового рынка, капитализация является одним из главных факторов, влияющих на инвестиционные решения и колебания цен акций. </w:t>
      </w:r>
    </w:p>
    <w:p w14:paraId="50F6965E" w14:textId="77777777" w:rsidR="0055577D" w:rsidRPr="003B10E2" w:rsidRDefault="00F276E9" w:rsidP="0088161E">
      <w:pPr>
        <w:spacing w:after="0" w:line="240" w:lineRule="auto"/>
        <w:jc w:val="center"/>
        <w:rPr>
          <w:rFonts w:ascii="Times New Roman" w:hAnsi="Times New Roman"/>
          <w:iCs/>
          <w:color w:val="000000"/>
          <w:sz w:val="24"/>
          <w:szCs w:val="24"/>
        </w:rPr>
      </w:pPr>
      <w:bookmarkStart w:id="186" w:name="_Hlk138267340"/>
      <w:r w:rsidRPr="003B10E2">
        <w:rPr>
          <w:noProof/>
        </w:rPr>
      </w:r>
      <w:bookmarkStart w:id="187" w:name="_Hlk138267340"/>
      <w:r w:rsidR="003D16B6" w:rsidRPr="003B10E2">
        <w:rPr>
          <w:noProof/>
        </w:rPr>
        <w:object w:dxaOrig="8574" w:dyaOrig="4733" w14:anchorId="746C4A3B">
          <v:shape id="Диаграмма 21" o:spid="_x0000_i1033" type="#_x0000_t75" style="width:428.9pt;height:236.75pt;visibility:visible" o:ole="">
            <v:imagedata r:id="rId58" o:title=""/>
            <o:lock v:ext="edit" aspectratio="f"/>
          </v:shape>
          <o:OLEObject Type="Embed" ProgID="Excel.Sheet.8" ShapeID="Диаграмма 21" DrawAspect="Content" ObjectID="_1790070514" r:id="rId59">
            <o:FieldCodes>\s</o:FieldCodes>
          </o:OLEObject>
        </w:object>
      </w:r>
    </w:p>
    <w:p w14:paraId="1EF374F5" w14:textId="77777777" w:rsidR="001A0EE3" w:rsidRPr="003B10E2" w:rsidRDefault="001A0EE3" w:rsidP="0088161E">
      <w:pPr>
        <w:spacing w:after="0" w:line="240" w:lineRule="auto"/>
        <w:jc w:val="center"/>
        <w:rPr>
          <w:rFonts w:ascii="Times New Roman" w:hAnsi="Times New Roman"/>
          <w:iCs/>
          <w:color w:val="000000"/>
          <w:sz w:val="24"/>
          <w:szCs w:val="24"/>
        </w:rPr>
      </w:pPr>
      <w:r w:rsidRPr="003B10E2">
        <w:rPr>
          <w:rFonts w:ascii="Times New Roman" w:hAnsi="Times New Roman"/>
          <w:iCs/>
          <w:color w:val="000000"/>
          <w:sz w:val="24"/>
          <w:szCs w:val="24"/>
        </w:rPr>
        <w:t>Источник: Thomson Reuters.</w:t>
      </w:r>
    </w:p>
    <w:p w14:paraId="7CDAA88D" w14:textId="77777777" w:rsidR="00651284" w:rsidRPr="003B10E2" w:rsidRDefault="00FF138F" w:rsidP="0088161E">
      <w:pPr>
        <w:spacing w:after="0" w:line="240" w:lineRule="auto"/>
        <w:jc w:val="center"/>
        <w:rPr>
          <w:rFonts w:ascii="Times New Roman" w:hAnsi="Times New Roman"/>
          <w:iCs/>
          <w:color w:val="000000"/>
          <w:sz w:val="24"/>
          <w:szCs w:val="24"/>
        </w:rPr>
      </w:pPr>
      <w:r w:rsidRPr="003B10E2">
        <w:rPr>
          <w:rFonts w:ascii="Times New Roman" w:hAnsi="Times New Roman"/>
          <w:iCs/>
          <w:color w:val="000000"/>
          <w:sz w:val="24"/>
          <w:szCs w:val="24"/>
        </w:rPr>
        <w:t xml:space="preserve">Рисунок </w:t>
      </w:r>
      <w:r w:rsidR="009C0C92" w:rsidRPr="003B10E2">
        <w:rPr>
          <w:rFonts w:ascii="Times New Roman" w:hAnsi="Times New Roman"/>
          <w:iCs/>
          <w:color w:val="000000"/>
          <w:sz w:val="24"/>
          <w:szCs w:val="24"/>
        </w:rPr>
        <w:t>4</w:t>
      </w:r>
      <w:r w:rsidR="00DF25DE" w:rsidRPr="003B10E2">
        <w:rPr>
          <w:rFonts w:ascii="Times New Roman" w:hAnsi="Times New Roman"/>
          <w:iCs/>
          <w:color w:val="000000"/>
          <w:sz w:val="24"/>
          <w:szCs w:val="24"/>
        </w:rPr>
        <w:t>1</w:t>
      </w:r>
      <w:r w:rsidRPr="003B10E2">
        <w:rPr>
          <w:rFonts w:ascii="Times New Roman" w:hAnsi="Times New Roman"/>
          <w:iCs/>
          <w:color w:val="000000"/>
          <w:sz w:val="24"/>
          <w:szCs w:val="24"/>
        </w:rPr>
        <w:t xml:space="preserve"> </w:t>
      </w:r>
      <w:r w:rsidR="001A0EE3" w:rsidRPr="003B10E2">
        <w:rPr>
          <w:rFonts w:ascii="Times New Roman" w:hAnsi="Times New Roman"/>
          <w:iCs/>
          <w:color w:val="000000"/>
          <w:sz w:val="24"/>
          <w:szCs w:val="24"/>
        </w:rPr>
        <w:t xml:space="preserve">– </w:t>
      </w:r>
      <w:r w:rsidR="00651284" w:rsidRPr="003B10E2">
        <w:rPr>
          <w:rFonts w:ascii="Times New Roman" w:hAnsi="Times New Roman"/>
          <w:iCs/>
          <w:color w:val="000000"/>
          <w:sz w:val="24"/>
          <w:szCs w:val="24"/>
        </w:rPr>
        <w:t>К</w:t>
      </w:r>
      <w:r w:rsidR="00651284" w:rsidRPr="003B10E2">
        <w:rPr>
          <w:rFonts w:ascii="Times New Roman" w:hAnsi="Times New Roman"/>
          <w:color w:val="000000"/>
          <w:sz w:val="24"/>
          <w:szCs w:val="24"/>
        </w:rPr>
        <w:t>апитализация российск</w:t>
      </w:r>
      <w:r w:rsidR="001A0EE3" w:rsidRPr="003B10E2">
        <w:rPr>
          <w:rFonts w:ascii="Times New Roman" w:hAnsi="Times New Roman"/>
          <w:color w:val="000000"/>
          <w:sz w:val="24"/>
          <w:szCs w:val="24"/>
        </w:rPr>
        <w:t>ого рынка акций к ВВП России, %</w:t>
      </w:r>
    </w:p>
    <w:bookmarkEnd w:id="186"/>
    <w:p w14:paraId="6B812959" w14:textId="77777777" w:rsidR="00651284" w:rsidRPr="003B10E2" w:rsidRDefault="00651284" w:rsidP="00651284">
      <w:pPr>
        <w:spacing w:after="0" w:line="360" w:lineRule="auto"/>
        <w:ind w:firstLine="851"/>
        <w:jc w:val="both"/>
        <w:rPr>
          <w:rFonts w:ascii="Times New Roman" w:hAnsi="Times New Roman"/>
          <w:color w:val="000000"/>
          <w:sz w:val="28"/>
          <w:szCs w:val="28"/>
        </w:rPr>
      </w:pPr>
    </w:p>
    <w:p w14:paraId="551C2C8C" w14:textId="77777777" w:rsidR="00651284" w:rsidRPr="003B10E2" w:rsidRDefault="00651284" w:rsidP="00651284">
      <w:pPr>
        <w:spacing w:after="0" w:line="360" w:lineRule="auto"/>
        <w:ind w:firstLine="851"/>
        <w:jc w:val="both"/>
        <w:rPr>
          <w:rFonts w:ascii="Times New Roman" w:hAnsi="Times New Roman"/>
          <w:color w:val="000000"/>
          <w:sz w:val="28"/>
          <w:szCs w:val="28"/>
        </w:rPr>
      </w:pPr>
      <w:bookmarkStart w:id="188" w:name="_Hlk138267421"/>
      <w:r w:rsidRPr="003B10E2">
        <w:rPr>
          <w:rFonts w:ascii="Times New Roman" w:hAnsi="Times New Roman"/>
          <w:color w:val="000000"/>
          <w:sz w:val="28"/>
          <w:szCs w:val="28"/>
        </w:rPr>
        <w:t>Отношение капитализации российского рынка акций к ВВП России стало заметно ниже докризисных уровней в период 2008 – 2021 гг., так и не поднявшись выше уровня 2007 г.</w:t>
      </w:r>
      <w:r w:rsidRPr="003B10E2">
        <w:rPr>
          <w:color w:val="000000"/>
        </w:rPr>
        <w:t xml:space="preserve"> </w:t>
      </w:r>
      <w:r w:rsidRPr="003B10E2">
        <w:rPr>
          <w:rFonts w:ascii="Times New Roman" w:hAnsi="Times New Roman"/>
          <w:sz w:val="28"/>
          <w:szCs w:val="28"/>
        </w:rPr>
        <w:t>(рисунки</w:t>
      </w:r>
      <w:r w:rsidR="00E95F17" w:rsidRPr="003B10E2">
        <w:rPr>
          <w:rFonts w:ascii="Times New Roman" w:hAnsi="Times New Roman"/>
          <w:sz w:val="28"/>
          <w:szCs w:val="28"/>
        </w:rPr>
        <w:t xml:space="preserve"> </w:t>
      </w:r>
      <w:r w:rsidR="00DF25DE" w:rsidRPr="003B10E2">
        <w:rPr>
          <w:rFonts w:ascii="Times New Roman" w:hAnsi="Times New Roman"/>
          <w:sz w:val="28"/>
          <w:szCs w:val="28"/>
        </w:rPr>
        <w:t>40-</w:t>
      </w:r>
      <w:r w:rsidR="009C0C92" w:rsidRPr="003B10E2">
        <w:rPr>
          <w:rFonts w:ascii="Times New Roman" w:hAnsi="Times New Roman"/>
          <w:sz w:val="28"/>
          <w:szCs w:val="28"/>
        </w:rPr>
        <w:t>4</w:t>
      </w:r>
      <w:r w:rsidR="00DF25DE" w:rsidRPr="003B10E2">
        <w:rPr>
          <w:rFonts w:ascii="Times New Roman" w:hAnsi="Times New Roman"/>
          <w:sz w:val="28"/>
          <w:szCs w:val="28"/>
        </w:rPr>
        <w:t>1</w:t>
      </w:r>
      <w:r w:rsidRPr="003B10E2">
        <w:rPr>
          <w:rFonts w:ascii="Times New Roman" w:hAnsi="Times New Roman"/>
          <w:sz w:val="28"/>
          <w:szCs w:val="28"/>
        </w:rPr>
        <w:t>)</w:t>
      </w:r>
      <w:r w:rsidR="008A3C6A" w:rsidRPr="003B10E2">
        <w:rPr>
          <w:rFonts w:ascii="Times New Roman" w:hAnsi="Times New Roman"/>
          <w:sz w:val="28"/>
          <w:szCs w:val="28"/>
        </w:rPr>
        <w:t>. И</w:t>
      </w:r>
      <w:r w:rsidRPr="003B10E2">
        <w:rPr>
          <w:rFonts w:ascii="Times New Roman" w:hAnsi="Times New Roman"/>
          <w:sz w:val="28"/>
          <w:szCs w:val="28"/>
        </w:rPr>
        <w:t xml:space="preserve">нвесторы </w:t>
      </w:r>
      <w:r w:rsidR="008A3C6A" w:rsidRPr="003B10E2">
        <w:rPr>
          <w:rFonts w:ascii="Times New Roman" w:hAnsi="Times New Roman"/>
          <w:sz w:val="28"/>
          <w:szCs w:val="28"/>
        </w:rPr>
        <w:t xml:space="preserve">чаще </w:t>
      </w:r>
      <w:r w:rsidRPr="003B10E2">
        <w:rPr>
          <w:rFonts w:ascii="Times New Roman" w:hAnsi="Times New Roman"/>
          <w:color w:val="000000"/>
          <w:sz w:val="28"/>
          <w:szCs w:val="28"/>
        </w:rPr>
        <w:t>используют стилевые факторы, они формируют взгляды и решения о перераспределении между акциями с большой и малой капитализацией, технологическими и нетехнологическими акциями преимущественно на рынках других развивающихся стран.</w:t>
      </w:r>
    </w:p>
    <w:p w14:paraId="34E5E262" w14:textId="77777777" w:rsidR="00170553" w:rsidRPr="003B10E2" w:rsidRDefault="00170553" w:rsidP="00170553">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Большая капитализация может указывать на стабильность компании, что привлекает инвесторов и способствует росту рынка. С другой стороны, маленькая капитализация может указывать на риски и неопределенность, что может оттолкнуть потенциальных инвесторов. Понимание роли капитализации и объемов торгов является ключевой основой для анализа влияния вторичной торговли акциями в Китае (рисунки </w:t>
      </w:r>
      <w:r w:rsidR="009C0C92" w:rsidRPr="003B10E2">
        <w:rPr>
          <w:rFonts w:ascii="Times New Roman" w:hAnsi="Times New Roman"/>
          <w:color w:val="000000"/>
          <w:sz w:val="28"/>
          <w:szCs w:val="28"/>
        </w:rPr>
        <w:t>4</w:t>
      </w:r>
      <w:r w:rsidR="00DF25DE" w:rsidRPr="003B10E2">
        <w:rPr>
          <w:rFonts w:ascii="Times New Roman" w:hAnsi="Times New Roman"/>
          <w:color w:val="000000"/>
          <w:sz w:val="28"/>
          <w:szCs w:val="28"/>
        </w:rPr>
        <w:t>2</w:t>
      </w:r>
      <w:r w:rsidRPr="003B10E2">
        <w:rPr>
          <w:rFonts w:ascii="Times New Roman" w:hAnsi="Times New Roman"/>
          <w:color w:val="000000"/>
          <w:sz w:val="28"/>
          <w:szCs w:val="28"/>
        </w:rPr>
        <w:t xml:space="preserve">, </w:t>
      </w:r>
      <w:r w:rsidR="009C0C92" w:rsidRPr="003B10E2">
        <w:rPr>
          <w:rFonts w:ascii="Times New Roman" w:hAnsi="Times New Roman"/>
          <w:color w:val="000000"/>
          <w:sz w:val="28"/>
          <w:szCs w:val="28"/>
        </w:rPr>
        <w:t>4</w:t>
      </w:r>
      <w:r w:rsidR="00DF25DE" w:rsidRPr="003B10E2">
        <w:rPr>
          <w:rFonts w:ascii="Times New Roman" w:hAnsi="Times New Roman"/>
          <w:color w:val="000000"/>
          <w:sz w:val="28"/>
          <w:szCs w:val="28"/>
        </w:rPr>
        <w:t>3</w:t>
      </w:r>
      <w:r w:rsidRPr="003B10E2">
        <w:rPr>
          <w:rFonts w:ascii="Times New Roman" w:hAnsi="Times New Roman"/>
          <w:color w:val="000000"/>
          <w:sz w:val="28"/>
          <w:szCs w:val="28"/>
        </w:rPr>
        <w:t>).</w:t>
      </w:r>
    </w:p>
    <w:p w14:paraId="722A962D" w14:textId="77777777" w:rsidR="00170553" w:rsidRPr="003B10E2" w:rsidRDefault="00170553" w:rsidP="00651284">
      <w:pPr>
        <w:spacing w:after="0" w:line="360" w:lineRule="auto"/>
        <w:ind w:firstLine="851"/>
        <w:jc w:val="both"/>
        <w:rPr>
          <w:rFonts w:ascii="Times New Roman" w:hAnsi="Times New Roman"/>
          <w:color w:val="000000"/>
          <w:sz w:val="28"/>
          <w:szCs w:val="28"/>
        </w:rPr>
      </w:pPr>
    </w:p>
    <w:p w14:paraId="66D02E9C" w14:textId="77777777" w:rsidR="002E7179" w:rsidRPr="003B10E2" w:rsidRDefault="002E7179" w:rsidP="00651284">
      <w:pPr>
        <w:spacing w:after="0" w:line="360" w:lineRule="auto"/>
        <w:ind w:firstLine="851"/>
        <w:jc w:val="both"/>
        <w:rPr>
          <w:rFonts w:ascii="Times New Roman" w:hAnsi="Times New Roman"/>
          <w:color w:val="000000"/>
          <w:sz w:val="28"/>
          <w:szCs w:val="28"/>
        </w:rPr>
      </w:pPr>
    </w:p>
    <w:p w14:paraId="5B991706" w14:textId="77777777" w:rsidR="002E7179" w:rsidRPr="003B10E2" w:rsidRDefault="00F276E9" w:rsidP="00651284">
      <w:pPr>
        <w:spacing w:after="0" w:line="360" w:lineRule="auto"/>
        <w:ind w:firstLine="851"/>
        <w:jc w:val="both"/>
        <w:rPr>
          <w:rFonts w:ascii="Times New Roman" w:hAnsi="Times New Roman"/>
          <w:color w:val="000000"/>
          <w:sz w:val="28"/>
          <w:szCs w:val="28"/>
        </w:rPr>
      </w:pPr>
      <w:r w:rsidRPr="003B10E2">
        <w:rPr>
          <w:noProof/>
        </w:rPr>
      </w:r>
      <w:r w:rsidR="003D16B6" w:rsidRPr="003B10E2">
        <w:rPr>
          <w:noProof/>
        </w:rPr>
        <w:object w:dxaOrig="7220" w:dyaOrig="4340" w14:anchorId="7968AA33">
          <v:shape id="Диаграмма 33" o:spid="_x0000_i1034" type="#_x0000_t75" style="width:360.45pt;height:216.45pt;visibility:visible" o:ole="">
            <v:imagedata r:id="rId60" o:title=""/>
            <o:lock v:ext="edit" aspectratio="f"/>
          </v:shape>
          <o:OLEObject Type="Embed" ProgID="Excel.Sheet.8" ShapeID="Диаграмма 33" DrawAspect="Content" ObjectID="_1790070515" r:id="rId61">
            <o:FieldCodes>\s</o:FieldCodes>
          </o:OLEObject>
        </w:object>
      </w:r>
    </w:p>
    <w:p w14:paraId="1B1520CA" w14:textId="77777777" w:rsidR="00517B17" w:rsidRPr="003B10E2" w:rsidRDefault="00517B17" w:rsidP="00517B17">
      <w:pPr>
        <w:spacing w:after="0" w:line="240" w:lineRule="auto"/>
        <w:contextualSpacing/>
        <w:jc w:val="center"/>
        <w:rPr>
          <w:rFonts w:ascii="Times New Roman" w:hAnsi="Times New Roman"/>
          <w:color w:val="000000"/>
          <w:sz w:val="24"/>
          <w:szCs w:val="24"/>
        </w:rPr>
      </w:pPr>
      <w:r w:rsidRPr="003B10E2">
        <w:rPr>
          <w:rFonts w:ascii="Times New Roman" w:hAnsi="Times New Roman"/>
          <w:iCs/>
          <w:color w:val="000000"/>
          <w:sz w:val="24"/>
          <w:szCs w:val="24"/>
        </w:rPr>
        <w:t>Источник: Thomson Reuters.</w:t>
      </w:r>
    </w:p>
    <w:p w14:paraId="1497B688" w14:textId="77777777" w:rsidR="00517B17" w:rsidRPr="003B10E2" w:rsidRDefault="00517B17" w:rsidP="00517B17">
      <w:pPr>
        <w:spacing w:after="0" w:line="240" w:lineRule="auto"/>
        <w:contextualSpacing/>
        <w:jc w:val="center"/>
        <w:rPr>
          <w:rFonts w:ascii="Times New Roman" w:hAnsi="Times New Roman"/>
          <w:color w:val="000000"/>
          <w:sz w:val="24"/>
          <w:szCs w:val="24"/>
        </w:rPr>
      </w:pPr>
      <w:r w:rsidRPr="003B10E2">
        <w:rPr>
          <w:rFonts w:ascii="Times New Roman" w:hAnsi="Times New Roman"/>
          <w:iCs/>
          <w:color w:val="000000"/>
          <w:sz w:val="24"/>
          <w:szCs w:val="24"/>
        </w:rPr>
        <w:t xml:space="preserve">Рисунок </w:t>
      </w:r>
      <w:r w:rsidR="009C0C92" w:rsidRPr="003B10E2">
        <w:rPr>
          <w:rFonts w:ascii="Times New Roman" w:hAnsi="Times New Roman"/>
          <w:iCs/>
          <w:color w:val="000000"/>
          <w:sz w:val="24"/>
          <w:szCs w:val="24"/>
        </w:rPr>
        <w:t>4</w:t>
      </w:r>
      <w:r w:rsidR="00DF25DE" w:rsidRPr="003B10E2">
        <w:rPr>
          <w:rFonts w:ascii="Times New Roman" w:hAnsi="Times New Roman"/>
          <w:iCs/>
          <w:color w:val="000000"/>
          <w:sz w:val="24"/>
          <w:szCs w:val="24"/>
        </w:rPr>
        <w:t>2</w:t>
      </w:r>
      <w:r w:rsidRPr="003B10E2">
        <w:rPr>
          <w:rFonts w:ascii="Times New Roman" w:hAnsi="Times New Roman"/>
          <w:iCs/>
          <w:color w:val="000000"/>
          <w:sz w:val="24"/>
          <w:szCs w:val="24"/>
        </w:rPr>
        <w:t xml:space="preserve"> – </w:t>
      </w:r>
      <w:r w:rsidRPr="003B10E2">
        <w:rPr>
          <w:rFonts w:ascii="Times New Roman" w:hAnsi="Times New Roman"/>
          <w:color w:val="000000"/>
          <w:sz w:val="24"/>
          <w:szCs w:val="24"/>
        </w:rPr>
        <w:t>Объем вторичных торгов акциями на Шанхайской бирже к ВВП Китая, %</w:t>
      </w:r>
    </w:p>
    <w:p w14:paraId="1B424E62" w14:textId="77777777" w:rsidR="00517B17" w:rsidRPr="003B10E2" w:rsidRDefault="00517B17" w:rsidP="00517B17">
      <w:pPr>
        <w:spacing w:after="0" w:line="240" w:lineRule="auto"/>
        <w:contextualSpacing/>
        <w:jc w:val="center"/>
        <w:rPr>
          <w:rFonts w:ascii="Times New Roman" w:hAnsi="Times New Roman"/>
          <w:iCs/>
          <w:color w:val="000000"/>
          <w:sz w:val="24"/>
          <w:szCs w:val="24"/>
        </w:rPr>
      </w:pPr>
    </w:p>
    <w:p w14:paraId="59C5CA4F" w14:textId="77777777" w:rsidR="00517B17" w:rsidRPr="003B10E2" w:rsidRDefault="00F276E9" w:rsidP="00517B17">
      <w:pPr>
        <w:spacing w:after="0" w:line="360" w:lineRule="auto"/>
        <w:ind w:firstLine="851"/>
        <w:jc w:val="both"/>
        <w:rPr>
          <w:rFonts w:ascii="Times New Roman" w:hAnsi="Times New Roman"/>
          <w:color w:val="000000"/>
          <w:sz w:val="28"/>
          <w:szCs w:val="28"/>
        </w:rPr>
      </w:pPr>
      <w:r w:rsidRPr="003B10E2">
        <w:rPr>
          <w:noProof/>
        </w:rPr>
      </w:r>
      <w:r w:rsidR="003D16B6" w:rsidRPr="003B10E2">
        <w:rPr>
          <w:noProof/>
        </w:rPr>
        <w:object w:dxaOrig="7220" w:dyaOrig="4340" w14:anchorId="3F564E9A">
          <v:shape id="Диаграмма 34" o:spid="_x0000_i1035" type="#_x0000_t75" style="width:360.45pt;height:216.45pt;visibility:visible" o:ole="">
            <v:imagedata r:id="rId62" o:title=""/>
            <o:lock v:ext="edit" aspectratio="f"/>
          </v:shape>
          <o:OLEObject Type="Embed" ProgID="Excel.Sheet.8" ShapeID="Диаграмма 34" DrawAspect="Content" ObjectID="_1790070516" r:id="rId63">
            <o:FieldCodes>\s</o:FieldCodes>
          </o:OLEObject>
        </w:object>
      </w:r>
    </w:p>
    <w:p w14:paraId="13EF2832" w14:textId="77777777" w:rsidR="00517B17" w:rsidRPr="003B10E2" w:rsidRDefault="00517B17" w:rsidP="00517B17">
      <w:pPr>
        <w:spacing w:after="0" w:line="240" w:lineRule="auto"/>
        <w:jc w:val="center"/>
        <w:rPr>
          <w:rFonts w:ascii="Times New Roman" w:hAnsi="Times New Roman"/>
          <w:iCs/>
          <w:color w:val="000000"/>
          <w:sz w:val="24"/>
          <w:szCs w:val="24"/>
        </w:rPr>
      </w:pPr>
      <w:r w:rsidRPr="003B10E2">
        <w:rPr>
          <w:rFonts w:ascii="Times New Roman" w:hAnsi="Times New Roman"/>
          <w:iCs/>
          <w:color w:val="000000"/>
          <w:sz w:val="24"/>
          <w:szCs w:val="24"/>
        </w:rPr>
        <w:t>Источник: Thomson Reuters.</w:t>
      </w:r>
    </w:p>
    <w:p w14:paraId="58E5C46E" w14:textId="77777777" w:rsidR="00517B17" w:rsidRPr="003B10E2" w:rsidRDefault="00517B17" w:rsidP="00517B17">
      <w:pPr>
        <w:spacing w:after="0" w:line="240" w:lineRule="auto"/>
        <w:jc w:val="center"/>
        <w:rPr>
          <w:rFonts w:ascii="Times New Roman" w:hAnsi="Times New Roman"/>
          <w:iCs/>
          <w:color w:val="000000"/>
          <w:sz w:val="24"/>
          <w:szCs w:val="24"/>
        </w:rPr>
      </w:pPr>
      <w:r w:rsidRPr="003B10E2">
        <w:rPr>
          <w:rFonts w:ascii="Times New Roman" w:hAnsi="Times New Roman"/>
          <w:iCs/>
          <w:color w:val="000000"/>
          <w:sz w:val="24"/>
          <w:szCs w:val="24"/>
        </w:rPr>
        <w:t xml:space="preserve">Рисунок </w:t>
      </w:r>
      <w:r w:rsidR="009C0C92" w:rsidRPr="003B10E2">
        <w:rPr>
          <w:rFonts w:ascii="Times New Roman" w:hAnsi="Times New Roman"/>
          <w:iCs/>
          <w:color w:val="000000"/>
          <w:sz w:val="24"/>
          <w:szCs w:val="24"/>
        </w:rPr>
        <w:t>4</w:t>
      </w:r>
      <w:r w:rsidR="00DF25DE" w:rsidRPr="003B10E2">
        <w:rPr>
          <w:rFonts w:ascii="Times New Roman" w:hAnsi="Times New Roman"/>
          <w:iCs/>
          <w:color w:val="000000"/>
          <w:sz w:val="24"/>
          <w:szCs w:val="24"/>
        </w:rPr>
        <w:t>3</w:t>
      </w:r>
      <w:r w:rsidRPr="003B10E2">
        <w:rPr>
          <w:rFonts w:ascii="Times New Roman" w:hAnsi="Times New Roman"/>
          <w:iCs/>
          <w:color w:val="000000"/>
          <w:sz w:val="24"/>
          <w:szCs w:val="24"/>
        </w:rPr>
        <w:t xml:space="preserve"> – К</w:t>
      </w:r>
      <w:r w:rsidRPr="003B10E2">
        <w:rPr>
          <w:rFonts w:ascii="Times New Roman" w:hAnsi="Times New Roman"/>
          <w:color w:val="000000"/>
          <w:sz w:val="24"/>
          <w:szCs w:val="24"/>
        </w:rPr>
        <w:t>апитализация акций Шанхайской биржи к ВВП Китая, %</w:t>
      </w:r>
    </w:p>
    <w:p w14:paraId="01AD87A2" w14:textId="77777777" w:rsidR="002E7179" w:rsidRPr="003B10E2" w:rsidRDefault="002E7179" w:rsidP="00517B17">
      <w:pPr>
        <w:spacing w:after="0" w:line="360" w:lineRule="auto"/>
        <w:jc w:val="both"/>
        <w:rPr>
          <w:rFonts w:ascii="Times New Roman" w:hAnsi="Times New Roman"/>
          <w:color w:val="000000"/>
          <w:sz w:val="28"/>
          <w:szCs w:val="28"/>
        </w:rPr>
      </w:pPr>
    </w:p>
    <w:p w14:paraId="7938F2E4" w14:textId="77777777" w:rsidR="00170553" w:rsidRPr="003B10E2" w:rsidRDefault="00170553" w:rsidP="00170553">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Вторичная торговля акциями играет важную роль в определении капитализации на Шанхайской фондовой бирже. Вторичная торговля - это процесс покупки и продажи акций уже существующих компаний на открытом рынке. Когда инвесторы покупают или продают акции на бирже, это влияет на спрос и предложение на рынке, что в свою очередь влияет на цены акций и, следовательно, на капитализацию компаний. Если акции продаются на бирже по более высоким ценам, то капитализация компаний, которые эти акции представляют, увеличивается. С другой стороны, если акции продаются по более низким ценам, капитализация снижается. Таким образом, вторичная торговля акциями на Шанхайской фондовой бирже непосредственно влияет на капитализацию биржи и компаний, которые на ней торгуются. Это взаимодействие между вторичной торговлей и капитализацией является неотъемлемой частью финансовой системы Китая и имеет значительное влияние на экономический рост страны.</w:t>
      </w:r>
    </w:p>
    <w:p w14:paraId="18CB1902" w14:textId="77777777" w:rsidR="00170553" w:rsidRPr="003B10E2" w:rsidRDefault="00170553" w:rsidP="00170553">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Вторичная торговля акциями на Шанхайской фондовой бирже имеет непосредственное влияние на ВВП Китая. ВВП, или валовой внутренний продукт, является ключевым показателем экономического здоровья страны. Он рассчитывается как сумма стоимости всех конечных товаров и услуг, произведенных в определенном географическом районе за определенный период времени. Вторичная торговля акциями влияет на ВВП Китая через несколько механизмов. Во-первых, она создает дополнительные инвестиционные возможности для компаний, что способствует их росту и развитию. Во-вторых, она повышает уровень финансового капитала в экономике, что способствует инвестициям и развитию других секторов. В-третьих, она повышает уровень доверия инвесторов и финансовую стабильность, что привлекает как местных, так и иностранных инвесторов. Все эти факторы вместе способствуют росту ВВП Китая и способствуют его экономическому процветанию. Отслеживание и понимание взаимосвязи между вторичной торговлей акциями и ВВП Китая является критически важным для экономического анализа и планирования.</w:t>
      </w:r>
    </w:p>
    <w:p w14:paraId="428B15CD" w14:textId="77777777" w:rsidR="00170553" w:rsidRPr="003B10E2" w:rsidRDefault="00170553" w:rsidP="00170553">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Вторичная торговля акциями также имеет существенное влияние на ликвидность рынка. Ликвидность - это способность быстро и с минимальными потерями продать активы. Вторичная торговля акциями способствует ликвидности рынка, поскольку предоставляет инвесторам возможность покупать и продавать акции по текущим рыночным ценам. Более высокая ликвидность облегчает инвестирование и способствует эффективному функционированию рынка. Когда инвесторы легко могут покупать и продавать акции, это повышает доверие и привлекательность рынка для новых инвесторов. Кроме того, более высокая ликвидность также снижает риски, связанные с инвестициями, поскольку инвесторы могут быстро выйти из позиции, если это необходимо. Вторичная торговля акциями на Шанхайской фондовой бирже играет важную роль в обеспечении ликвидности рынка и создании благоприятной среды для инвестиций и экономического роста.</w:t>
      </w:r>
    </w:p>
    <w:p w14:paraId="6CD03C87" w14:textId="77777777" w:rsidR="00170553" w:rsidRPr="003B10E2" w:rsidRDefault="00170553" w:rsidP="00170553">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Вторичная торговля акциями на Шанхайской фондовой бирже также имеет важное влияние на поведение инвесторов. При принятии решений об инвестициях инвесторы часто обращают внимание на динамику цен акций и объемы торговли. Если цены акций растут, инвесторы могут стать более склонными к покупке, в то время как падение цен может вызвать продажу акций. Вторичная торговля акциями на Шанхайской фондовой бирже создает окружающую среду, в которой инвесторы реагируют на изменения цен и объемов торговли. Это может создавать волатильность на рынке и влиять на инвестиционные решения. Следовательно, понимание связи между вторичной торговлей акциями и поведением инвесторов является важным для анализа рынка и успешного инвестирования.</w:t>
      </w:r>
    </w:p>
    <w:p w14:paraId="0BAEE5D5" w14:textId="77777777" w:rsidR="00CA0710" w:rsidRPr="003B10E2" w:rsidRDefault="00CA0710" w:rsidP="00170553">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Капитализация Шанхайской фондовой биржи с 2008 по 2022 гг растет по 4 показателям (</w:t>
      </w:r>
      <w:r w:rsidR="00792071" w:rsidRPr="003B10E2">
        <w:rPr>
          <w:rFonts w:ascii="Times New Roman" w:hAnsi="Times New Roman"/>
          <w:color w:val="000000"/>
          <w:sz w:val="28"/>
          <w:szCs w:val="28"/>
        </w:rPr>
        <w:t>р</w:t>
      </w:r>
      <w:r w:rsidRPr="003B10E2">
        <w:rPr>
          <w:rFonts w:ascii="Times New Roman" w:hAnsi="Times New Roman"/>
          <w:color w:val="000000"/>
          <w:sz w:val="28"/>
          <w:szCs w:val="28"/>
        </w:rPr>
        <w:t>ис</w:t>
      </w:r>
      <w:r w:rsidR="00792071" w:rsidRPr="003B10E2">
        <w:rPr>
          <w:rFonts w:ascii="Times New Roman" w:hAnsi="Times New Roman"/>
          <w:color w:val="000000"/>
          <w:sz w:val="28"/>
          <w:szCs w:val="28"/>
        </w:rPr>
        <w:t>унки</w:t>
      </w:r>
      <w:r w:rsidRPr="003B10E2">
        <w:rPr>
          <w:rFonts w:ascii="Times New Roman" w:hAnsi="Times New Roman"/>
          <w:color w:val="000000"/>
          <w:sz w:val="28"/>
          <w:szCs w:val="28"/>
        </w:rPr>
        <w:t xml:space="preserve"> </w:t>
      </w:r>
      <w:r w:rsidR="009C0C92" w:rsidRPr="003B10E2">
        <w:rPr>
          <w:rFonts w:ascii="Times New Roman" w:hAnsi="Times New Roman"/>
          <w:color w:val="000000"/>
          <w:sz w:val="28"/>
          <w:szCs w:val="28"/>
        </w:rPr>
        <w:t>4</w:t>
      </w:r>
      <w:r w:rsidR="00DF25DE" w:rsidRPr="003B10E2">
        <w:rPr>
          <w:rFonts w:ascii="Times New Roman" w:hAnsi="Times New Roman"/>
          <w:color w:val="000000"/>
          <w:sz w:val="28"/>
          <w:szCs w:val="28"/>
        </w:rPr>
        <w:t>4</w:t>
      </w:r>
      <w:r w:rsidRPr="003B10E2">
        <w:rPr>
          <w:rFonts w:ascii="Times New Roman" w:hAnsi="Times New Roman"/>
          <w:color w:val="000000"/>
          <w:sz w:val="28"/>
          <w:szCs w:val="28"/>
        </w:rPr>
        <w:t>-</w:t>
      </w:r>
      <w:r w:rsidR="00DF25DE" w:rsidRPr="003B10E2">
        <w:rPr>
          <w:rFonts w:ascii="Times New Roman" w:hAnsi="Times New Roman"/>
          <w:color w:val="000000"/>
          <w:sz w:val="28"/>
          <w:szCs w:val="28"/>
        </w:rPr>
        <w:t>47</w:t>
      </w:r>
      <w:r w:rsidRPr="003B10E2">
        <w:rPr>
          <w:rFonts w:ascii="Times New Roman" w:hAnsi="Times New Roman"/>
          <w:color w:val="000000"/>
          <w:sz w:val="28"/>
          <w:szCs w:val="28"/>
        </w:rPr>
        <w:t>).</w:t>
      </w:r>
    </w:p>
    <w:p w14:paraId="4FB3C750" w14:textId="77777777" w:rsidR="00792071" w:rsidRPr="003B10E2" w:rsidRDefault="00F276E9" w:rsidP="00792071">
      <w:pPr>
        <w:spacing w:after="0" w:line="360" w:lineRule="auto"/>
        <w:jc w:val="both"/>
        <w:rPr>
          <w:rFonts w:ascii="Times New Roman" w:hAnsi="Times New Roman"/>
          <w:color w:val="000000"/>
          <w:sz w:val="28"/>
          <w:szCs w:val="28"/>
        </w:rPr>
      </w:pPr>
      <w:r w:rsidRPr="003B10E2">
        <w:rPr>
          <w:noProof/>
        </w:rPr>
      </w:r>
      <w:r w:rsidR="003D16B6" w:rsidRPr="003B10E2">
        <w:rPr>
          <w:noProof/>
        </w:rPr>
        <w:object w:dxaOrig="7220" w:dyaOrig="4340" w14:anchorId="6D124F52">
          <v:shape id="Диаграмма 20" o:spid="_x0000_i1036" type="#_x0000_t75" style="width:360.45pt;height:216.45pt;visibility:visible" o:ole="">
            <v:imagedata r:id="rId64" o:title=""/>
            <o:lock v:ext="edit" aspectratio="f"/>
          </v:shape>
          <o:OLEObject Type="Embed" ProgID="Excel.Sheet.8" ShapeID="Диаграмма 20" DrawAspect="Content" ObjectID="_1790070517" r:id="rId65">
            <o:FieldCodes>\s</o:FieldCodes>
          </o:OLEObject>
        </w:object>
      </w:r>
    </w:p>
    <w:p w14:paraId="3EF224F9" w14:textId="77777777" w:rsidR="00792071" w:rsidRPr="003B10E2" w:rsidRDefault="00792071" w:rsidP="00792071">
      <w:pPr>
        <w:spacing w:after="0" w:line="240" w:lineRule="auto"/>
        <w:jc w:val="center"/>
        <w:rPr>
          <w:rFonts w:ascii="Times New Roman" w:hAnsi="Times New Roman"/>
          <w:iCs/>
          <w:color w:val="000000"/>
          <w:sz w:val="24"/>
          <w:szCs w:val="24"/>
        </w:rPr>
      </w:pPr>
      <w:r w:rsidRPr="003B10E2">
        <w:rPr>
          <w:rFonts w:ascii="Times New Roman" w:hAnsi="Times New Roman"/>
          <w:iCs/>
          <w:color w:val="000000"/>
          <w:sz w:val="24"/>
          <w:szCs w:val="24"/>
        </w:rPr>
        <w:t>Источник: Thomson Reuters.</w:t>
      </w:r>
    </w:p>
    <w:p w14:paraId="6A814749" w14:textId="77777777" w:rsidR="00792071" w:rsidRPr="003B10E2" w:rsidRDefault="00792071" w:rsidP="00792071">
      <w:pPr>
        <w:spacing w:after="0" w:line="240" w:lineRule="auto"/>
        <w:jc w:val="center"/>
        <w:rPr>
          <w:rFonts w:ascii="Times New Roman" w:hAnsi="Times New Roman"/>
          <w:color w:val="000000"/>
          <w:sz w:val="28"/>
          <w:szCs w:val="28"/>
        </w:rPr>
      </w:pPr>
      <w:r w:rsidRPr="003B10E2">
        <w:rPr>
          <w:rFonts w:ascii="Times New Roman" w:hAnsi="Times New Roman"/>
          <w:iCs/>
          <w:color w:val="000000"/>
          <w:sz w:val="24"/>
          <w:szCs w:val="24"/>
        </w:rPr>
        <w:t xml:space="preserve">Рисунок </w:t>
      </w:r>
      <w:r w:rsidR="008B6285" w:rsidRPr="003B10E2">
        <w:rPr>
          <w:rFonts w:ascii="Times New Roman" w:hAnsi="Times New Roman"/>
          <w:iCs/>
          <w:color w:val="000000"/>
          <w:sz w:val="24"/>
          <w:szCs w:val="24"/>
        </w:rPr>
        <w:t>4</w:t>
      </w:r>
      <w:r w:rsidR="00DF25DE" w:rsidRPr="003B10E2">
        <w:rPr>
          <w:rFonts w:ascii="Times New Roman" w:hAnsi="Times New Roman"/>
          <w:iCs/>
          <w:color w:val="000000"/>
          <w:sz w:val="24"/>
          <w:szCs w:val="24"/>
        </w:rPr>
        <w:t>4</w:t>
      </w:r>
      <w:r w:rsidRPr="003B10E2">
        <w:rPr>
          <w:rFonts w:ascii="Times New Roman" w:hAnsi="Times New Roman"/>
          <w:iCs/>
          <w:color w:val="000000"/>
          <w:sz w:val="24"/>
          <w:szCs w:val="24"/>
        </w:rPr>
        <w:t xml:space="preserve"> – Капитал всех акций </w:t>
      </w:r>
      <w:r w:rsidR="00C767F8" w:rsidRPr="003B10E2">
        <w:rPr>
          <w:rFonts w:ascii="Times New Roman" w:hAnsi="Times New Roman"/>
          <w:iCs/>
          <w:color w:val="000000"/>
          <w:sz w:val="24"/>
          <w:szCs w:val="24"/>
        </w:rPr>
        <w:t xml:space="preserve">Шанхайской </w:t>
      </w:r>
      <w:r w:rsidRPr="003B10E2">
        <w:rPr>
          <w:rFonts w:ascii="Times New Roman" w:hAnsi="Times New Roman"/>
          <w:iCs/>
          <w:color w:val="000000"/>
          <w:sz w:val="24"/>
          <w:szCs w:val="24"/>
        </w:rPr>
        <w:t>биржи, 100 млн юаней</w:t>
      </w:r>
    </w:p>
    <w:p w14:paraId="7C98ABC2" w14:textId="77777777" w:rsidR="00792071" w:rsidRPr="003B10E2" w:rsidRDefault="00C72198" w:rsidP="00792071">
      <w:pPr>
        <w:spacing w:after="0" w:line="360" w:lineRule="auto"/>
        <w:jc w:val="both"/>
        <w:rPr>
          <w:rFonts w:ascii="Times New Roman" w:hAnsi="Times New Roman"/>
          <w:color w:val="000000"/>
          <w:sz w:val="28"/>
          <w:szCs w:val="28"/>
        </w:rPr>
      </w:pPr>
      <w:r w:rsidRPr="003B10E2">
        <w:rPr>
          <w:noProof/>
        </w:rPr>
        <w:drawing>
          <wp:inline distT="0" distB="0" distL="0" distR="0" wp14:anchorId="7279F3C6" wp14:editId="4B89DDDA">
            <wp:extent cx="4570730" cy="2741930"/>
            <wp:effectExtent l="0" t="0" r="1270" b="1270"/>
            <wp:docPr id="41"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802356E" w14:textId="77777777" w:rsidR="00792071" w:rsidRPr="003B10E2" w:rsidRDefault="00792071" w:rsidP="00792071">
      <w:pPr>
        <w:spacing w:after="0" w:line="240" w:lineRule="auto"/>
        <w:jc w:val="center"/>
        <w:rPr>
          <w:rFonts w:ascii="Times New Roman" w:hAnsi="Times New Roman"/>
          <w:iCs/>
          <w:color w:val="000000"/>
          <w:sz w:val="24"/>
          <w:szCs w:val="24"/>
        </w:rPr>
      </w:pPr>
      <w:r w:rsidRPr="003B10E2">
        <w:rPr>
          <w:rFonts w:ascii="Times New Roman" w:hAnsi="Times New Roman"/>
          <w:iCs/>
          <w:color w:val="000000"/>
          <w:sz w:val="24"/>
          <w:szCs w:val="24"/>
        </w:rPr>
        <w:t>Источник: Thomson Reuters.</w:t>
      </w:r>
    </w:p>
    <w:p w14:paraId="57C86B7E" w14:textId="77777777" w:rsidR="00792071" w:rsidRPr="003B10E2" w:rsidRDefault="00792071" w:rsidP="00792071">
      <w:pPr>
        <w:suppressAutoHyphens w:val="0"/>
        <w:jc w:val="center"/>
        <w:rPr>
          <w:rFonts w:ascii="Times New Roman" w:hAnsi="Times New Roman"/>
          <w:iCs/>
          <w:color w:val="000000"/>
          <w:sz w:val="24"/>
          <w:szCs w:val="24"/>
        </w:rPr>
      </w:pPr>
      <w:r w:rsidRPr="003B10E2">
        <w:rPr>
          <w:rFonts w:ascii="Times New Roman" w:hAnsi="Times New Roman"/>
          <w:iCs/>
          <w:color w:val="000000"/>
          <w:sz w:val="24"/>
          <w:szCs w:val="24"/>
        </w:rPr>
        <w:t xml:space="preserve">Рисунок </w:t>
      </w:r>
      <w:r w:rsidR="008B6285" w:rsidRPr="003B10E2">
        <w:rPr>
          <w:rFonts w:ascii="Times New Roman" w:hAnsi="Times New Roman"/>
          <w:iCs/>
          <w:color w:val="000000"/>
          <w:sz w:val="24"/>
          <w:szCs w:val="24"/>
        </w:rPr>
        <w:t>4</w:t>
      </w:r>
      <w:r w:rsidR="00DF25DE" w:rsidRPr="003B10E2">
        <w:rPr>
          <w:rFonts w:ascii="Times New Roman" w:hAnsi="Times New Roman"/>
          <w:iCs/>
          <w:color w:val="000000"/>
          <w:sz w:val="24"/>
          <w:szCs w:val="24"/>
        </w:rPr>
        <w:t>5</w:t>
      </w:r>
      <w:r w:rsidRPr="003B10E2">
        <w:rPr>
          <w:rFonts w:ascii="Times New Roman" w:hAnsi="Times New Roman"/>
          <w:iCs/>
          <w:color w:val="000000"/>
          <w:sz w:val="24"/>
          <w:szCs w:val="24"/>
        </w:rPr>
        <w:t xml:space="preserve"> – Фри флоут акций</w:t>
      </w:r>
      <w:r w:rsidR="00C767F8" w:rsidRPr="003B10E2">
        <w:rPr>
          <w:rFonts w:ascii="Times New Roman" w:hAnsi="Times New Roman"/>
          <w:iCs/>
          <w:color w:val="000000"/>
          <w:sz w:val="24"/>
          <w:szCs w:val="24"/>
        </w:rPr>
        <w:t xml:space="preserve"> Шанхайской биржи</w:t>
      </w:r>
      <w:r w:rsidRPr="003B10E2">
        <w:rPr>
          <w:rFonts w:ascii="Times New Roman" w:hAnsi="Times New Roman"/>
          <w:iCs/>
          <w:color w:val="000000"/>
          <w:sz w:val="24"/>
          <w:szCs w:val="24"/>
        </w:rPr>
        <w:t>, 100 млн юаней</w:t>
      </w:r>
    </w:p>
    <w:p w14:paraId="3ED092E5" w14:textId="77777777" w:rsidR="00792071" w:rsidRPr="003B10E2" w:rsidRDefault="00792071" w:rsidP="00792071">
      <w:pPr>
        <w:spacing w:after="0" w:line="240" w:lineRule="auto"/>
        <w:jc w:val="center"/>
        <w:rPr>
          <w:rFonts w:ascii="Times New Roman" w:hAnsi="Times New Roman"/>
          <w:iCs/>
          <w:color w:val="000000"/>
          <w:sz w:val="24"/>
          <w:szCs w:val="24"/>
        </w:rPr>
      </w:pPr>
    </w:p>
    <w:p w14:paraId="62A03807" w14:textId="77777777" w:rsidR="00792071" w:rsidRPr="003B10E2" w:rsidRDefault="00792071" w:rsidP="00792071">
      <w:pPr>
        <w:rPr>
          <w:rFonts w:ascii="Times New Roman" w:hAnsi="Times New Roman"/>
          <w:sz w:val="28"/>
          <w:szCs w:val="28"/>
        </w:rPr>
      </w:pPr>
    </w:p>
    <w:p w14:paraId="37924068" w14:textId="77777777" w:rsidR="00792071" w:rsidRPr="003B10E2" w:rsidRDefault="00C72198" w:rsidP="00792071">
      <w:pPr>
        <w:spacing w:after="0" w:line="360" w:lineRule="auto"/>
        <w:jc w:val="both"/>
        <w:rPr>
          <w:rFonts w:ascii="Times New Roman" w:hAnsi="Times New Roman"/>
          <w:color w:val="000000"/>
          <w:sz w:val="28"/>
          <w:szCs w:val="28"/>
        </w:rPr>
      </w:pPr>
      <w:r w:rsidRPr="003B10E2">
        <w:rPr>
          <w:noProof/>
        </w:rPr>
        <w:drawing>
          <wp:inline distT="0" distB="0" distL="0" distR="0" wp14:anchorId="0310D5D5" wp14:editId="37E7F37E">
            <wp:extent cx="4570730" cy="2741930"/>
            <wp:effectExtent l="0" t="0" r="1270" b="1270"/>
            <wp:docPr id="42"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0BDA3C9" w14:textId="77777777" w:rsidR="00792071" w:rsidRPr="003B10E2" w:rsidRDefault="00792071" w:rsidP="00792071">
      <w:pPr>
        <w:spacing w:after="0" w:line="240" w:lineRule="auto"/>
        <w:jc w:val="center"/>
        <w:rPr>
          <w:rFonts w:ascii="Times New Roman" w:hAnsi="Times New Roman"/>
          <w:iCs/>
          <w:color w:val="000000"/>
          <w:sz w:val="24"/>
          <w:szCs w:val="24"/>
        </w:rPr>
      </w:pPr>
      <w:r w:rsidRPr="003B10E2">
        <w:rPr>
          <w:rFonts w:ascii="Times New Roman" w:hAnsi="Times New Roman"/>
          <w:iCs/>
          <w:color w:val="000000"/>
          <w:sz w:val="24"/>
          <w:szCs w:val="24"/>
        </w:rPr>
        <w:t>Источник: Thomson Reuters.</w:t>
      </w:r>
    </w:p>
    <w:p w14:paraId="06410CDF" w14:textId="77777777" w:rsidR="00792071" w:rsidRPr="003B10E2" w:rsidRDefault="00792071" w:rsidP="00792071">
      <w:pPr>
        <w:spacing w:after="0" w:line="240" w:lineRule="auto"/>
        <w:jc w:val="center"/>
        <w:rPr>
          <w:rFonts w:ascii="Times New Roman" w:hAnsi="Times New Roman"/>
          <w:iCs/>
          <w:color w:val="000000"/>
          <w:sz w:val="24"/>
          <w:szCs w:val="24"/>
        </w:rPr>
      </w:pPr>
      <w:r w:rsidRPr="003B10E2">
        <w:rPr>
          <w:rFonts w:ascii="Times New Roman" w:hAnsi="Times New Roman"/>
          <w:iCs/>
          <w:color w:val="000000"/>
          <w:sz w:val="24"/>
          <w:szCs w:val="24"/>
        </w:rPr>
        <w:t xml:space="preserve">Рисунок </w:t>
      </w:r>
      <w:r w:rsidR="008B6285" w:rsidRPr="003B10E2">
        <w:rPr>
          <w:rFonts w:ascii="Times New Roman" w:hAnsi="Times New Roman"/>
          <w:iCs/>
          <w:color w:val="000000"/>
          <w:sz w:val="24"/>
          <w:szCs w:val="24"/>
        </w:rPr>
        <w:t>4</w:t>
      </w:r>
      <w:r w:rsidR="00DF25DE" w:rsidRPr="003B10E2">
        <w:rPr>
          <w:rFonts w:ascii="Times New Roman" w:hAnsi="Times New Roman"/>
          <w:iCs/>
          <w:color w:val="000000"/>
          <w:sz w:val="24"/>
          <w:szCs w:val="24"/>
        </w:rPr>
        <w:t>6</w:t>
      </w:r>
      <w:r w:rsidRPr="003B10E2">
        <w:rPr>
          <w:rFonts w:ascii="Times New Roman" w:hAnsi="Times New Roman"/>
          <w:iCs/>
          <w:color w:val="000000"/>
          <w:sz w:val="24"/>
          <w:szCs w:val="24"/>
        </w:rPr>
        <w:t xml:space="preserve"> – Рыночная капитализация</w:t>
      </w:r>
      <w:r w:rsidR="00C767F8" w:rsidRPr="003B10E2">
        <w:rPr>
          <w:rFonts w:ascii="Times New Roman" w:hAnsi="Times New Roman"/>
          <w:iCs/>
          <w:color w:val="000000"/>
          <w:sz w:val="24"/>
          <w:szCs w:val="24"/>
        </w:rPr>
        <w:t xml:space="preserve"> </w:t>
      </w:r>
      <w:r w:rsidR="00352434" w:rsidRPr="003B10E2">
        <w:rPr>
          <w:rFonts w:ascii="Times New Roman" w:hAnsi="Times New Roman"/>
          <w:iCs/>
          <w:color w:val="000000"/>
          <w:sz w:val="24"/>
          <w:szCs w:val="24"/>
        </w:rPr>
        <w:t xml:space="preserve">всех </w:t>
      </w:r>
      <w:r w:rsidR="00C767F8" w:rsidRPr="003B10E2">
        <w:rPr>
          <w:rFonts w:ascii="Times New Roman" w:hAnsi="Times New Roman"/>
          <w:iCs/>
          <w:color w:val="000000"/>
          <w:sz w:val="24"/>
          <w:szCs w:val="24"/>
        </w:rPr>
        <w:t xml:space="preserve">акций </w:t>
      </w:r>
      <w:r w:rsidR="00352434" w:rsidRPr="003B10E2">
        <w:rPr>
          <w:rFonts w:ascii="Times New Roman" w:hAnsi="Times New Roman"/>
          <w:iCs/>
          <w:color w:val="000000"/>
          <w:sz w:val="24"/>
          <w:szCs w:val="24"/>
        </w:rPr>
        <w:t>Ш</w:t>
      </w:r>
      <w:r w:rsidR="00C767F8" w:rsidRPr="003B10E2">
        <w:rPr>
          <w:rFonts w:ascii="Times New Roman" w:hAnsi="Times New Roman"/>
          <w:iCs/>
          <w:color w:val="000000"/>
          <w:sz w:val="24"/>
          <w:szCs w:val="24"/>
        </w:rPr>
        <w:t>анхайской биржи</w:t>
      </w:r>
      <w:r w:rsidRPr="003B10E2">
        <w:rPr>
          <w:rFonts w:ascii="Times New Roman" w:hAnsi="Times New Roman"/>
          <w:iCs/>
          <w:color w:val="000000"/>
          <w:sz w:val="24"/>
          <w:szCs w:val="24"/>
        </w:rPr>
        <w:t>, 100 млн юаней</w:t>
      </w:r>
    </w:p>
    <w:p w14:paraId="089778FE" w14:textId="77777777" w:rsidR="00792071" w:rsidRPr="003B10E2" w:rsidRDefault="00792071" w:rsidP="00792071">
      <w:pPr>
        <w:spacing w:after="0" w:line="360" w:lineRule="auto"/>
        <w:jc w:val="both"/>
        <w:rPr>
          <w:rFonts w:ascii="Times New Roman" w:hAnsi="Times New Roman"/>
          <w:color w:val="000000"/>
          <w:sz w:val="28"/>
          <w:szCs w:val="28"/>
        </w:rPr>
      </w:pPr>
    </w:p>
    <w:p w14:paraId="36096D2B" w14:textId="77777777" w:rsidR="00792071" w:rsidRPr="003B10E2" w:rsidRDefault="00C72198" w:rsidP="00DF25DE">
      <w:pPr>
        <w:spacing w:after="0" w:line="360" w:lineRule="auto"/>
        <w:ind w:firstLine="708"/>
        <w:jc w:val="both"/>
        <w:rPr>
          <w:rFonts w:ascii="Times New Roman" w:hAnsi="Times New Roman"/>
          <w:color w:val="000000"/>
          <w:sz w:val="28"/>
          <w:szCs w:val="28"/>
        </w:rPr>
      </w:pPr>
      <w:r w:rsidRPr="003B10E2">
        <w:rPr>
          <w:noProof/>
        </w:rPr>
        <w:drawing>
          <wp:inline distT="0" distB="0" distL="0" distR="0" wp14:anchorId="5874FB92" wp14:editId="1AE3F5DF">
            <wp:extent cx="4570730" cy="2741930"/>
            <wp:effectExtent l="0" t="0" r="1270" b="1270"/>
            <wp:docPr id="43"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2ADCA5E" w14:textId="77777777" w:rsidR="00792071" w:rsidRPr="003B10E2" w:rsidRDefault="00792071" w:rsidP="00792071">
      <w:pPr>
        <w:spacing w:after="0" w:line="240" w:lineRule="auto"/>
        <w:jc w:val="center"/>
        <w:rPr>
          <w:rFonts w:ascii="Times New Roman" w:hAnsi="Times New Roman"/>
          <w:iCs/>
          <w:color w:val="000000"/>
          <w:sz w:val="24"/>
          <w:szCs w:val="24"/>
        </w:rPr>
      </w:pPr>
      <w:r w:rsidRPr="003B10E2">
        <w:rPr>
          <w:rFonts w:ascii="Times New Roman" w:hAnsi="Times New Roman"/>
          <w:iCs/>
          <w:color w:val="000000"/>
          <w:sz w:val="24"/>
          <w:szCs w:val="24"/>
        </w:rPr>
        <w:t>Источник: Thomson Reuters.</w:t>
      </w:r>
    </w:p>
    <w:p w14:paraId="0039499A" w14:textId="77777777" w:rsidR="00792071" w:rsidRPr="003B10E2" w:rsidRDefault="00792071" w:rsidP="00792071">
      <w:pPr>
        <w:spacing w:after="0" w:line="240" w:lineRule="auto"/>
        <w:jc w:val="center"/>
        <w:rPr>
          <w:rFonts w:ascii="Times New Roman" w:hAnsi="Times New Roman"/>
          <w:iCs/>
          <w:color w:val="000000"/>
          <w:sz w:val="24"/>
          <w:szCs w:val="24"/>
        </w:rPr>
      </w:pPr>
      <w:r w:rsidRPr="003B10E2">
        <w:rPr>
          <w:rFonts w:ascii="Times New Roman" w:hAnsi="Times New Roman"/>
          <w:iCs/>
          <w:color w:val="000000"/>
          <w:sz w:val="24"/>
          <w:szCs w:val="24"/>
        </w:rPr>
        <w:t xml:space="preserve">Рисунок </w:t>
      </w:r>
      <w:r w:rsidR="00DF25DE" w:rsidRPr="003B10E2">
        <w:rPr>
          <w:rFonts w:ascii="Times New Roman" w:hAnsi="Times New Roman"/>
          <w:iCs/>
          <w:color w:val="000000"/>
          <w:sz w:val="24"/>
          <w:szCs w:val="24"/>
        </w:rPr>
        <w:t>47</w:t>
      </w:r>
      <w:r w:rsidRPr="003B10E2">
        <w:rPr>
          <w:rFonts w:ascii="Times New Roman" w:hAnsi="Times New Roman"/>
          <w:iCs/>
          <w:color w:val="000000"/>
          <w:sz w:val="24"/>
          <w:szCs w:val="24"/>
        </w:rPr>
        <w:t xml:space="preserve"> – Рыночная капитализация торгуемых акций</w:t>
      </w:r>
      <w:r w:rsidR="00352434" w:rsidRPr="003B10E2">
        <w:rPr>
          <w:rFonts w:ascii="Times New Roman" w:hAnsi="Times New Roman"/>
          <w:iCs/>
          <w:color w:val="000000"/>
          <w:sz w:val="24"/>
          <w:szCs w:val="24"/>
        </w:rPr>
        <w:t xml:space="preserve"> Шанхайской биржи</w:t>
      </w:r>
      <w:r w:rsidRPr="003B10E2">
        <w:rPr>
          <w:rFonts w:ascii="Times New Roman" w:hAnsi="Times New Roman"/>
          <w:iCs/>
          <w:color w:val="000000"/>
          <w:sz w:val="24"/>
          <w:szCs w:val="24"/>
        </w:rPr>
        <w:t>, 100 млн юаней</w:t>
      </w:r>
    </w:p>
    <w:p w14:paraId="30C93711" w14:textId="77777777" w:rsidR="00792071" w:rsidRPr="003B10E2" w:rsidRDefault="00792071" w:rsidP="00792071">
      <w:pPr>
        <w:spacing w:after="0" w:line="240" w:lineRule="auto"/>
        <w:jc w:val="center"/>
        <w:rPr>
          <w:rFonts w:ascii="Times New Roman" w:hAnsi="Times New Roman"/>
          <w:iCs/>
          <w:color w:val="000000"/>
          <w:sz w:val="24"/>
          <w:szCs w:val="24"/>
        </w:rPr>
      </w:pPr>
    </w:p>
    <w:p w14:paraId="325261C4" w14:textId="77777777" w:rsidR="00651284" w:rsidRPr="003B10E2" w:rsidRDefault="00651284" w:rsidP="001A0EE3">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Такие перераспределения средств инвесторов в соответствие со стилевыми предпочтениями должны происходить с большей интенсивностью, чем перераспределения между акциями, сгруппированными случайным образом. Кроме того, можно ожидать, что шоки спроса на уровне стиля со стороны очень большой группы инвесторов окажут существенное влияние на цены и ожидаемую доходность, поскольку другим инвесторам потребуются стимулы для переориентации своих портфельных активов, чтобы приспособиться к ним</w:t>
      </w:r>
      <w:r w:rsidR="001A0EE3" w:rsidRPr="003B10E2">
        <w:rPr>
          <w:rFonts w:ascii="Times New Roman" w:hAnsi="Times New Roman"/>
          <w:color w:val="000000"/>
          <w:sz w:val="28"/>
          <w:szCs w:val="28"/>
        </w:rPr>
        <w:t>.</w:t>
      </w:r>
    </w:p>
    <w:p w14:paraId="1D7D7538" w14:textId="77777777" w:rsidR="00651284" w:rsidRPr="003B10E2" w:rsidRDefault="00651284" w:rsidP="00FF138F">
      <w:pPr>
        <w:spacing w:line="360" w:lineRule="auto"/>
        <w:ind w:firstLine="708"/>
        <w:contextualSpacing/>
        <w:jc w:val="both"/>
        <w:rPr>
          <w:bCs/>
        </w:rPr>
      </w:pPr>
      <w:r w:rsidRPr="003B10E2">
        <w:rPr>
          <w:rFonts w:ascii="Times New Roman" w:hAnsi="Times New Roman"/>
          <w:bCs/>
          <w:color w:val="000000"/>
          <w:sz w:val="28"/>
          <w:szCs w:val="28"/>
        </w:rPr>
        <w:t>2. Сохранение доли инвесторов-н</w:t>
      </w:r>
      <w:r w:rsidR="00FF138F" w:rsidRPr="003B10E2">
        <w:rPr>
          <w:rFonts w:ascii="Times New Roman" w:hAnsi="Times New Roman"/>
          <w:bCs/>
          <w:color w:val="000000"/>
          <w:sz w:val="28"/>
          <w:szCs w:val="28"/>
        </w:rPr>
        <w:t xml:space="preserve">ерезидентов на уровне 40-50% на </w:t>
      </w:r>
      <w:r w:rsidRPr="003B10E2">
        <w:rPr>
          <w:rFonts w:ascii="Times New Roman" w:hAnsi="Times New Roman"/>
          <w:bCs/>
          <w:color w:val="000000"/>
          <w:sz w:val="28"/>
          <w:szCs w:val="28"/>
        </w:rPr>
        <w:t>фоне глобального избытка ликвидности.</w:t>
      </w:r>
    </w:p>
    <w:p w14:paraId="7106B716" w14:textId="77777777" w:rsidR="00651284" w:rsidRPr="003B10E2" w:rsidRDefault="00651284" w:rsidP="00651284">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Стимулирующие меры центробанков в развитых странах [247, 249] привели к повышению уровня ликвидности. Поскольку по своей природе индексные инвестиции имеют короткий срок вложения, они могут быстро перемещаться с одного рынка на другой. Существует несколько исследований, доказывающих рост доли стилевых инвесторов в мире [169, 180].</w:t>
      </w:r>
    </w:p>
    <w:p w14:paraId="29AACDB7" w14:textId="77777777"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Покупка инвесторами может основываться на ожидаемых фундаментальных показателях или настроениях. Если категории стилей отражают различия в фундаментальных рисках, изменения в спросе инвесторов могут отражать фундаментальную информацию. Группа инвесторов покупает ценные бумаги, когда они ожидают положительную фундаментальную информацию, учитывая текущие цены. </w:t>
      </w:r>
      <w:r w:rsidR="008A3C6A" w:rsidRPr="003B10E2">
        <w:rPr>
          <w:rFonts w:ascii="Times New Roman" w:hAnsi="Times New Roman"/>
          <w:color w:val="000000"/>
          <w:sz w:val="28"/>
          <w:szCs w:val="28"/>
        </w:rPr>
        <w:t>Г</w:t>
      </w:r>
      <w:r w:rsidRPr="003B10E2">
        <w:rPr>
          <w:rFonts w:ascii="Times New Roman" w:hAnsi="Times New Roman"/>
          <w:color w:val="000000"/>
          <w:sz w:val="28"/>
          <w:szCs w:val="28"/>
        </w:rPr>
        <w:t>лобальные инвесторы получают мало позитивной информации о российской экономике с 2014 года, российский рынок акций привлекает не так много новых глобальных инвесторов.</w:t>
      </w:r>
    </w:p>
    <w:p w14:paraId="18A2AFBD" w14:textId="77777777" w:rsidR="00651284" w:rsidRPr="003B10E2" w:rsidRDefault="00F65B72"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И</w:t>
      </w:r>
      <w:r w:rsidR="00651284" w:rsidRPr="003B10E2">
        <w:rPr>
          <w:rFonts w:ascii="Times New Roman" w:hAnsi="Times New Roman"/>
          <w:color w:val="000000"/>
          <w:sz w:val="28"/>
          <w:szCs w:val="28"/>
        </w:rPr>
        <w:t xml:space="preserve">зменения цен должны быть более постоянными, если причиной является фундаментальная информация, и более преходящими, если причиной являются настроения. На каком-то горизонте рационально ожидаемая доходность должна стать отрицательной, поскольку в итоге цены сходятся к фундаментальным значениям. Поэтому если угроза снижения глобального роста экономики исчезнет, то российские рынки могут получить новых инвесторов. </w:t>
      </w:r>
    </w:p>
    <w:p w14:paraId="343C995D" w14:textId="77777777" w:rsidR="00651284" w:rsidRPr="003B10E2" w:rsidRDefault="00651284" w:rsidP="009D70FB">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Поскольку российский рынок акций представлен в основном нефтегазовыми компаниями, а цены на нефть после 2014 года остаются крайне нестабильными, то этот стилевой сегмент (нефть и газ) проигрывает другим сегментам (ИТ, чистая энергетика, биотехнологии), что приводит к сохранению доли глобальных инвесторов на уровне 40-50%. Корреляция между основными индексами может привести к аналогичному распределению активов и усилению связи между доходностью определенных групп акций [170, 178]</w:t>
      </w:r>
      <w:r w:rsidR="009D70FB" w:rsidRPr="003B10E2">
        <w:rPr>
          <w:rFonts w:ascii="Times New Roman" w:hAnsi="Times New Roman"/>
          <w:color w:val="000000"/>
          <w:sz w:val="28"/>
          <w:szCs w:val="28"/>
        </w:rPr>
        <w:t xml:space="preserve">. </w:t>
      </w:r>
    </w:p>
    <w:bookmarkEnd w:id="188"/>
    <w:p w14:paraId="13D44500" w14:textId="77777777" w:rsidR="009D70FB" w:rsidRPr="003B10E2" w:rsidRDefault="00C72198" w:rsidP="009D70FB">
      <w:pPr>
        <w:spacing w:after="0" w:line="360" w:lineRule="auto"/>
        <w:jc w:val="both"/>
        <w:rPr>
          <w:rFonts w:ascii="Times New Roman" w:hAnsi="Times New Roman"/>
          <w:color w:val="000000"/>
          <w:sz w:val="28"/>
          <w:szCs w:val="28"/>
        </w:rPr>
      </w:pPr>
      <w:r w:rsidRPr="003B10E2">
        <w:rPr>
          <w:rFonts w:ascii="Times New Roman" w:hAnsi="Times New Roman"/>
          <w:noProof/>
          <w:color w:val="000000"/>
          <w:sz w:val="28"/>
          <w:szCs w:val="28"/>
        </w:rPr>
        <w:drawing>
          <wp:inline distT="0" distB="0" distL="0" distR="0" wp14:anchorId="365C19B8" wp14:editId="06537A0B">
            <wp:extent cx="5895975" cy="3085465"/>
            <wp:effectExtent l="0" t="0" r="0" b="0"/>
            <wp:docPr id="44" name="Рисунок 1" descr="C:\Users\liska\Desktop\Снимок.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C:\Users\liska\Desktop\Снимок.JPG"/>
                    <pic:cNvPicPr>
                      <a:picLocks/>
                    </pic:cNvPicPr>
                  </pic:nvPicPr>
                  <pic:blipFill>
                    <a:blip r:embed="rId69">
                      <a:grayscl/>
                      <a:extLst>
                        <a:ext uri="{28A0092B-C50C-407E-A947-70E740481C1C}">
                          <a14:useLocalDpi xmlns:a14="http://schemas.microsoft.com/office/drawing/2010/main" val="0"/>
                        </a:ext>
                      </a:extLst>
                    </a:blip>
                    <a:srcRect/>
                    <a:stretch>
                      <a:fillRect/>
                    </a:stretch>
                  </pic:blipFill>
                  <pic:spPr bwMode="auto">
                    <a:xfrm>
                      <a:off x="0" y="0"/>
                      <a:ext cx="5895975" cy="3085465"/>
                    </a:xfrm>
                    <a:prstGeom prst="rect">
                      <a:avLst/>
                    </a:prstGeom>
                    <a:noFill/>
                    <a:ln>
                      <a:noFill/>
                    </a:ln>
                  </pic:spPr>
                </pic:pic>
              </a:graphicData>
            </a:graphic>
          </wp:inline>
        </w:drawing>
      </w:r>
    </w:p>
    <w:p w14:paraId="5167DE07" w14:textId="77777777" w:rsidR="009D70FB" w:rsidRPr="003B10E2" w:rsidRDefault="009D70FB" w:rsidP="009D70FB">
      <w:pPr>
        <w:spacing w:after="0" w:line="240" w:lineRule="auto"/>
        <w:ind w:firstLine="851"/>
        <w:jc w:val="center"/>
        <w:rPr>
          <w:rFonts w:ascii="Times New Roman" w:hAnsi="Times New Roman"/>
          <w:color w:val="000000"/>
          <w:sz w:val="24"/>
          <w:szCs w:val="24"/>
        </w:rPr>
      </w:pPr>
      <w:r w:rsidRPr="003B10E2">
        <w:rPr>
          <w:rFonts w:ascii="Times New Roman" w:hAnsi="Times New Roman"/>
          <w:color w:val="000000"/>
          <w:sz w:val="24"/>
          <w:szCs w:val="24"/>
        </w:rPr>
        <w:t>Источник: составлено автором.</w:t>
      </w:r>
    </w:p>
    <w:p w14:paraId="18BD81E5" w14:textId="77777777" w:rsidR="009D70FB" w:rsidRPr="003B10E2" w:rsidRDefault="009D70FB" w:rsidP="009D70FB">
      <w:pPr>
        <w:spacing w:after="0" w:line="240" w:lineRule="auto"/>
        <w:ind w:firstLine="851"/>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DF25DE" w:rsidRPr="003B10E2">
        <w:rPr>
          <w:rFonts w:ascii="Times New Roman" w:hAnsi="Times New Roman"/>
          <w:color w:val="000000"/>
          <w:sz w:val="24"/>
          <w:szCs w:val="24"/>
        </w:rPr>
        <w:t>48</w:t>
      </w:r>
      <w:r w:rsidRPr="003B10E2">
        <w:rPr>
          <w:rFonts w:ascii="Times New Roman" w:hAnsi="Times New Roman"/>
          <w:color w:val="000000"/>
          <w:sz w:val="24"/>
          <w:szCs w:val="24"/>
        </w:rPr>
        <w:t xml:space="preserve"> </w:t>
      </w:r>
      <w:r w:rsidRPr="003B10E2">
        <w:rPr>
          <w:rFonts w:ascii="Times New Roman" w:hAnsi="Times New Roman"/>
          <w:iCs/>
          <w:color w:val="000000"/>
          <w:sz w:val="24"/>
          <w:szCs w:val="24"/>
        </w:rPr>
        <w:t xml:space="preserve">– </w:t>
      </w:r>
      <w:r w:rsidRPr="003B10E2">
        <w:rPr>
          <w:rFonts w:ascii="Times New Roman" w:hAnsi="Times New Roman"/>
          <w:color w:val="000000"/>
          <w:sz w:val="24"/>
          <w:szCs w:val="24"/>
        </w:rPr>
        <w:t>Поведение инвесторов-нерезидентов</w:t>
      </w:r>
    </w:p>
    <w:p w14:paraId="392CEF61" w14:textId="77777777" w:rsidR="008A61B7" w:rsidRPr="003B10E2" w:rsidRDefault="008A61B7" w:rsidP="0088161E">
      <w:pPr>
        <w:spacing w:after="0" w:line="240" w:lineRule="auto"/>
        <w:jc w:val="center"/>
        <w:rPr>
          <w:rFonts w:ascii="Times New Roman" w:hAnsi="Times New Roman"/>
          <w:iCs/>
          <w:color w:val="000000"/>
          <w:sz w:val="24"/>
          <w:szCs w:val="24"/>
        </w:rPr>
      </w:pPr>
    </w:p>
    <w:p w14:paraId="0BE83721" w14:textId="77777777" w:rsidR="00651284" w:rsidRPr="003B10E2" w:rsidRDefault="00C72198" w:rsidP="0088161E">
      <w:pPr>
        <w:spacing w:after="0" w:line="240" w:lineRule="auto"/>
        <w:jc w:val="center"/>
        <w:rPr>
          <w:rFonts w:ascii="Times New Roman" w:hAnsi="Times New Roman"/>
          <w:color w:val="000000"/>
          <w:sz w:val="28"/>
          <w:szCs w:val="28"/>
        </w:rPr>
      </w:pPr>
      <w:r w:rsidRPr="003B10E2">
        <w:rPr>
          <w:noProof/>
        </w:rPr>
        <w:drawing>
          <wp:inline distT="0" distB="0" distL="0" distR="0" wp14:anchorId="4B7DB570" wp14:editId="30A6616E">
            <wp:extent cx="5941060" cy="3708400"/>
            <wp:effectExtent l="0" t="0" r="0" b="0"/>
            <wp:docPr id="45" name="Рисунок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5"/>
                    <pic:cNvPicPr>
                      <a:picLocks/>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1060" cy="3708400"/>
                    </a:xfrm>
                    <a:prstGeom prst="rect">
                      <a:avLst/>
                    </a:prstGeom>
                    <a:noFill/>
                    <a:ln>
                      <a:noFill/>
                    </a:ln>
                  </pic:spPr>
                </pic:pic>
              </a:graphicData>
            </a:graphic>
          </wp:inline>
        </w:drawing>
      </w:r>
      <w:r w:rsidR="001A0EE3" w:rsidRPr="003B10E2">
        <w:rPr>
          <w:rFonts w:ascii="Times New Roman" w:hAnsi="Times New Roman"/>
          <w:iCs/>
          <w:color w:val="000000"/>
          <w:sz w:val="24"/>
          <w:szCs w:val="24"/>
        </w:rPr>
        <w:t>Источник: Thomson Reuters</w:t>
      </w:r>
    </w:p>
    <w:p w14:paraId="6697AD20" w14:textId="77777777" w:rsidR="00651284" w:rsidRPr="003B10E2" w:rsidRDefault="009D70FB" w:rsidP="0088161E">
      <w:pPr>
        <w:spacing w:after="0" w:line="240" w:lineRule="auto"/>
        <w:jc w:val="center"/>
        <w:rPr>
          <w:rFonts w:ascii="Times New Roman" w:hAnsi="Times New Roman"/>
          <w:iCs/>
          <w:color w:val="000000"/>
          <w:sz w:val="24"/>
          <w:szCs w:val="24"/>
        </w:rPr>
      </w:pPr>
      <w:r w:rsidRPr="003B10E2">
        <w:rPr>
          <w:rFonts w:ascii="Times New Roman" w:hAnsi="Times New Roman"/>
          <w:iCs/>
          <w:color w:val="000000"/>
          <w:sz w:val="24"/>
          <w:szCs w:val="24"/>
        </w:rPr>
        <w:t xml:space="preserve">Рисунок </w:t>
      </w:r>
      <w:r w:rsidR="00DF25DE" w:rsidRPr="003B10E2">
        <w:rPr>
          <w:rFonts w:ascii="Times New Roman" w:hAnsi="Times New Roman"/>
          <w:iCs/>
          <w:color w:val="000000"/>
          <w:sz w:val="24"/>
          <w:szCs w:val="24"/>
        </w:rPr>
        <w:t>49</w:t>
      </w:r>
      <w:r w:rsidR="001A0EE3" w:rsidRPr="003B10E2">
        <w:rPr>
          <w:rFonts w:ascii="Times New Roman" w:hAnsi="Times New Roman"/>
          <w:iCs/>
          <w:color w:val="000000"/>
          <w:sz w:val="24"/>
          <w:szCs w:val="24"/>
        </w:rPr>
        <w:t xml:space="preserve"> – </w:t>
      </w:r>
      <w:r w:rsidR="00651284" w:rsidRPr="003B10E2">
        <w:rPr>
          <w:rFonts w:ascii="Times New Roman" w:hAnsi="Times New Roman"/>
          <w:color w:val="000000"/>
          <w:sz w:val="24"/>
          <w:szCs w:val="24"/>
        </w:rPr>
        <w:t>Доля нерезидентов на рынке акций в объем</w:t>
      </w:r>
      <w:r w:rsidR="001A0EE3" w:rsidRPr="003B10E2">
        <w:rPr>
          <w:rFonts w:ascii="Times New Roman" w:hAnsi="Times New Roman"/>
          <w:color w:val="000000"/>
          <w:sz w:val="24"/>
          <w:szCs w:val="24"/>
        </w:rPr>
        <w:t>е торгов на Московской бирже, %</w:t>
      </w:r>
    </w:p>
    <w:p w14:paraId="63D9910B" w14:textId="77777777" w:rsidR="00651284" w:rsidRPr="003B10E2" w:rsidRDefault="00651284" w:rsidP="00651284">
      <w:pPr>
        <w:spacing w:after="0" w:line="240" w:lineRule="auto"/>
        <w:ind w:firstLine="851"/>
        <w:jc w:val="center"/>
        <w:rPr>
          <w:rFonts w:ascii="Times New Roman" w:hAnsi="Times New Roman"/>
          <w:iCs/>
          <w:color w:val="000000"/>
          <w:sz w:val="24"/>
          <w:szCs w:val="24"/>
        </w:rPr>
      </w:pPr>
      <w:r w:rsidRPr="003B10E2">
        <w:rPr>
          <w:rFonts w:ascii="Times New Roman" w:hAnsi="Times New Roman"/>
          <w:iCs/>
          <w:color w:val="000000"/>
          <w:sz w:val="24"/>
          <w:szCs w:val="24"/>
        </w:rPr>
        <w:t>.</w:t>
      </w:r>
    </w:p>
    <w:p w14:paraId="2C9E4CD5" w14:textId="77777777" w:rsidR="00651284" w:rsidRPr="003B10E2" w:rsidRDefault="00651284" w:rsidP="00651284">
      <w:pPr>
        <w:spacing w:after="0" w:line="360" w:lineRule="auto"/>
        <w:ind w:firstLine="851"/>
        <w:jc w:val="both"/>
        <w:rPr>
          <w:rFonts w:ascii="Times New Roman" w:hAnsi="Times New Roman"/>
          <w:color w:val="000000"/>
          <w:sz w:val="28"/>
          <w:szCs w:val="28"/>
        </w:rPr>
      </w:pPr>
    </w:p>
    <w:p w14:paraId="4FF64831" w14:textId="77777777"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Доля нерезидентов с 2013 по 2020 гг. сохраня</w:t>
      </w:r>
      <w:r w:rsidR="00F65B72" w:rsidRPr="003B10E2">
        <w:rPr>
          <w:rFonts w:ascii="Times New Roman" w:hAnsi="Times New Roman"/>
          <w:color w:val="000000"/>
          <w:sz w:val="28"/>
          <w:szCs w:val="28"/>
        </w:rPr>
        <w:t>лась</w:t>
      </w:r>
      <w:r w:rsidRPr="003B10E2">
        <w:rPr>
          <w:rFonts w:ascii="Times New Roman" w:hAnsi="Times New Roman"/>
          <w:color w:val="000000"/>
          <w:sz w:val="28"/>
          <w:szCs w:val="28"/>
        </w:rPr>
        <w:t xml:space="preserve"> на уровне </w:t>
      </w:r>
      <w:r w:rsidR="009D70FB" w:rsidRPr="003B10E2">
        <w:rPr>
          <w:rFonts w:ascii="Times New Roman" w:hAnsi="Times New Roman"/>
          <w:color w:val="000000"/>
          <w:sz w:val="28"/>
          <w:szCs w:val="28"/>
        </w:rPr>
        <w:t xml:space="preserve">около 45% процентов (рисунки </w:t>
      </w:r>
      <w:r w:rsidR="00DF25DE" w:rsidRPr="003B10E2">
        <w:rPr>
          <w:rFonts w:ascii="Times New Roman" w:hAnsi="Times New Roman"/>
          <w:color w:val="000000"/>
          <w:sz w:val="28"/>
          <w:szCs w:val="28"/>
        </w:rPr>
        <w:t>48</w:t>
      </w:r>
      <w:r w:rsidR="009D70FB" w:rsidRPr="003B10E2">
        <w:rPr>
          <w:rFonts w:ascii="Times New Roman" w:hAnsi="Times New Roman"/>
          <w:color w:val="000000"/>
          <w:sz w:val="28"/>
          <w:szCs w:val="28"/>
        </w:rPr>
        <w:t xml:space="preserve">, </w:t>
      </w:r>
      <w:r w:rsidR="00DF25DE" w:rsidRPr="003B10E2">
        <w:rPr>
          <w:rFonts w:ascii="Times New Roman" w:hAnsi="Times New Roman"/>
          <w:color w:val="000000"/>
          <w:sz w:val="28"/>
          <w:szCs w:val="28"/>
        </w:rPr>
        <w:t>49</w:t>
      </w:r>
      <w:r w:rsidRPr="003B10E2">
        <w:rPr>
          <w:rFonts w:ascii="Times New Roman" w:hAnsi="Times New Roman"/>
          <w:color w:val="000000"/>
          <w:sz w:val="28"/>
          <w:szCs w:val="28"/>
        </w:rPr>
        <w:t>). Даже небольшие изменения в распределении портфеля крупных инвесторов могут оказать серьезное влияние на цены из-за огромного масштаба инвестиций относительно небольших и неликвидных финансовых рынков развивающихся стран</w:t>
      </w:r>
      <w:r w:rsidR="00F65B72" w:rsidRPr="003B10E2">
        <w:rPr>
          <w:rFonts w:ascii="Times New Roman" w:hAnsi="Times New Roman"/>
          <w:color w:val="000000"/>
          <w:sz w:val="28"/>
          <w:szCs w:val="28"/>
        </w:rPr>
        <w:t xml:space="preserve"> </w:t>
      </w:r>
      <w:r w:rsidRPr="003B10E2">
        <w:rPr>
          <w:rFonts w:ascii="Times New Roman" w:hAnsi="Times New Roman"/>
          <w:color w:val="000000"/>
          <w:sz w:val="28"/>
          <w:szCs w:val="28"/>
        </w:rPr>
        <w:t>[170, 178].</w:t>
      </w:r>
    </w:p>
    <w:p w14:paraId="363C5E36" w14:textId="77777777"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Очень сильная тенденция к увеличению активности нерезидентов была заметна в 2000 – 2008 гг., при этом после кризиса 2008 г. отток этих нерезидентов стал причиной более сильного обвала фондового рынка России, чем рынков развитых стран. </w:t>
      </w:r>
    </w:p>
    <w:p w14:paraId="44F7125C" w14:textId="77777777" w:rsidR="00651284" w:rsidRPr="003B10E2" w:rsidRDefault="00651284" w:rsidP="009D70FB">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Более высокая ликвидность увеличивает спрос на акции и способствует сохранению доли н</w:t>
      </w:r>
      <w:r w:rsidR="009D70FB" w:rsidRPr="003B10E2">
        <w:rPr>
          <w:rFonts w:ascii="Times New Roman" w:hAnsi="Times New Roman"/>
          <w:color w:val="000000"/>
          <w:sz w:val="28"/>
          <w:szCs w:val="28"/>
        </w:rPr>
        <w:t>ерезидентов на текущих уровнях.</w:t>
      </w:r>
    </w:p>
    <w:p w14:paraId="55883DF8" w14:textId="77777777" w:rsidR="00651284" w:rsidRPr="003B10E2" w:rsidRDefault="00651284" w:rsidP="001A0EE3">
      <w:pPr>
        <w:spacing w:after="0" w:line="360" w:lineRule="auto"/>
        <w:ind w:firstLine="708"/>
        <w:contextualSpacing/>
        <w:jc w:val="both"/>
      </w:pPr>
      <w:r w:rsidRPr="003B10E2">
        <w:rPr>
          <w:rFonts w:ascii="Times New Roman" w:hAnsi="Times New Roman"/>
          <w:bCs/>
          <w:color w:val="000000"/>
          <w:sz w:val="28"/>
          <w:szCs w:val="28"/>
        </w:rPr>
        <w:t>3. В условиях низких глобальных процентных ставок отношение капитализации к ВВП и объемы торгов к ВВП снижаются.</w:t>
      </w:r>
    </w:p>
    <w:p w14:paraId="66BE382C" w14:textId="77777777" w:rsidR="009D70FB" w:rsidRPr="003B10E2" w:rsidRDefault="00C72198" w:rsidP="009D70FB">
      <w:pPr>
        <w:rPr>
          <w:rFonts w:ascii="Times New Roman" w:hAnsi="Times New Roman"/>
          <w:color w:val="000000"/>
          <w:sz w:val="28"/>
          <w:szCs w:val="28"/>
        </w:rPr>
      </w:pPr>
      <w:r w:rsidRPr="003B10E2">
        <w:rPr>
          <w:rFonts w:ascii="Times New Roman" w:hAnsi="Times New Roman"/>
          <w:noProof/>
          <w:color w:val="000000"/>
          <w:sz w:val="28"/>
          <w:szCs w:val="28"/>
        </w:rPr>
        <w:drawing>
          <wp:inline distT="0" distB="0" distL="0" distR="0" wp14:anchorId="79F48755" wp14:editId="34F8C7EF">
            <wp:extent cx="5923915" cy="2810510"/>
            <wp:effectExtent l="0" t="0" r="0" b="0"/>
            <wp:docPr id="46" name="Рисунок 3" descr="C:\Users\liska\Desktop\Снимок-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C:\Users\liska\Desktop\Снимок-2.JPG"/>
                    <pic:cNvPicPr>
                      <a:picLocks/>
                    </pic:cNvPicPr>
                  </pic:nvPicPr>
                  <pic:blipFill>
                    <a:blip r:embed="rId71">
                      <a:grayscl/>
                      <a:extLst>
                        <a:ext uri="{28A0092B-C50C-407E-A947-70E740481C1C}">
                          <a14:useLocalDpi xmlns:a14="http://schemas.microsoft.com/office/drawing/2010/main" val="0"/>
                        </a:ext>
                      </a:extLst>
                    </a:blip>
                    <a:srcRect/>
                    <a:stretch>
                      <a:fillRect/>
                    </a:stretch>
                  </pic:blipFill>
                  <pic:spPr bwMode="auto">
                    <a:xfrm>
                      <a:off x="0" y="0"/>
                      <a:ext cx="5923915" cy="2810510"/>
                    </a:xfrm>
                    <a:prstGeom prst="rect">
                      <a:avLst/>
                    </a:prstGeom>
                    <a:noFill/>
                    <a:ln>
                      <a:noFill/>
                    </a:ln>
                  </pic:spPr>
                </pic:pic>
              </a:graphicData>
            </a:graphic>
          </wp:inline>
        </w:drawing>
      </w:r>
    </w:p>
    <w:p w14:paraId="2A7DCB19" w14:textId="77777777" w:rsidR="001A0EE3" w:rsidRPr="003B10E2" w:rsidRDefault="001A0EE3" w:rsidP="001A0EE3">
      <w:pPr>
        <w:spacing w:after="0" w:line="240" w:lineRule="auto"/>
        <w:ind w:firstLine="851"/>
        <w:jc w:val="center"/>
        <w:rPr>
          <w:rFonts w:ascii="Times New Roman" w:hAnsi="Times New Roman"/>
          <w:color w:val="000000"/>
          <w:sz w:val="24"/>
          <w:szCs w:val="24"/>
        </w:rPr>
      </w:pPr>
      <w:r w:rsidRPr="003B10E2">
        <w:rPr>
          <w:rFonts w:ascii="Times New Roman" w:hAnsi="Times New Roman"/>
          <w:color w:val="000000"/>
          <w:sz w:val="24"/>
          <w:szCs w:val="24"/>
        </w:rPr>
        <w:t>Источник: составлено автором.</w:t>
      </w:r>
    </w:p>
    <w:p w14:paraId="36E55320" w14:textId="77777777" w:rsidR="00651284" w:rsidRPr="003B10E2" w:rsidRDefault="009D70FB" w:rsidP="001A0EE3">
      <w:pPr>
        <w:spacing w:after="0" w:line="240" w:lineRule="auto"/>
        <w:ind w:firstLine="851"/>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8B6285" w:rsidRPr="003B10E2">
        <w:rPr>
          <w:rFonts w:ascii="Times New Roman" w:hAnsi="Times New Roman"/>
          <w:color w:val="000000"/>
          <w:sz w:val="24"/>
          <w:szCs w:val="24"/>
        </w:rPr>
        <w:t>5</w:t>
      </w:r>
      <w:r w:rsidR="00DF25DE" w:rsidRPr="003B10E2">
        <w:rPr>
          <w:rFonts w:ascii="Times New Roman" w:hAnsi="Times New Roman"/>
          <w:color w:val="000000"/>
          <w:sz w:val="24"/>
          <w:szCs w:val="24"/>
        </w:rPr>
        <w:t>0</w:t>
      </w:r>
      <w:r w:rsidR="00651284" w:rsidRPr="003B10E2">
        <w:rPr>
          <w:rFonts w:ascii="Times New Roman" w:hAnsi="Times New Roman"/>
          <w:color w:val="000000"/>
          <w:sz w:val="24"/>
          <w:szCs w:val="24"/>
        </w:rPr>
        <w:t xml:space="preserve"> </w:t>
      </w:r>
      <w:r w:rsidR="001A0EE3" w:rsidRPr="003B10E2">
        <w:rPr>
          <w:rFonts w:ascii="Times New Roman" w:hAnsi="Times New Roman"/>
          <w:color w:val="000000"/>
          <w:sz w:val="24"/>
          <w:szCs w:val="24"/>
        </w:rPr>
        <w:t xml:space="preserve">– </w:t>
      </w:r>
      <w:r w:rsidR="00651284" w:rsidRPr="003B10E2">
        <w:rPr>
          <w:rFonts w:ascii="Times New Roman" w:hAnsi="Times New Roman"/>
          <w:color w:val="000000"/>
          <w:sz w:val="24"/>
          <w:szCs w:val="24"/>
        </w:rPr>
        <w:t>Российский рыно</w:t>
      </w:r>
      <w:r w:rsidR="001A0EE3" w:rsidRPr="003B10E2">
        <w:rPr>
          <w:rFonts w:ascii="Times New Roman" w:hAnsi="Times New Roman"/>
          <w:color w:val="000000"/>
          <w:sz w:val="24"/>
          <w:szCs w:val="24"/>
        </w:rPr>
        <w:t>к: низкая долларовая доходность</w:t>
      </w:r>
    </w:p>
    <w:p w14:paraId="16B2D2B0" w14:textId="77777777" w:rsidR="00651284" w:rsidRPr="003B10E2" w:rsidRDefault="00651284" w:rsidP="00651284">
      <w:pPr>
        <w:spacing w:after="0" w:line="360" w:lineRule="auto"/>
        <w:ind w:firstLine="851"/>
        <w:jc w:val="both"/>
        <w:rPr>
          <w:rFonts w:ascii="Times New Roman" w:hAnsi="Times New Roman"/>
          <w:color w:val="000000"/>
          <w:sz w:val="28"/>
          <w:szCs w:val="28"/>
        </w:rPr>
      </w:pPr>
    </w:p>
    <w:p w14:paraId="6549582B" w14:textId="77777777"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Обычно при низких процентных ставках институциональные инвесторы ищут более высокую доходность на рынках рискованных инструментов. Однако в ситуации отрицательных процентных ставок институциональные инвесторы стали искать активы приемлемого уровня долларовой доходности (4 – 10%) [143]. Российский рынок не попал в </w:t>
      </w:r>
      <w:r w:rsidRPr="003B10E2">
        <w:rPr>
          <w:rFonts w:ascii="Times New Roman" w:hAnsi="Times New Roman"/>
          <w:sz w:val="28"/>
          <w:szCs w:val="28"/>
        </w:rPr>
        <w:t xml:space="preserve">стилевые индексы растущих рынков для глобальных инвесторов. Как показано на рисунке </w:t>
      </w:r>
      <w:r w:rsidR="008B6285" w:rsidRPr="003B10E2">
        <w:rPr>
          <w:rFonts w:ascii="Times New Roman" w:hAnsi="Times New Roman"/>
          <w:sz w:val="28"/>
          <w:szCs w:val="28"/>
        </w:rPr>
        <w:t>5</w:t>
      </w:r>
      <w:r w:rsidR="00DF25DE" w:rsidRPr="003B10E2">
        <w:rPr>
          <w:rFonts w:ascii="Times New Roman" w:hAnsi="Times New Roman"/>
          <w:sz w:val="28"/>
          <w:szCs w:val="28"/>
        </w:rPr>
        <w:t>0</w:t>
      </w:r>
      <w:r w:rsidRPr="003B10E2">
        <w:rPr>
          <w:rFonts w:ascii="Times New Roman" w:hAnsi="Times New Roman"/>
          <w:sz w:val="28"/>
          <w:szCs w:val="28"/>
        </w:rPr>
        <w:t xml:space="preserve">, </w:t>
      </w:r>
      <w:r w:rsidRPr="003B10E2">
        <w:rPr>
          <w:rFonts w:ascii="Times New Roman" w:hAnsi="Times New Roman"/>
          <w:color w:val="000000"/>
          <w:sz w:val="28"/>
          <w:szCs w:val="28"/>
        </w:rPr>
        <w:t>политика отрицательных ставок привела к притоку инвесторов в рискованные мусорные облигации, американские акции и золото (и последующему росту цен на эти активы). Поэтому отрицательные ставки в развитых странах не способствовали росту параметра капитализации рынка акций России к ВВП. Объемы торгов на рынке акций России по отношению к ВВП также снижались, начиная с 2007 г. Российский долговой рынок чувствовал себя намного лучше рынка акций на фоне интереса к мусорным обли</w:t>
      </w:r>
      <w:r w:rsidR="009D70FB" w:rsidRPr="003B10E2">
        <w:rPr>
          <w:rFonts w:ascii="Times New Roman" w:hAnsi="Times New Roman"/>
          <w:color w:val="000000"/>
          <w:sz w:val="28"/>
          <w:szCs w:val="28"/>
        </w:rPr>
        <w:t>гациям в мире</w:t>
      </w:r>
      <w:r w:rsidRPr="003B10E2">
        <w:rPr>
          <w:rFonts w:ascii="Times New Roman" w:hAnsi="Times New Roman"/>
          <w:color w:val="000000"/>
          <w:sz w:val="28"/>
          <w:szCs w:val="28"/>
        </w:rPr>
        <w:t>.</w:t>
      </w:r>
    </w:p>
    <w:p w14:paraId="49C8463B" w14:textId="77777777" w:rsidR="00651284" w:rsidRPr="003B10E2" w:rsidRDefault="00651284" w:rsidP="00651284">
      <w:pPr>
        <w:spacing w:after="0" w:line="360" w:lineRule="auto"/>
        <w:ind w:firstLine="851"/>
        <w:jc w:val="both"/>
        <w:rPr>
          <w:rFonts w:ascii="Times New Roman" w:hAnsi="Times New Roman"/>
          <w:color w:val="000000"/>
          <w:sz w:val="24"/>
          <w:szCs w:val="24"/>
        </w:rPr>
      </w:pPr>
      <w:r w:rsidRPr="003B10E2">
        <w:rPr>
          <w:rFonts w:ascii="Times New Roman" w:hAnsi="Times New Roman"/>
          <w:color w:val="000000"/>
          <w:sz w:val="28"/>
          <w:szCs w:val="28"/>
        </w:rPr>
        <w:t>Применение монетарной политики отрицательных ставок в развитых странах привело проблеме, когда снижение коридора процентных ставок не оказало достаточного эффекта на экономику, мало способствуя сокращению дефляционных процессов. Заметная доля инвесторов направила свои средства в более рискованные мусорные облигации, рискованные акции и золото, поэтому среднегодовая доходность этих классов активов стала заметно расти после 2014 г.</w:t>
      </w:r>
    </w:p>
    <w:p w14:paraId="233B32C2" w14:textId="77777777"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Впервые отрицательная процентная ставка (– 0,2%) по депозитам для коммерческих банков была введена в Дании в июле 2012 г. Данная мера в первую очередь была направлена на стимулирование роста ВВП страны после кризиса 2008 г.</w:t>
      </w:r>
    </w:p>
    <w:p w14:paraId="3116F07A" w14:textId="77777777"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По примеру Дании отрицательную ставку (– 0.7%) по депозитам в июне 2014 г. приняли страны еврозоны. Данное решение было принято с целью возвращения инфляции к целевым значениям в 2-3% ежегодного роста</w:t>
      </w:r>
      <w:r w:rsidR="00CE6182" w:rsidRPr="003B10E2">
        <w:rPr>
          <w:rFonts w:ascii="Times New Roman" w:hAnsi="Times New Roman"/>
          <w:color w:val="000000"/>
          <w:sz w:val="28"/>
          <w:szCs w:val="28"/>
        </w:rPr>
        <w:t>,</w:t>
      </w:r>
      <w:r w:rsidRPr="003B10E2">
        <w:rPr>
          <w:rFonts w:ascii="Times New Roman" w:hAnsi="Times New Roman"/>
          <w:color w:val="000000"/>
          <w:sz w:val="28"/>
          <w:szCs w:val="28"/>
        </w:rPr>
        <w:t xml:space="preserve"> так как в период с 2012 г. по 2014 г.  данный показатель постепенно снижался [142].</w:t>
      </w:r>
    </w:p>
    <w:p w14:paraId="58145468" w14:textId="77777777"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Следующей страной, что опустила ставку ниже нуля, стала Швейцария. В декабре 2014 г. Национальный банк Швейцарии объявил о снижении процентной (аналог ключевой) ставки до уровня – 0,25%. После этого в январе 2015 г. депозитная ставка стала отрицательной (– 0,11%), а также ставка рынка межбанковского кредитования (Swiss Franc LIBOR Three Month Rate) достигла отметки в – 1%, далее стабилизируясь около – 0,8% [238].</w:t>
      </w:r>
    </w:p>
    <w:p w14:paraId="1EF6FCB0" w14:textId="77777777"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Еще одной страной, что проводи</w:t>
      </w:r>
      <w:r w:rsidR="00F65B72" w:rsidRPr="003B10E2">
        <w:rPr>
          <w:rFonts w:ascii="Times New Roman" w:hAnsi="Times New Roman"/>
          <w:color w:val="000000"/>
          <w:sz w:val="28"/>
          <w:szCs w:val="28"/>
        </w:rPr>
        <w:t>ла</w:t>
      </w:r>
      <w:r w:rsidRPr="003B10E2">
        <w:rPr>
          <w:rFonts w:ascii="Times New Roman" w:hAnsi="Times New Roman"/>
          <w:color w:val="000000"/>
          <w:sz w:val="28"/>
          <w:szCs w:val="28"/>
        </w:rPr>
        <w:t xml:space="preserve"> политику отрицательных процентных ставок, стала Япония, снизив в январе 2016 г. учетную ставку (Policy Rate) до уровня – 0,1%. Следом за ней в отрицательную зону вошла ставка по депозитам, составив около – 0,6% к февралю 2016 г., и ставка по межбанковскому кредитованию (– 0,4% в мае 2016 г.). Япония дольше всех борется с проблемой дефляции. Начиная с 1995 г. показатель уровня инфляции постоянно движется в коридоре значений от +2% до – 2% за исключением редких «выбросов» за его границы. Проблема экономики Японии состоит в ярко выраженной дефляционной спирали. В свою очередь меры, принятые со стороны государства и Центрального банка Японии, направленные на стимулирование спроса и увеличение кредитования, не сократили объём денежных средств, находящихся на вкладах или расчетных счетах. </w:t>
      </w:r>
    </w:p>
    <w:p w14:paraId="0448BCCA" w14:textId="77777777"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Во всех перечисленных выше случаях потребительский спрос не растёт, при этом произошло увеличение рисков для институциональных инвесторов и отток денежных средств из вкладов на фондовый рынок [154]. Подобные побочные эффекты отрицательных процентных ставок на рынок акций обнаружены во многих странах. На фоне этого заметен рост доходности других классов активов: акций развитых стран, золота, доллара США.</w:t>
      </w:r>
    </w:p>
    <w:p w14:paraId="757F447B" w14:textId="77777777" w:rsidR="00651284" w:rsidRPr="003B10E2" w:rsidRDefault="00651284" w:rsidP="001A0EE3">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Несмотря на низкие и даже отрицательные глобальные ставки у российского рынка акций сохраняется низкая капитализация, потому что в ситуации отрицательных процентных ставок институциональные инвесторы стали искать мусорные рынки для получения приемлемого уровня долларовой доходности (4 – 10%). </w:t>
      </w:r>
    </w:p>
    <w:p w14:paraId="2E731E3E" w14:textId="77777777" w:rsidR="00651284" w:rsidRPr="003B10E2" w:rsidRDefault="00651284" w:rsidP="001A0EE3">
      <w:pPr>
        <w:spacing w:after="0" w:line="360" w:lineRule="auto"/>
        <w:ind w:firstLine="708"/>
        <w:contextualSpacing/>
        <w:jc w:val="both"/>
        <w:rPr>
          <w:bCs/>
        </w:rPr>
      </w:pPr>
      <w:r w:rsidRPr="003B10E2">
        <w:rPr>
          <w:rFonts w:ascii="Times New Roman" w:hAnsi="Times New Roman"/>
          <w:bCs/>
          <w:color w:val="000000"/>
          <w:sz w:val="28"/>
          <w:szCs w:val="28"/>
        </w:rPr>
        <w:t xml:space="preserve">4. Рост дивидендной доходности отражает повышение премии за риск на рынке акций. </w:t>
      </w:r>
    </w:p>
    <w:p w14:paraId="115BF83C" w14:textId="77777777"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До недавнего времени многие акционерные общества с государственным участием целенаправленно проводили политику сокрытия и изъятия доходов с целью удержания прибыли в собственных руках, благодаря чему государство получало необоснованно низкие доходы в результате инвестирования в них. В последние годы стала заметна обратная тенденция: высокая дивидендная доходность.</w:t>
      </w:r>
    </w:p>
    <w:p w14:paraId="104EC2C2" w14:textId="77777777"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Банк России в 2016 г. предположил, что приток (отток) инвестиций со стороны нерезидентов на российском рынке акций и облигаций зависит прежде всего от изменения уровня глобального риск-аппетита [317].</w:t>
      </w:r>
      <w:r w:rsidRPr="003B10E2">
        <w:rPr>
          <w:color w:val="000000"/>
        </w:rPr>
        <w:t xml:space="preserve"> </w:t>
      </w:r>
      <w:r w:rsidRPr="003B10E2">
        <w:rPr>
          <w:rFonts w:ascii="Times New Roman" w:hAnsi="Times New Roman"/>
          <w:color w:val="000000"/>
          <w:sz w:val="28"/>
          <w:szCs w:val="28"/>
        </w:rPr>
        <w:t>Повышенная премия за риск изменила отношение инвесторов к риску,</w:t>
      </w:r>
      <w:r w:rsidRPr="003B10E2">
        <w:rPr>
          <w:color w:val="000000"/>
        </w:rPr>
        <w:t xml:space="preserve"> </w:t>
      </w:r>
      <w:r w:rsidRPr="003B10E2">
        <w:rPr>
          <w:rFonts w:ascii="Times New Roman" w:hAnsi="Times New Roman"/>
          <w:color w:val="000000"/>
          <w:sz w:val="28"/>
          <w:szCs w:val="28"/>
        </w:rPr>
        <w:t>средняя дивидендная доходность вы</w:t>
      </w:r>
      <w:r w:rsidR="00352CCF" w:rsidRPr="003B10E2">
        <w:rPr>
          <w:rFonts w:ascii="Times New Roman" w:hAnsi="Times New Roman"/>
          <w:color w:val="000000"/>
          <w:sz w:val="28"/>
          <w:szCs w:val="28"/>
        </w:rPr>
        <w:t xml:space="preserve">росла до 8% годовых (рисунок </w:t>
      </w:r>
      <w:r w:rsidR="008B6285" w:rsidRPr="003B10E2">
        <w:rPr>
          <w:rFonts w:ascii="Times New Roman" w:hAnsi="Times New Roman"/>
          <w:color w:val="000000"/>
          <w:sz w:val="28"/>
          <w:szCs w:val="28"/>
        </w:rPr>
        <w:t>5</w:t>
      </w:r>
      <w:r w:rsidR="00DF25DE" w:rsidRPr="003B10E2">
        <w:rPr>
          <w:rFonts w:ascii="Times New Roman" w:hAnsi="Times New Roman"/>
          <w:color w:val="000000"/>
          <w:sz w:val="28"/>
          <w:szCs w:val="28"/>
        </w:rPr>
        <w:t>1</w:t>
      </w:r>
      <w:r w:rsidRPr="003B10E2">
        <w:rPr>
          <w:rFonts w:ascii="Times New Roman" w:hAnsi="Times New Roman"/>
          <w:color w:val="000000"/>
          <w:sz w:val="28"/>
          <w:szCs w:val="28"/>
        </w:rPr>
        <w:t>).</w:t>
      </w:r>
    </w:p>
    <w:p w14:paraId="38923F5B" w14:textId="77777777" w:rsidR="008A3C6A" w:rsidRPr="003B10E2" w:rsidRDefault="00C72198" w:rsidP="00352CCF">
      <w:pPr>
        <w:spacing w:after="0" w:line="240" w:lineRule="auto"/>
        <w:jc w:val="center"/>
        <w:rPr>
          <w:rFonts w:ascii="Times New Roman" w:hAnsi="Times New Roman"/>
          <w:iCs/>
          <w:color w:val="000000"/>
          <w:sz w:val="24"/>
          <w:szCs w:val="24"/>
        </w:rPr>
      </w:pPr>
      <w:r w:rsidRPr="003B10E2">
        <w:rPr>
          <w:noProof/>
        </w:rPr>
        <w:drawing>
          <wp:inline distT="0" distB="0" distL="0" distR="0" wp14:anchorId="471ADFA2" wp14:editId="6D023273">
            <wp:extent cx="5941060" cy="3309620"/>
            <wp:effectExtent l="0" t="0" r="0" b="0"/>
            <wp:docPr id="47" name="Рисунок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7"/>
                    <pic:cNvPicPr>
                      <a:picLocks/>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1060" cy="3309620"/>
                    </a:xfrm>
                    <a:prstGeom prst="rect">
                      <a:avLst/>
                    </a:prstGeom>
                    <a:noFill/>
                    <a:ln>
                      <a:noFill/>
                    </a:ln>
                  </pic:spPr>
                </pic:pic>
              </a:graphicData>
            </a:graphic>
          </wp:inline>
        </w:drawing>
      </w:r>
    </w:p>
    <w:p w14:paraId="5D954658" w14:textId="77777777" w:rsidR="00651284" w:rsidRPr="003B10E2" w:rsidRDefault="0002497B" w:rsidP="00352CCF">
      <w:pPr>
        <w:spacing w:after="0" w:line="240" w:lineRule="auto"/>
        <w:jc w:val="center"/>
        <w:rPr>
          <w:rFonts w:ascii="Times New Roman" w:hAnsi="Times New Roman"/>
          <w:iCs/>
          <w:color w:val="000000"/>
          <w:sz w:val="24"/>
          <w:szCs w:val="24"/>
        </w:rPr>
      </w:pPr>
      <w:r w:rsidRPr="003B10E2">
        <w:rPr>
          <w:rFonts w:ascii="Times New Roman" w:hAnsi="Times New Roman"/>
          <w:iCs/>
          <w:color w:val="000000"/>
          <w:sz w:val="24"/>
          <w:szCs w:val="24"/>
        </w:rPr>
        <w:t>Источник: Thomson Reuters.</w:t>
      </w:r>
    </w:p>
    <w:p w14:paraId="42B89854" w14:textId="77777777" w:rsidR="00651284" w:rsidRPr="003B10E2" w:rsidRDefault="00352CCF" w:rsidP="00352CCF">
      <w:pPr>
        <w:spacing w:after="0" w:line="240" w:lineRule="auto"/>
        <w:jc w:val="center"/>
        <w:rPr>
          <w:rFonts w:ascii="Times New Roman" w:hAnsi="Times New Roman"/>
          <w:iCs/>
          <w:color w:val="000000"/>
          <w:sz w:val="24"/>
          <w:szCs w:val="24"/>
        </w:rPr>
      </w:pPr>
      <w:r w:rsidRPr="003B10E2">
        <w:rPr>
          <w:rFonts w:ascii="Times New Roman" w:hAnsi="Times New Roman"/>
          <w:iCs/>
          <w:color w:val="000000"/>
          <w:sz w:val="24"/>
          <w:szCs w:val="24"/>
        </w:rPr>
        <w:t xml:space="preserve">Рисунок </w:t>
      </w:r>
      <w:r w:rsidR="008B6285" w:rsidRPr="003B10E2">
        <w:rPr>
          <w:rFonts w:ascii="Times New Roman" w:hAnsi="Times New Roman"/>
          <w:iCs/>
          <w:color w:val="000000"/>
          <w:sz w:val="24"/>
          <w:szCs w:val="24"/>
        </w:rPr>
        <w:t>5</w:t>
      </w:r>
      <w:r w:rsidR="00DF25DE" w:rsidRPr="003B10E2">
        <w:rPr>
          <w:rFonts w:ascii="Times New Roman" w:hAnsi="Times New Roman"/>
          <w:iCs/>
          <w:color w:val="000000"/>
          <w:sz w:val="24"/>
          <w:szCs w:val="24"/>
        </w:rPr>
        <w:t>1</w:t>
      </w:r>
      <w:r w:rsidR="00651284" w:rsidRPr="003B10E2">
        <w:rPr>
          <w:rFonts w:ascii="Times New Roman" w:hAnsi="Times New Roman"/>
          <w:iCs/>
          <w:color w:val="000000"/>
          <w:sz w:val="24"/>
          <w:szCs w:val="24"/>
        </w:rPr>
        <w:t xml:space="preserve"> </w:t>
      </w:r>
      <w:r w:rsidR="0002497B" w:rsidRPr="003B10E2">
        <w:rPr>
          <w:rFonts w:ascii="Times New Roman" w:hAnsi="Times New Roman"/>
          <w:iCs/>
          <w:color w:val="000000"/>
          <w:sz w:val="24"/>
          <w:szCs w:val="24"/>
        </w:rPr>
        <w:t xml:space="preserve">– </w:t>
      </w:r>
      <w:r w:rsidR="00651284" w:rsidRPr="003B10E2">
        <w:rPr>
          <w:rFonts w:ascii="Times New Roman" w:hAnsi="Times New Roman"/>
          <w:color w:val="000000"/>
          <w:sz w:val="24"/>
          <w:szCs w:val="24"/>
        </w:rPr>
        <w:t>Средняя дивидендная доходность на ро</w:t>
      </w:r>
      <w:r w:rsidR="0002497B" w:rsidRPr="003B10E2">
        <w:rPr>
          <w:rFonts w:ascii="Times New Roman" w:hAnsi="Times New Roman"/>
          <w:color w:val="000000"/>
          <w:sz w:val="24"/>
          <w:szCs w:val="24"/>
        </w:rPr>
        <w:t>ссийском рынке акций, %</w:t>
      </w:r>
    </w:p>
    <w:p w14:paraId="3EB899BE" w14:textId="77777777" w:rsidR="00651284" w:rsidRPr="003B10E2" w:rsidRDefault="00651284" w:rsidP="00651284">
      <w:pPr>
        <w:spacing w:after="0" w:line="360" w:lineRule="auto"/>
        <w:ind w:firstLine="851"/>
        <w:jc w:val="both"/>
        <w:rPr>
          <w:rFonts w:ascii="Times New Roman" w:hAnsi="Times New Roman"/>
          <w:color w:val="000000"/>
          <w:sz w:val="28"/>
          <w:szCs w:val="28"/>
        </w:rPr>
      </w:pPr>
    </w:p>
    <w:p w14:paraId="4AEEF5F3" w14:textId="77777777" w:rsidR="00651284" w:rsidRPr="003B10E2" w:rsidRDefault="00651284" w:rsidP="0002497B">
      <w:pPr>
        <w:spacing w:after="0" w:line="360" w:lineRule="auto"/>
        <w:ind w:firstLine="708"/>
        <w:contextualSpacing/>
        <w:jc w:val="both"/>
        <w:rPr>
          <w:rFonts w:ascii="Times New Roman" w:hAnsi="Times New Roman"/>
          <w:bCs/>
          <w:color w:val="000000"/>
          <w:sz w:val="28"/>
          <w:szCs w:val="28"/>
        </w:rPr>
      </w:pPr>
      <w:r w:rsidRPr="003B10E2">
        <w:rPr>
          <w:rFonts w:ascii="Times New Roman" w:hAnsi="Times New Roman"/>
          <w:bCs/>
          <w:color w:val="000000"/>
          <w:sz w:val="28"/>
          <w:szCs w:val="28"/>
        </w:rPr>
        <w:t>5. Снижение доли российских институциональных инвесторов на рынке акций.</w:t>
      </w:r>
    </w:p>
    <w:p w14:paraId="4C5E42A5" w14:textId="77777777" w:rsidR="00651284" w:rsidRPr="003B10E2" w:rsidRDefault="00352CCF" w:rsidP="00352CCF">
      <w:pPr>
        <w:spacing w:after="0" w:line="360" w:lineRule="auto"/>
        <w:ind w:firstLine="708"/>
        <w:contextualSpacing/>
        <w:jc w:val="both"/>
        <w:rPr>
          <w:rFonts w:ascii="Times New Roman" w:hAnsi="Times New Roman"/>
          <w:color w:val="000000"/>
          <w:sz w:val="28"/>
          <w:szCs w:val="28"/>
        </w:rPr>
      </w:pPr>
      <w:r w:rsidRPr="003B10E2">
        <w:rPr>
          <w:rFonts w:ascii="Times New Roman" w:hAnsi="Times New Roman"/>
          <w:color w:val="000000"/>
          <w:sz w:val="28"/>
          <w:szCs w:val="28"/>
        </w:rPr>
        <w:t>Институциональные инвесторы уходят из акций. Доля институциональных инвесторов в российских акциях стала заметно ниже к 2020 г. (9%). Снижение совокупной доли институциональных инвесторов на российском рынке акций — как структурное изменение — обусловлено перетоком средств инвесторов на зарубежные торговые площадки.</w:t>
      </w:r>
      <w:r w:rsidRPr="003B10E2">
        <w:rPr>
          <w:bCs/>
        </w:rPr>
        <w:t xml:space="preserve"> </w:t>
      </w:r>
      <w:r w:rsidR="00651284" w:rsidRPr="003B10E2">
        <w:rPr>
          <w:rFonts w:ascii="Times New Roman" w:hAnsi="Times New Roman"/>
          <w:color w:val="000000"/>
          <w:sz w:val="28"/>
          <w:szCs w:val="28"/>
        </w:rPr>
        <w:t>Поскольку данных об иностранных институциональных инвесторах нет в открытом доступе, нельзя сделать выводы об их детальном поведении. При этом доля российских институциональных инвестор</w:t>
      </w:r>
      <w:r w:rsidRPr="003B10E2">
        <w:rPr>
          <w:rFonts w:ascii="Times New Roman" w:hAnsi="Times New Roman"/>
          <w:color w:val="000000"/>
          <w:sz w:val="28"/>
          <w:szCs w:val="28"/>
        </w:rPr>
        <w:t xml:space="preserve">ов снизилась до 9% (рисунок </w:t>
      </w:r>
      <w:r w:rsidR="008B6285" w:rsidRPr="003B10E2">
        <w:rPr>
          <w:rFonts w:ascii="Times New Roman" w:hAnsi="Times New Roman"/>
          <w:color w:val="000000"/>
          <w:sz w:val="28"/>
          <w:szCs w:val="28"/>
        </w:rPr>
        <w:t>5</w:t>
      </w:r>
      <w:r w:rsidR="00DF25DE" w:rsidRPr="003B10E2">
        <w:rPr>
          <w:rFonts w:ascii="Times New Roman" w:hAnsi="Times New Roman"/>
          <w:color w:val="000000"/>
          <w:sz w:val="28"/>
          <w:szCs w:val="28"/>
        </w:rPr>
        <w:t>2</w:t>
      </w:r>
      <w:r w:rsidR="00651284" w:rsidRPr="003B10E2">
        <w:rPr>
          <w:rFonts w:ascii="Times New Roman" w:hAnsi="Times New Roman"/>
          <w:color w:val="000000"/>
          <w:sz w:val="28"/>
          <w:szCs w:val="28"/>
        </w:rPr>
        <w:t xml:space="preserve">). </w:t>
      </w:r>
    </w:p>
    <w:p w14:paraId="572F85D6" w14:textId="77777777" w:rsidR="008A61B7" w:rsidRPr="003B10E2" w:rsidRDefault="00C72198" w:rsidP="00352CCF">
      <w:pPr>
        <w:spacing w:after="0" w:line="360" w:lineRule="auto"/>
        <w:ind w:firstLine="708"/>
        <w:contextualSpacing/>
        <w:jc w:val="both"/>
        <w:rPr>
          <w:bCs/>
        </w:rPr>
      </w:pPr>
      <w:r w:rsidRPr="003B10E2">
        <w:rPr>
          <w:noProof/>
        </w:rPr>
        <w:drawing>
          <wp:inline distT="0" distB="0" distL="0" distR="0" wp14:anchorId="08565580" wp14:editId="731ABC61">
            <wp:extent cx="5941060" cy="3259455"/>
            <wp:effectExtent l="0" t="0" r="0" b="0"/>
            <wp:docPr id="48" name="Рисунок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8"/>
                    <pic:cNvPicPr>
                      <a:picLocks/>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1060" cy="3259455"/>
                    </a:xfrm>
                    <a:prstGeom prst="rect">
                      <a:avLst/>
                    </a:prstGeom>
                    <a:noFill/>
                    <a:ln>
                      <a:noFill/>
                    </a:ln>
                  </pic:spPr>
                </pic:pic>
              </a:graphicData>
            </a:graphic>
          </wp:inline>
        </w:drawing>
      </w:r>
    </w:p>
    <w:p w14:paraId="552E5109" w14:textId="77777777" w:rsidR="00426B81" w:rsidRPr="003B10E2" w:rsidRDefault="00651284" w:rsidP="00352CCF">
      <w:pPr>
        <w:tabs>
          <w:tab w:val="left" w:pos="3405"/>
          <w:tab w:val="center" w:pos="5102"/>
        </w:tabs>
        <w:spacing w:after="0" w:line="240" w:lineRule="auto"/>
        <w:ind w:firstLine="851"/>
        <w:rPr>
          <w:rFonts w:ascii="Times New Roman" w:hAnsi="Times New Roman"/>
          <w:iCs/>
          <w:color w:val="000000"/>
          <w:sz w:val="24"/>
          <w:szCs w:val="24"/>
        </w:rPr>
      </w:pPr>
      <w:r w:rsidRPr="003B10E2">
        <w:rPr>
          <w:rFonts w:ascii="Times New Roman" w:hAnsi="Times New Roman"/>
          <w:iCs/>
          <w:color w:val="000000"/>
          <w:sz w:val="24"/>
          <w:szCs w:val="24"/>
        </w:rPr>
        <w:tab/>
      </w:r>
      <w:r w:rsidRPr="003B10E2">
        <w:rPr>
          <w:rFonts w:ascii="Times New Roman" w:hAnsi="Times New Roman"/>
          <w:iCs/>
          <w:color w:val="000000"/>
          <w:sz w:val="24"/>
          <w:szCs w:val="24"/>
        </w:rPr>
        <w:tab/>
      </w:r>
      <w:r w:rsidR="00426B81" w:rsidRPr="003B10E2">
        <w:rPr>
          <w:rFonts w:ascii="Times New Roman" w:hAnsi="Times New Roman"/>
          <w:iCs/>
          <w:color w:val="000000"/>
          <w:sz w:val="24"/>
          <w:szCs w:val="24"/>
        </w:rPr>
        <w:t>Источник: Thomson Reuters.</w:t>
      </w:r>
    </w:p>
    <w:p w14:paraId="6CE7AE7E" w14:textId="77777777" w:rsidR="00651284" w:rsidRPr="003B10E2" w:rsidRDefault="00352CCF" w:rsidP="00426B81">
      <w:pPr>
        <w:spacing w:after="0" w:line="240" w:lineRule="auto"/>
        <w:ind w:firstLine="851"/>
        <w:jc w:val="center"/>
        <w:rPr>
          <w:rFonts w:ascii="Times New Roman" w:hAnsi="Times New Roman"/>
          <w:iCs/>
          <w:color w:val="000000"/>
          <w:sz w:val="24"/>
          <w:szCs w:val="24"/>
        </w:rPr>
      </w:pPr>
      <w:r w:rsidRPr="003B10E2">
        <w:rPr>
          <w:rFonts w:ascii="Times New Roman" w:hAnsi="Times New Roman"/>
          <w:iCs/>
          <w:color w:val="000000"/>
          <w:sz w:val="24"/>
          <w:szCs w:val="24"/>
        </w:rPr>
        <w:t xml:space="preserve">Рисунок </w:t>
      </w:r>
      <w:r w:rsidR="008B6285" w:rsidRPr="003B10E2">
        <w:rPr>
          <w:rFonts w:ascii="Times New Roman" w:hAnsi="Times New Roman"/>
          <w:iCs/>
          <w:color w:val="000000"/>
          <w:sz w:val="24"/>
          <w:szCs w:val="24"/>
        </w:rPr>
        <w:t>5</w:t>
      </w:r>
      <w:r w:rsidR="00DF25DE" w:rsidRPr="003B10E2">
        <w:rPr>
          <w:rFonts w:ascii="Times New Roman" w:hAnsi="Times New Roman"/>
          <w:iCs/>
          <w:color w:val="000000"/>
          <w:sz w:val="24"/>
          <w:szCs w:val="24"/>
        </w:rPr>
        <w:t>2</w:t>
      </w:r>
      <w:r w:rsidR="00651284" w:rsidRPr="003B10E2">
        <w:rPr>
          <w:rFonts w:ascii="Times New Roman" w:hAnsi="Times New Roman"/>
          <w:iCs/>
          <w:color w:val="000000"/>
          <w:sz w:val="24"/>
          <w:szCs w:val="24"/>
        </w:rPr>
        <w:t xml:space="preserve"> </w:t>
      </w:r>
      <w:r w:rsidR="00426B81" w:rsidRPr="003B10E2">
        <w:rPr>
          <w:rFonts w:ascii="Times New Roman" w:hAnsi="Times New Roman"/>
          <w:iCs/>
          <w:color w:val="000000"/>
          <w:sz w:val="24"/>
          <w:szCs w:val="24"/>
        </w:rPr>
        <w:t xml:space="preserve">– </w:t>
      </w:r>
      <w:r w:rsidR="00651284" w:rsidRPr="003B10E2">
        <w:rPr>
          <w:rFonts w:ascii="Times New Roman" w:hAnsi="Times New Roman"/>
          <w:color w:val="000000"/>
          <w:sz w:val="24"/>
          <w:szCs w:val="24"/>
        </w:rPr>
        <w:t>Доля институциональных инвесторов на рынке акций в объеме торгов</w:t>
      </w:r>
      <w:r w:rsidR="00651284" w:rsidRPr="003B10E2">
        <w:rPr>
          <w:color w:val="000000"/>
          <w:sz w:val="24"/>
          <w:szCs w:val="24"/>
        </w:rPr>
        <w:t xml:space="preserve"> </w:t>
      </w:r>
      <w:r w:rsidR="00651284" w:rsidRPr="003B10E2">
        <w:rPr>
          <w:rFonts w:ascii="Times New Roman" w:hAnsi="Times New Roman"/>
          <w:color w:val="000000"/>
          <w:sz w:val="24"/>
          <w:szCs w:val="24"/>
        </w:rPr>
        <w:t>акциям</w:t>
      </w:r>
      <w:r w:rsidR="00426B81" w:rsidRPr="003B10E2">
        <w:rPr>
          <w:rFonts w:ascii="Times New Roman" w:hAnsi="Times New Roman"/>
          <w:color w:val="000000"/>
          <w:sz w:val="24"/>
          <w:szCs w:val="24"/>
        </w:rPr>
        <w:t>и на Московской бирже, %</w:t>
      </w:r>
    </w:p>
    <w:p w14:paraId="0F1E0B04" w14:textId="77777777" w:rsidR="00651284" w:rsidRPr="003B10E2" w:rsidRDefault="00651284" w:rsidP="00651284">
      <w:pPr>
        <w:spacing w:after="0" w:line="360" w:lineRule="auto"/>
        <w:ind w:firstLine="851"/>
        <w:jc w:val="both"/>
        <w:rPr>
          <w:rFonts w:ascii="Times New Roman" w:hAnsi="Times New Roman"/>
          <w:color w:val="000000"/>
          <w:sz w:val="28"/>
          <w:szCs w:val="28"/>
        </w:rPr>
      </w:pPr>
    </w:p>
    <w:p w14:paraId="0E995A05" w14:textId="77777777" w:rsidR="00651284" w:rsidRPr="003B10E2" w:rsidRDefault="00651284" w:rsidP="00426B81">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Падение объемов рыночных сделок институциональных инвесторов с долевыми инструментами — серьезная п</w:t>
      </w:r>
      <w:r w:rsidR="00426B81" w:rsidRPr="003B10E2">
        <w:rPr>
          <w:rFonts w:ascii="Times New Roman" w:hAnsi="Times New Roman"/>
          <w:color w:val="000000"/>
          <w:sz w:val="28"/>
          <w:szCs w:val="28"/>
        </w:rPr>
        <w:t xml:space="preserve">роблема Московской биржи [38]. </w:t>
      </w:r>
    </w:p>
    <w:p w14:paraId="2C1F22D2" w14:textId="77777777" w:rsidR="00651284" w:rsidRPr="003B10E2" w:rsidRDefault="00651284" w:rsidP="00426B81">
      <w:pPr>
        <w:spacing w:after="0" w:line="360" w:lineRule="auto"/>
        <w:ind w:firstLine="708"/>
        <w:contextualSpacing/>
        <w:jc w:val="both"/>
        <w:rPr>
          <w:bCs/>
        </w:rPr>
      </w:pPr>
      <w:r w:rsidRPr="003B10E2">
        <w:rPr>
          <w:rFonts w:ascii="Times New Roman" w:hAnsi="Times New Roman"/>
          <w:bCs/>
          <w:color w:val="000000"/>
          <w:sz w:val="28"/>
          <w:szCs w:val="28"/>
        </w:rPr>
        <w:t>6. Торговая активность на рынке акций перешла на срочный рынок (сделки с товарными и валютными деривативами).</w:t>
      </w:r>
    </w:p>
    <w:p w14:paraId="4187A430" w14:textId="77777777"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Продолжительная ста</w:t>
      </w:r>
      <w:r w:rsidR="00F65B72" w:rsidRPr="003B10E2">
        <w:rPr>
          <w:rFonts w:ascii="Times New Roman" w:hAnsi="Times New Roman"/>
          <w:color w:val="000000"/>
          <w:sz w:val="28"/>
          <w:szCs w:val="28"/>
        </w:rPr>
        <w:t>ла</w:t>
      </w:r>
      <w:r w:rsidRPr="003B10E2">
        <w:rPr>
          <w:rFonts w:ascii="Times New Roman" w:hAnsi="Times New Roman"/>
          <w:color w:val="000000"/>
          <w:sz w:val="28"/>
          <w:szCs w:val="28"/>
        </w:rPr>
        <w:t xml:space="preserve"> определенным «триггером», побуждая население к увеличению сбережений [159]. На фоне этого возникают пузыри на других рынках: например, существенно выросли объемы сделок с деривативами на срочном рынке (рисунки </w:t>
      </w:r>
      <w:r w:rsidR="008B6285" w:rsidRPr="003B10E2">
        <w:rPr>
          <w:rFonts w:ascii="Times New Roman" w:hAnsi="Times New Roman"/>
          <w:color w:val="000000"/>
          <w:sz w:val="28"/>
          <w:szCs w:val="28"/>
        </w:rPr>
        <w:t>5</w:t>
      </w:r>
      <w:r w:rsidR="00DF25DE" w:rsidRPr="003B10E2">
        <w:rPr>
          <w:rFonts w:ascii="Times New Roman" w:hAnsi="Times New Roman"/>
          <w:color w:val="000000"/>
          <w:sz w:val="28"/>
          <w:szCs w:val="28"/>
        </w:rPr>
        <w:t>3</w:t>
      </w:r>
      <w:r w:rsidR="00352CCF" w:rsidRPr="003B10E2">
        <w:rPr>
          <w:rFonts w:ascii="Times New Roman" w:hAnsi="Times New Roman"/>
          <w:color w:val="000000"/>
          <w:sz w:val="28"/>
          <w:szCs w:val="28"/>
        </w:rPr>
        <w:t xml:space="preserve"> – </w:t>
      </w:r>
      <w:r w:rsidR="008B6285" w:rsidRPr="003B10E2">
        <w:rPr>
          <w:rFonts w:ascii="Times New Roman" w:hAnsi="Times New Roman"/>
          <w:color w:val="000000"/>
          <w:sz w:val="28"/>
          <w:szCs w:val="28"/>
        </w:rPr>
        <w:t>5</w:t>
      </w:r>
      <w:r w:rsidR="00DF25DE" w:rsidRPr="003B10E2">
        <w:rPr>
          <w:rFonts w:ascii="Times New Roman" w:hAnsi="Times New Roman"/>
          <w:color w:val="000000"/>
          <w:sz w:val="28"/>
          <w:szCs w:val="28"/>
        </w:rPr>
        <w:t>5</w:t>
      </w:r>
      <w:r w:rsidRPr="003B10E2">
        <w:rPr>
          <w:rFonts w:ascii="Times New Roman" w:hAnsi="Times New Roman"/>
          <w:color w:val="000000"/>
          <w:sz w:val="28"/>
          <w:szCs w:val="28"/>
        </w:rPr>
        <w:t>). Особенно это было заметно в 2010 – 2011 и 2020 гг.</w:t>
      </w:r>
    </w:p>
    <w:p w14:paraId="0BB28D5F" w14:textId="77777777" w:rsidR="00651284" w:rsidRPr="003B10E2" w:rsidRDefault="00C72198" w:rsidP="00BB4738">
      <w:pPr>
        <w:spacing w:after="0" w:line="240" w:lineRule="auto"/>
        <w:jc w:val="center"/>
        <w:rPr>
          <w:color w:val="000000"/>
        </w:rPr>
      </w:pPr>
      <w:r w:rsidRPr="003B10E2">
        <w:rPr>
          <w:noProof/>
        </w:rPr>
        <w:drawing>
          <wp:inline distT="0" distB="0" distL="0" distR="0" wp14:anchorId="63B9CDDF" wp14:editId="6A1BCEEF">
            <wp:extent cx="5957570" cy="3612515"/>
            <wp:effectExtent l="0" t="0" r="0" b="0"/>
            <wp:docPr id="49" name="Рисунок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9"/>
                    <pic:cNvPicPr>
                      <a:picLocks/>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57570" cy="3612515"/>
                    </a:xfrm>
                    <a:prstGeom prst="rect">
                      <a:avLst/>
                    </a:prstGeom>
                    <a:noFill/>
                    <a:ln>
                      <a:noFill/>
                    </a:ln>
                  </pic:spPr>
                </pic:pic>
              </a:graphicData>
            </a:graphic>
          </wp:inline>
        </w:drawing>
      </w:r>
      <w:r w:rsidR="00426B81" w:rsidRPr="003B10E2">
        <w:rPr>
          <w:rFonts w:ascii="Times New Roman" w:hAnsi="Times New Roman"/>
          <w:bCs/>
          <w:color w:val="000000"/>
          <w:sz w:val="24"/>
          <w:szCs w:val="24"/>
        </w:rPr>
        <w:t>Источник: Thomson Reuters.</w:t>
      </w:r>
    </w:p>
    <w:p w14:paraId="5BE6375F" w14:textId="77777777" w:rsidR="00F65B72" w:rsidRPr="003B10E2" w:rsidRDefault="00BB4738" w:rsidP="00BB473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8B6285" w:rsidRPr="003B10E2">
        <w:rPr>
          <w:rFonts w:ascii="Times New Roman" w:hAnsi="Times New Roman"/>
          <w:color w:val="000000"/>
          <w:sz w:val="24"/>
          <w:szCs w:val="24"/>
        </w:rPr>
        <w:t>5</w:t>
      </w:r>
      <w:r w:rsidR="00DF25DE" w:rsidRPr="003B10E2">
        <w:rPr>
          <w:rFonts w:ascii="Times New Roman" w:hAnsi="Times New Roman"/>
          <w:color w:val="000000"/>
          <w:sz w:val="24"/>
          <w:szCs w:val="24"/>
        </w:rPr>
        <w:t>3</w:t>
      </w:r>
      <w:r w:rsidR="00651284" w:rsidRPr="003B10E2">
        <w:rPr>
          <w:rFonts w:ascii="Times New Roman" w:hAnsi="Times New Roman"/>
          <w:color w:val="000000"/>
          <w:sz w:val="24"/>
          <w:szCs w:val="24"/>
        </w:rPr>
        <w:t xml:space="preserve"> </w:t>
      </w:r>
      <w:r w:rsidR="00426B81" w:rsidRPr="003B10E2">
        <w:rPr>
          <w:rFonts w:ascii="Times New Roman" w:hAnsi="Times New Roman"/>
          <w:color w:val="000000"/>
          <w:sz w:val="24"/>
          <w:szCs w:val="24"/>
        </w:rPr>
        <w:t xml:space="preserve">– </w:t>
      </w:r>
      <w:r w:rsidR="00F65B72" w:rsidRPr="003B10E2">
        <w:rPr>
          <w:rFonts w:ascii="Times New Roman" w:hAnsi="Times New Roman"/>
          <w:color w:val="000000"/>
          <w:sz w:val="24"/>
          <w:szCs w:val="24"/>
        </w:rPr>
        <w:t>Объемы торгов на срочном рынке Московской биржи к ВВП России, %</w:t>
      </w:r>
    </w:p>
    <w:p w14:paraId="29E72AC1" w14:textId="77777777" w:rsidR="00BB4738" w:rsidRPr="003B10E2" w:rsidRDefault="00BB4738" w:rsidP="00593B90">
      <w:pPr>
        <w:spacing w:after="0" w:line="240" w:lineRule="auto"/>
        <w:ind w:firstLine="851"/>
        <w:jc w:val="center"/>
        <w:rPr>
          <w:rFonts w:ascii="Times New Roman" w:hAnsi="Times New Roman"/>
          <w:bCs/>
          <w:color w:val="000000"/>
          <w:sz w:val="24"/>
          <w:szCs w:val="24"/>
        </w:rPr>
      </w:pPr>
    </w:p>
    <w:p w14:paraId="245FEF87" w14:textId="77777777" w:rsidR="00593B90" w:rsidRPr="003B10E2" w:rsidRDefault="00C72198" w:rsidP="00593B90">
      <w:pPr>
        <w:spacing w:after="0" w:line="240" w:lineRule="auto"/>
        <w:ind w:firstLine="851"/>
        <w:jc w:val="center"/>
        <w:rPr>
          <w:rFonts w:ascii="Times New Roman" w:hAnsi="Times New Roman"/>
          <w:color w:val="000000"/>
          <w:sz w:val="24"/>
          <w:szCs w:val="24"/>
        </w:rPr>
      </w:pPr>
      <w:r w:rsidRPr="003B10E2">
        <w:rPr>
          <w:noProof/>
        </w:rPr>
        <w:drawing>
          <wp:inline distT="0" distB="0" distL="0" distR="0" wp14:anchorId="47DE8861" wp14:editId="3F22DE1C">
            <wp:extent cx="5941060" cy="3495040"/>
            <wp:effectExtent l="0" t="0" r="0" b="0"/>
            <wp:docPr id="50" name="Рисунок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0"/>
                    <pic:cNvPicPr>
                      <a:picLocks/>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1060" cy="3495040"/>
                    </a:xfrm>
                    <a:prstGeom prst="rect">
                      <a:avLst/>
                    </a:prstGeom>
                    <a:noFill/>
                    <a:ln>
                      <a:noFill/>
                    </a:ln>
                  </pic:spPr>
                </pic:pic>
              </a:graphicData>
            </a:graphic>
          </wp:inline>
        </w:drawing>
      </w:r>
      <w:r w:rsidR="00593B90" w:rsidRPr="003B10E2">
        <w:rPr>
          <w:rFonts w:ascii="Times New Roman" w:hAnsi="Times New Roman"/>
          <w:bCs/>
          <w:color w:val="000000"/>
          <w:sz w:val="24"/>
          <w:szCs w:val="24"/>
        </w:rPr>
        <w:t>Источник: Thomson Reuters.</w:t>
      </w:r>
    </w:p>
    <w:p w14:paraId="0F74D77A" w14:textId="77777777" w:rsidR="00651284" w:rsidRPr="003B10E2" w:rsidRDefault="00BB4738" w:rsidP="00593B90">
      <w:pPr>
        <w:spacing w:after="0" w:line="240" w:lineRule="auto"/>
        <w:ind w:firstLine="851"/>
        <w:jc w:val="center"/>
        <w:rPr>
          <w:rFonts w:ascii="Times New Roman" w:hAnsi="Times New Roman"/>
          <w:bCs/>
          <w:color w:val="000000"/>
          <w:sz w:val="24"/>
          <w:szCs w:val="24"/>
        </w:rPr>
      </w:pPr>
      <w:r w:rsidRPr="003B10E2">
        <w:rPr>
          <w:rFonts w:ascii="Times New Roman" w:hAnsi="Times New Roman"/>
          <w:color w:val="000000"/>
          <w:sz w:val="24"/>
          <w:szCs w:val="24"/>
        </w:rPr>
        <w:t xml:space="preserve">Рисунок </w:t>
      </w:r>
      <w:r w:rsidR="008B6285" w:rsidRPr="003B10E2">
        <w:rPr>
          <w:rFonts w:ascii="Times New Roman" w:hAnsi="Times New Roman"/>
          <w:color w:val="000000"/>
          <w:sz w:val="24"/>
          <w:szCs w:val="24"/>
        </w:rPr>
        <w:t>5</w:t>
      </w:r>
      <w:r w:rsidR="00DF25DE" w:rsidRPr="003B10E2">
        <w:rPr>
          <w:rFonts w:ascii="Times New Roman" w:hAnsi="Times New Roman"/>
          <w:color w:val="000000"/>
          <w:sz w:val="24"/>
          <w:szCs w:val="24"/>
        </w:rPr>
        <w:t>4</w:t>
      </w:r>
      <w:r w:rsidR="00651284" w:rsidRPr="003B10E2">
        <w:rPr>
          <w:rFonts w:ascii="Times New Roman" w:hAnsi="Times New Roman"/>
          <w:color w:val="000000"/>
          <w:sz w:val="24"/>
          <w:szCs w:val="24"/>
        </w:rPr>
        <w:t xml:space="preserve"> </w:t>
      </w:r>
      <w:r w:rsidR="00593B90" w:rsidRPr="003B10E2">
        <w:rPr>
          <w:rFonts w:ascii="Times New Roman" w:hAnsi="Times New Roman"/>
          <w:color w:val="000000"/>
          <w:sz w:val="24"/>
          <w:szCs w:val="24"/>
        </w:rPr>
        <w:t xml:space="preserve">– </w:t>
      </w:r>
      <w:r w:rsidR="00F65B72" w:rsidRPr="003B10E2">
        <w:rPr>
          <w:rFonts w:ascii="Times New Roman" w:hAnsi="Times New Roman"/>
          <w:color w:val="000000"/>
          <w:sz w:val="24"/>
          <w:szCs w:val="24"/>
        </w:rPr>
        <w:t>Объемы торгов на срочном рынке Московской биржи, млрд долл.</w:t>
      </w:r>
    </w:p>
    <w:p w14:paraId="107B1719" w14:textId="77777777" w:rsidR="00BB4738" w:rsidRPr="003B10E2" w:rsidRDefault="00BB4738" w:rsidP="00593B90">
      <w:pPr>
        <w:spacing w:after="0" w:line="240" w:lineRule="auto"/>
        <w:ind w:firstLine="851"/>
        <w:jc w:val="center"/>
        <w:rPr>
          <w:rFonts w:ascii="Times New Roman" w:hAnsi="Times New Roman"/>
          <w:bCs/>
          <w:color w:val="000000"/>
          <w:sz w:val="24"/>
          <w:szCs w:val="24"/>
        </w:rPr>
      </w:pPr>
    </w:p>
    <w:p w14:paraId="5D31E143" w14:textId="77777777" w:rsidR="00BB4738" w:rsidRPr="003B10E2" w:rsidRDefault="00BB4738" w:rsidP="00593B90">
      <w:pPr>
        <w:spacing w:after="0" w:line="240" w:lineRule="auto"/>
        <w:ind w:firstLine="851"/>
        <w:jc w:val="center"/>
        <w:rPr>
          <w:rFonts w:ascii="Times New Roman" w:hAnsi="Times New Roman"/>
          <w:bCs/>
          <w:color w:val="000000"/>
          <w:sz w:val="24"/>
          <w:szCs w:val="24"/>
        </w:rPr>
      </w:pPr>
    </w:p>
    <w:p w14:paraId="5D9BB69B" w14:textId="77777777" w:rsidR="00BB4738" w:rsidRPr="003B10E2" w:rsidRDefault="00BB4738" w:rsidP="00593B90">
      <w:pPr>
        <w:spacing w:after="0" w:line="240" w:lineRule="auto"/>
        <w:ind w:firstLine="851"/>
        <w:jc w:val="center"/>
        <w:rPr>
          <w:rFonts w:ascii="Times New Roman" w:hAnsi="Times New Roman"/>
          <w:bCs/>
          <w:color w:val="000000"/>
          <w:sz w:val="24"/>
          <w:szCs w:val="24"/>
        </w:rPr>
      </w:pPr>
    </w:p>
    <w:p w14:paraId="39B94E65" w14:textId="77777777" w:rsidR="00BB4738" w:rsidRPr="003B10E2" w:rsidRDefault="00BB4738" w:rsidP="00593B90">
      <w:pPr>
        <w:spacing w:after="0" w:line="240" w:lineRule="auto"/>
        <w:ind w:firstLine="851"/>
        <w:jc w:val="center"/>
        <w:rPr>
          <w:rFonts w:ascii="Times New Roman" w:hAnsi="Times New Roman"/>
          <w:bCs/>
          <w:color w:val="000000"/>
          <w:sz w:val="24"/>
          <w:szCs w:val="24"/>
        </w:rPr>
      </w:pPr>
    </w:p>
    <w:p w14:paraId="15015CB9" w14:textId="77777777" w:rsidR="00BB4738" w:rsidRPr="003B10E2" w:rsidRDefault="00BB4738" w:rsidP="00593B90">
      <w:pPr>
        <w:spacing w:after="0" w:line="240" w:lineRule="auto"/>
        <w:ind w:firstLine="851"/>
        <w:jc w:val="center"/>
        <w:rPr>
          <w:rFonts w:ascii="Times New Roman" w:hAnsi="Times New Roman"/>
          <w:bCs/>
          <w:color w:val="000000"/>
          <w:sz w:val="24"/>
          <w:szCs w:val="24"/>
        </w:rPr>
      </w:pPr>
    </w:p>
    <w:p w14:paraId="704EEB7D" w14:textId="77777777" w:rsidR="00BB4738" w:rsidRPr="003B10E2" w:rsidRDefault="00BB4738" w:rsidP="00593B90">
      <w:pPr>
        <w:spacing w:after="0" w:line="240" w:lineRule="auto"/>
        <w:ind w:firstLine="851"/>
        <w:jc w:val="center"/>
        <w:rPr>
          <w:rFonts w:ascii="Times New Roman" w:hAnsi="Times New Roman"/>
          <w:color w:val="000000"/>
          <w:sz w:val="24"/>
          <w:szCs w:val="24"/>
        </w:rPr>
      </w:pPr>
    </w:p>
    <w:p w14:paraId="1EAD02CA" w14:textId="77777777" w:rsidR="00792071" w:rsidRPr="003B10E2" w:rsidRDefault="00792071" w:rsidP="00BB4738">
      <w:pPr>
        <w:spacing w:after="0" w:line="240" w:lineRule="auto"/>
        <w:jc w:val="center"/>
        <w:rPr>
          <w:rFonts w:ascii="Times New Roman" w:hAnsi="Times New Roman"/>
          <w:bCs/>
          <w:color w:val="000000"/>
          <w:sz w:val="24"/>
          <w:szCs w:val="24"/>
        </w:rPr>
      </w:pPr>
    </w:p>
    <w:p w14:paraId="6E50B3E8" w14:textId="77777777" w:rsidR="00BB4738" w:rsidRPr="003B10E2" w:rsidRDefault="00C72198" w:rsidP="00BB4738">
      <w:pPr>
        <w:spacing w:after="0" w:line="240" w:lineRule="auto"/>
        <w:jc w:val="center"/>
        <w:rPr>
          <w:rFonts w:ascii="Times New Roman" w:hAnsi="Times New Roman"/>
          <w:color w:val="000000"/>
          <w:sz w:val="24"/>
          <w:szCs w:val="24"/>
        </w:rPr>
      </w:pPr>
      <w:r w:rsidRPr="003B10E2">
        <w:rPr>
          <w:noProof/>
        </w:rPr>
        <w:drawing>
          <wp:inline distT="0" distB="0" distL="0" distR="0" wp14:anchorId="37AFAF17" wp14:editId="69DCD3CE">
            <wp:extent cx="5941060" cy="3584575"/>
            <wp:effectExtent l="0" t="0" r="0" b="0"/>
            <wp:docPr id="51" name="Рисунок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1"/>
                    <pic:cNvPicPr>
                      <a:picLocks/>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1060" cy="3584575"/>
                    </a:xfrm>
                    <a:prstGeom prst="rect">
                      <a:avLst/>
                    </a:prstGeom>
                    <a:noFill/>
                    <a:ln>
                      <a:noFill/>
                    </a:ln>
                  </pic:spPr>
                </pic:pic>
              </a:graphicData>
            </a:graphic>
          </wp:inline>
        </w:drawing>
      </w:r>
      <w:r w:rsidR="00BB4738" w:rsidRPr="003B10E2">
        <w:rPr>
          <w:rFonts w:ascii="Times New Roman" w:hAnsi="Times New Roman"/>
          <w:bCs/>
          <w:color w:val="000000"/>
          <w:sz w:val="24"/>
          <w:szCs w:val="24"/>
        </w:rPr>
        <w:t>Источник: Thomson Reuters.</w:t>
      </w:r>
    </w:p>
    <w:p w14:paraId="2912B1C9" w14:textId="77777777" w:rsidR="00BB4738" w:rsidRPr="003B10E2" w:rsidRDefault="00BB4738" w:rsidP="00BB473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8B6285" w:rsidRPr="003B10E2">
        <w:rPr>
          <w:rFonts w:ascii="Times New Roman" w:hAnsi="Times New Roman"/>
          <w:color w:val="000000"/>
          <w:sz w:val="24"/>
          <w:szCs w:val="24"/>
        </w:rPr>
        <w:t>5</w:t>
      </w:r>
      <w:r w:rsidR="00DF25DE" w:rsidRPr="003B10E2">
        <w:rPr>
          <w:rFonts w:ascii="Times New Roman" w:hAnsi="Times New Roman"/>
          <w:color w:val="000000"/>
          <w:sz w:val="24"/>
          <w:szCs w:val="24"/>
        </w:rPr>
        <w:t>5</w:t>
      </w:r>
      <w:r w:rsidRPr="003B10E2">
        <w:rPr>
          <w:rFonts w:ascii="Times New Roman" w:hAnsi="Times New Roman"/>
          <w:color w:val="000000"/>
          <w:sz w:val="24"/>
          <w:szCs w:val="24"/>
        </w:rPr>
        <w:t xml:space="preserve"> – Прирост долларовых </w:t>
      </w:r>
      <w:r w:rsidRPr="003B10E2">
        <w:rPr>
          <w:rFonts w:ascii="Times New Roman" w:hAnsi="Times New Roman"/>
          <w:bCs/>
          <w:color w:val="000000"/>
          <w:sz w:val="24"/>
          <w:szCs w:val="24"/>
        </w:rPr>
        <w:t>объемов торгов на срочном рынке Московской биржи, %</w:t>
      </w:r>
    </w:p>
    <w:p w14:paraId="4D3B3214" w14:textId="77777777" w:rsidR="00BB4738" w:rsidRPr="003B10E2" w:rsidRDefault="00BB4738" w:rsidP="00651284">
      <w:pPr>
        <w:spacing w:after="0" w:line="360" w:lineRule="auto"/>
        <w:ind w:firstLine="851"/>
        <w:jc w:val="both"/>
        <w:rPr>
          <w:rFonts w:ascii="Times New Roman" w:hAnsi="Times New Roman"/>
          <w:color w:val="000000"/>
          <w:sz w:val="28"/>
          <w:szCs w:val="28"/>
        </w:rPr>
      </w:pPr>
    </w:p>
    <w:p w14:paraId="72FCFCBC" w14:textId="77777777" w:rsidR="00651284" w:rsidRPr="003B10E2" w:rsidRDefault="00651284" w:rsidP="00651284">
      <w:pPr>
        <w:spacing w:after="0" w:line="360" w:lineRule="auto"/>
        <w:ind w:firstLine="851"/>
        <w:jc w:val="both"/>
        <w:rPr>
          <w:rFonts w:ascii="Times New Roman" w:eastAsia="Times New Roman" w:hAnsi="Times New Roman"/>
          <w:color w:val="000000"/>
          <w:sz w:val="28"/>
          <w:szCs w:val="26"/>
        </w:rPr>
      </w:pPr>
      <w:r w:rsidRPr="003B10E2">
        <w:rPr>
          <w:rFonts w:ascii="Times New Roman" w:eastAsia="Times New Roman" w:hAnsi="Times New Roman"/>
          <w:color w:val="000000"/>
          <w:sz w:val="28"/>
          <w:szCs w:val="26"/>
        </w:rPr>
        <w:t xml:space="preserve">Как было указано ранее, отток денежных средств из низкодоходных активов в рискованные активы заметно оживил рынок деривативов. </w:t>
      </w:r>
    </w:p>
    <w:p w14:paraId="6E789F78" w14:textId="77777777" w:rsidR="00117B62" w:rsidRPr="003B10E2" w:rsidRDefault="00792071" w:rsidP="00117B62">
      <w:pPr>
        <w:spacing w:after="0" w:line="360" w:lineRule="auto"/>
        <w:ind w:firstLine="851"/>
        <w:jc w:val="both"/>
        <w:rPr>
          <w:rFonts w:ascii="Times New Roman" w:eastAsia="Times New Roman" w:hAnsi="Times New Roman"/>
          <w:color w:val="000000"/>
          <w:sz w:val="28"/>
          <w:szCs w:val="26"/>
        </w:rPr>
      </w:pPr>
      <w:r w:rsidRPr="003B10E2">
        <w:rPr>
          <w:rFonts w:ascii="Times New Roman" w:eastAsia="Times New Roman" w:hAnsi="Times New Roman"/>
          <w:color w:val="000000"/>
          <w:sz w:val="28"/>
          <w:szCs w:val="26"/>
        </w:rPr>
        <w:t xml:space="preserve">Для сравнения рассмотрим годовые объемы торгов (обороты) на Шанхайской фондовой бирже (рисунки </w:t>
      </w:r>
      <w:r w:rsidR="008B6285" w:rsidRPr="003B10E2">
        <w:rPr>
          <w:rFonts w:ascii="Times New Roman" w:eastAsia="Times New Roman" w:hAnsi="Times New Roman"/>
          <w:color w:val="000000"/>
          <w:sz w:val="28"/>
          <w:szCs w:val="26"/>
        </w:rPr>
        <w:t>5</w:t>
      </w:r>
      <w:r w:rsidR="00DF25DE" w:rsidRPr="003B10E2">
        <w:rPr>
          <w:rFonts w:ascii="Times New Roman" w:eastAsia="Times New Roman" w:hAnsi="Times New Roman"/>
          <w:color w:val="000000"/>
          <w:sz w:val="28"/>
          <w:szCs w:val="26"/>
        </w:rPr>
        <w:t>6</w:t>
      </w:r>
      <w:r w:rsidRPr="003B10E2">
        <w:rPr>
          <w:rFonts w:ascii="Times New Roman" w:eastAsia="Times New Roman" w:hAnsi="Times New Roman"/>
          <w:color w:val="000000"/>
          <w:sz w:val="28"/>
          <w:szCs w:val="26"/>
        </w:rPr>
        <w:t>-</w:t>
      </w:r>
      <w:r w:rsidR="00DF25DE" w:rsidRPr="003B10E2">
        <w:rPr>
          <w:rFonts w:ascii="Times New Roman" w:eastAsia="Times New Roman" w:hAnsi="Times New Roman"/>
          <w:color w:val="000000"/>
          <w:sz w:val="28"/>
          <w:szCs w:val="26"/>
        </w:rPr>
        <w:t>57</w:t>
      </w:r>
      <w:r w:rsidRPr="003B10E2">
        <w:rPr>
          <w:rFonts w:ascii="Times New Roman" w:eastAsia="Times New Roman" w:hAnsi="Times New Roman"/>
          <w:color w:val="000000"/>
          <w:sz w:val="28"/>
          <w:szCs w:val="26"/>
        </w:rPr>
        <w:t>). Они имеют быструю растущую динамику</w:t>
      </w:r>
      <w:r w:rsidR="00117B62" w:rsidRPr="003B10E2">
        <w:rPr>
          <w:rFonts w:ascii="Times New Roman" w:eastAsia="Times New Roman" w:hAnsi="Times New Roman"/>
          <w:color w:val="000000"/>
          <w:sz w:val="28"/>
          <w:szCs w:val="26"/>
        </w:rPr>
        <w:t>.</w:t>
      </w:r>
    </w:p>
    <w:p w14:paraId="248AC372" w14:textId="77777777" w:rsidR="00792071" w:rsidRPr="003B10E2" w:rsidRDefault="00C72198" w:rsidP="00117B62">
      <w:pPr>
        <w:spacing w:after="0" w:line="360" w:lineRule="auto"/>
        <w:ind w:firstLine="851"/>
        <w:jc w:val="both"/>
        <w:rPr>
          <w:rFonts w:ascii="Times New Roman" w:eastAsia="Times New Roman" w:hAnsi="Times New Roman"/>
          <w:color w:val="000000"/>
          <w:sz w:val="28"/>
          <w:szCs w:val="26"/>
        </w:rPr>
      </w:pPr>
      <w:r w:rsidRPr="003B10E2">
        <w:rPr>
          <w:noProof/>
        </w:rPr>
        <w:drawing>
          <wp:inline distT="0" distB="0" distL="0" distR="0" wp14:anchorId="57B6667E" wp14:editId="0B86D5C1">
            <wp:extent cx="4570730" cy="2741930"/>
            <wp:effectExtent l="0" t="0" r="1270" b="1270"/>
            <wp:docPr id="5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00792071" w:rsidRPr="003B10E2">
        <w:rPr>
          <w:rFonts w:ascii="Times New Roman" w:hAnsi="Times New Roman"/>
          <w:bCs/>
          <w:color w:val="000000"/>
          <w:sz w:val="24"/>
          <w:szCs w:val="24"/>
        </w:rPr>
        <w:t xml:space="preserve"> </w:t>
      </w:r>
    </w:p>
    <w:p w14:paraId="7A78A1D6" w14:textId="77777777" w:rsidR="00792071" w:rsidRPr="003B10E2" w:rsidRDefault="00792071" w:rsidP="00792071">
      <w:pPr>
        <w:spacing w:after="0" w:line="240" w:lineRule="auto"/>
        <w:ind w:firstLine="851"/>
        <w:jc w:val="center"/>
        <w:rPr>
          <w:rFonts w:ascii="Times New Roman" w:hAnsi="Times New Roman"/>
          <w:color w:val="000000"/>
          <w:sz w:val="24"/>
          <w:szCs w:val="24"/>
        </w:rPr>
      </w:pPr>
      <w:r w:rsidRPr="003B10E2">
        <w:rPr>
          <w:rFonts w:ascii="Times New Roman" w:hAnsi="Times New Roman"/>
          <w:bCs/>
          <w:color w:val="000000"/>
          <w:sz w:val="24"/>
          <w:szCs w:val="24"/>
        </w:rPr>
        <w:t>Источник: Thomson Reuters.</w:t>
      </w:r>
    </w:p>
    <w:p w14:paraId="00E57C24" w14:textId="77777777" w:rsidR="00792071" w:rsidRPr="003B10E2" w:rsidRDefault="00792071" w:rsidP="00792071">
      <w:pPr>
        <w:spacing w:after="0" w:line="240" w:lineRule="auto"/>
        <w:ind w:firstLine="851"/>
        <w:jc w:val="center"/>
        <w:rPr>
          <w:rFonts w:ascii="Times New Roman" w:hAnsi="Times New Roman"/>
          <w:bCs/>
          <w:color w:val="000000"/>
          <w:sz w:val="24"/>
          <w:szCs w:val="24"/>
        </w:rPr>
      </w:pPr>
      <w:r w:rsidRPr="003B10E2">
        <w:rPr>
          <w:rFonts w:ascii="Times New Roman" w:hAnsi="Times New Roman"/>
          <w:color w:val="000000"/>
          <w:sz w:val="24"/>
          <w:szCs w:val="24"/>
        </w:rPr>
        <w:t xml:space="preserve">Рисунок </w:t>
      </w:r>
      <w:r w:rsidR="008B6285" w:rsidRPr="003B10E2">
        <w:rPr>
          <w:rFonts w:ascii="Times New Roman" w:hAnsi="Times New Roman"/>
          <w:color w:val="000000"/>
          <w:sz w:val="24"/>
          <w:szCs w:val="24"/>
        </w:rPr>
        <w:t>5</w:t>
      </w:r>
      <w:r w:rsidR="00DF25DE" w:rsidRPr="003B10E2">
        <w:rPr>
          <w:rFonts w:ascii="Times New Roman" w:hAnsi="Times New Roman"/>
          <w:color w:val="000000"/>
          <w:sz w:val="24"/>
          <w:szCs w:val="24"/>
        </w:rPr>
        <w:t>6</w:t>
      </w:r>
      <w:r w:rsidRPr="003B10E2">
        <w:rPr>
          <w:rFonts w:ascii="Times New Roman" w:hAnsi="Times New Roman"/>
          <w:color w:val="000000"/>
          <w:sz w:val="24"/>
          <w:szCs w:val="24"/>
        </w:rPr>
        <w:t xml:space="preserve"> – Объемы торгов на </w:t>
      </w:r>
      <w:r w:rsidR="00117B62" w:rsidRPr="003B10E2">
        <w:rPr>
          <w:rFonts w:ascii="Times New Roman" w:hAnsi="Times New Roman"/>
          <w:color w:val="000000"/>
          <w:sz w:val="24"/>
          <w:szCs w:val="24"/>
        </w:rPr>
        <w:t>Шанхайской фондовой</w:t>
      </w:r>
      <w:r w:rsidRPr="003B10E2">
        <w:rPr>
          <w:rFonts w:ascii="Times New Roman" w:hAnsi="Times New Roman"/>
          <w:color w:val="000000"/>
          <w:sz w:val="24"/>
          <w:szCs w:val="24"/>
        </w:rPr>
        <w:t xml:space="preserve"> бирж</w:t>
      </w:r>
      <w:r w:rsidR="00117B62" w:rsidRPr="003B10E2">
        <w:rPr>
          <w:rFonts w:ascii="Times New Roman" w:hAnsi="Times New Roman"/>
          <w:color w:val="000000"/>
          <w:sz w:val="24"/>
          <w:szCs w:val="24"/>
        </w:rPr>
        <w:t>е</w:t>
      </w:r>
      <w:r w:rsidRPr="003B10E2">
        <w:rPr>
          <w:rFonts w:ascii="Times New Roman" w:hAnsi="Times New Roman"/>
          <w:color w:val="000000"/>
          <w:sz w:val="24"/>
          <w:szCs w:val="24"/>
        </w:rPr>
        <w:t xml:space="preserve">, </w:t>
      </w:r>
      <w:r w:rsidR="00117B62" w:rsidRPr="003B10E2">
        <w:rPr>
          <w:rFonts w:ascii="Times New Roman" w:hAnsi="Times New Roman"/>
          <w:color w:val="000000"/>
          <w:sz w:val="24"/>
          <w:szCs w:val="24"/>
        </w:rPr>
        <w:t>100 млн юаней.</w:t>
      </w:r>
    </w:p>
    <w:p w14:paraId="7ED82C0B" w14:textId="77777777" w:rsidR="00792071" w:rsidRPr="003B10E2" w:rsidRDefault="00792071" w:rsidP="00792071">
      <w:pPr>
        <w:spacing w:after="0" w:line="360" w:lineRule="auto"/>
        <w:jc w:val="both"/>
        <w:rPr>
          <w:rFonts w:ascii="Times New Roman" w:eastAsia="Times New Roman" w:hAnsi="Times New Roman"/>
          <w:color w:val="000000"/>
          <w:sz w:val="28"/>
          <w:szCs w:val="26"/>
        </w:rPr>
      </w:pPr>
    </w:p>
    <w:p w14:paraId="461EA054" w14:textId="77777777" w:rsidR="00792071" w:rsidRPr="003B10E2" w:rsidRDefault="00C72198" w:rsidP="00792071">
      <w:pPr>
        <w:spacing w:after="0" w:line="360" w:lineRule="auto"/>
        <w:jc w:val="both"/>
        <w:rPr>
          <w:rFonts w:ascii="Times New Roman" w:eastAsia="Times New Roman" w:hAnsi="Times New Roman"/>
          <w:color w:val="000000"/>
          <w:sz w:val="28"/>
          <w:szCs w:val="26"/>
        </w:rPr>
      </w:pPr>
      <w:r w:rsidRPr="003B10E2">
        <w:rPr>
          <w:noProof/>
        </w:rPr>
        <w:drawing>
          <wp:inline distT="0" distB="0" distL="0" distR="0" wp14:anchorId="4EC308C1" wp14:editId="2B33C46F">
            <wp:extent cx="4570730" cy="2741930"/>
            <wp:effectExtent l="0" t="0" r="1270" b="1270"/>
            <wp:docPr id="5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1FF97EF9" w14:textId="77777777" w:rsidR="00117B62" w:rsidRPr="003B10E2" w:rsidRDefault="00117B62" w:rsidP="00117B62">
      <w:pPr>
        <w:spacing w:after="0" w:line="240" w:lineRule="auto"/>
        <w:ind w:firstLine="851"/>
        <w:jc w:val="center"/>
        <w:rPr>
          <w:rFonts w:ascii="Times New Roman" w:hAnsi="Times New Roman"/>
          <w:color w:val="000000"/>
          <w:sz w:val="24"/>
          <w:szCs w:val="24"/>
        </w:rPr>
      </w:pPr>
      <w:bookmarkStart w:id="189" w:name="_Hlk137585986"/>
      <w:r w:rsidRPr="003B10E2">
        <w:rPr>
          <w:rFonts w:ascii="Times New Roman" w:hAnsi="Times New Roman"/>
          <w:bCs/>
          <w:color w:val="000000"/>
          <w:sz w:val="24"/>
          <w:szCs w:val="24"/>
        </w:rPr>
        <w:t>Источник: Thomson Reuters.</w:t>
      </w:r>
    </w:p>
    <w:p w14:paraId="4188E2BC" w14:textId="77777777" w:rsidR="00117B62" w:rsidRPr="003B10E2" w:rsidRDefault="00117B62" w:rsidP="00117B62">
      <w:pPr>
        <w:spacing w:after="0" w:line="240" w:lineRule="auto"/>
        <w:ind w:firstLine="851"/>
        <w:jc w:val="center"/>
        <w:rPr>
          <w:rFonts w:ascii="Times New Roman" w:eastAsia="Times New Roman" w:hAnsi="Times New Roman"/>
          <w:color w:val="000000"/>
          <w:sz w:val="28"/>
          <w:szCs w:val="26"/>
        </w:rPr>
      </w:pPr>
      <w:r w:rsidRPr="003B10E2">
        <w:rPr>
          <w:rFonts w:ascii="Times New Roman" w:hAnsi="Times New Roman"/>
          <w:color w:val="000000"/>
          <w:sz w:val="24"/>
          <w:szCs w:val="24"/>
        </w:rPr>
        <w:t xml:space="preserve">Рисунок </w:t>
      </w:r>
      <w:r w:rsidR="00DF25DE" w:rsidRPr="003B10E2">
        <w:rPr>
          <w:rFonts w:ascii="Times New Roman" w:hAnsi="Times New Roman"/>
          <w:color w:val="000000"/>
          <w:sz w:val="24"/>
          <w:szCs w:val="24"/>
        </w:rPr>
        <w:t>57</w:t>
      </w:r>
      <w:r w:rsidRPr="003B10E2">
        <w:rPr>
          <w:rFonts w:ascii="Times New Roman" w:hAnsi="Times New Roman"/>
          <w:color w:val="000000"/>
          <w:sz w:val="24"/>
          <w:szCs w:val="24"/>
        </w:rPr>
        <w:t xml:space="preserve"> – Объемы торгов акциями на Шанхайской фондовой бирже, 100 млн юаней.</w:t>
      </w:r>
    </w:p>
    <w:bookmarkEnd w:id="189"/>
    <w:p w14:paraId="3B6F1CB1" w14:textId="77777777" w:rsidR="004E1575" w:rsidRPr="003B10E2" w:rsidRDefault="00117B62"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Ниже рассмотрим долла</w:t>
      </w:r>
      <w:r w:rsidR="004E1575" w:rsidRPr="003B10E2">
        <w:rPr>
          <w:rFonts w:ascii="Times New Roman" w:hAnsi="Times New Roman"/>
          <w:color w:val="000000"/>
          <w:sz w:val="28"/>
          <w:szCs w:val="28"/>
        </w:rPr>
        <w:t>р</w:t>
      </w:r>
      <w:r w:rsidRPr="003B10E2">
        <w:rPr>
          <w:rFonts w:ascii="Times New Roman" w:hAnsi="Times New Roman"/>
          <w:color w:val="000000"/>
          <w:sz w:val="28"/>
          <w:szCs w:val="28"/>
        </w:rPr>
        <w:t>о</w:t>
      </w:r>
      <w:r w:rsidR="004E1575" w:rsidRPr="003B10E2">
        <w:rPr>
          <w:rFonts w:ascii="Times New Roman" w:hAnsi="Times New Roman"/>
          <w:color w:val="000000"/>
          <w:sz w:val="28"/>
          <w:szCs w:val="28"/>
        </w:rPr>
        <w:t>в</w:t>
      </w:r>
      <w:r w:rsidRPr="003B10E2">
        <w:rPr>
          <w:rFonts w:ascii="Times New Roman" w:hAnsi="Times New Roman"/>
          <w:color w:val="000000"/>
          <w:sz w:val="28"/>
          <w:szCs w:val="28"/>
        </w:rPr>
        <w:t xml:space="preserve">ые </w:t>
      </w:r>
      <w:r w:rsidR="004E1575" w:rsidRPr="003B10E2">
        <w:rPr>
          <w:rFonts w:ascii="Times New Roman" w:hAnsi="Times New Roman"/>
          <w:color w:val="000000"/>
          <w:sz w:val="28"/>
          <w:szCs w:val="28"/>
        </w:rPr>
        <w:t xml:space="preserve">показатели капитализации Шанхайской фондовой биржи и долларовые объемы торгов акциями на ней (рисунки </w:t>
      </w:r>
      <w:r w:rsidR="008B6285" w:rsidRPr="003B10E2">
        <w:rPr>
          <w:rFonts w:ascii="Times New Roman" w:hAnsi="Times New Roman"/>
          <w:color w:val="000000"/>
          <w:sz w:val="28"/>
          <w:szCs w:val="28"/>
        </w:rPr>
        <w:t>61</w:t>
      </w:r>
      <w:r w:rsidR="004E1575" w:rsidRPr="003B10E2">
        <w:rPr>
          <w:rFonts w:ascii="Times New Roman" w:hAnsi="Times New Roman"/>
          <w:color w:val="000000"/>
          <w:sz w:val="28"/>
          <w:szCs w:val="28"/>
        </w:rPr>
        <w:t>-</w:t>
      </w:r>
      <w:r w:rsidR="008B6285" w:rsidRPr="003B10E2">
        <w:rPr>
          <w:rFonts w:ascii="Times New Roman" w:hAnsi="Times New Roman"/>
          <w:color w:val="000000"/>
          <w:sz w:val="28"/>
          <w:szCs w:val="28"/>
        </w:rPr>
        <w:t>62</w:t>
      </w:r>
      <w:r w:rsidR="004E1575" w:rsidRPr="003B10E2">
        <w:rPr>
          <w:rFonts w:ascii="Times New Roman" w:hAnsi="Times New Roman"/>
          <w:color w:val="000000"/>
          <w:sz w:val="28"/>
          <w:szCs w:val="28"/>
        </w:rPr>
        <w:t>). Они также заметно выросли.</w:t>
      </w:r>
    </w:p>
    <w:p w14:paraId="30AC7656" w14:textId="77777777" w:rsidR="004E1575" w:rsidRPr="003B10E2" w:rsidRDefault="00C72198" w:rsidP="004E1575">
      <w:pPr>
        <w:spacing w:after="0" w:line="360" w:lineRule="auto"/>
        <w:jc w:val="both"/>
        <w:rPr>
          <w:rFonts w:ascii="Times New Roman" w:hAnsi="Times New Roman"/>
          <w:color w:val="000000"/>
          <w:sz w:val="28"/>
          <w:szCs w:val="28"/>
        </w:rPr>
      </w:pPr>
      <w:bookmarkStart w:id="190" w:name="_Hlk138267107"/>
      <w:r w:rsidRPr="003B10E2">
        <w:rPr>
          <w:noProof/>
        </w:rPr>
        <w:drawing>
          <wp:inline distT="0" distB="0" distL="0" distR="0" wp14:anchorId="7C039483" wp14:editId="30655CA7">
            <wp:extent cx="4570730" cy="2741930"/>
            <wp:effectExtent l="0" t="0" r="1270" b="1270"/>
            <wp:docPr id="54"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63449862" w14:textId="77777777" w:rsidR="004E1575" w:rsidRPr="003B10E2" w:rsidRDefault="004E1575" w:rsidP="004E1575">
      <w:pPr>
        <w:spacing w:after="0" w:line="240" w:lineRule="auto"/>
        <w:ind w:firstLine="851"/>
        <w:jc w:val="center"/>
        <w:rPr>
          <w:rFonts w:ascii="Times New Roman" w:hAnsi="Times New Roman"/>
          <w:color w:val="000000"/>
          <w:sz w:val="24"/>
          <w:szCs w:val="24"/>
        </w:rPr>
      </w:pPr>
      <w:r w:rsidRPr="003B10E2">
        <w:rPr>
          <w:rFonts w:ascii="Times New Roman" w:hAnsi="Times New Roman"/>
          <w:bCs/>
          <w:color w:val="000000"/>
          <w:sz w:val="24"/>
          <w:szCs w:val="24"/>
        </w:rPr>
        <w:t>Источник: Thomson Reuters.</w:t>
      </w:r>
    </w:p>
    <w:p w14:paraId="5996CAF5" w14:textId="77777777" w:rsidR="004E1575" w:rsidRPr="003B10E2" w:rsidRDefault="004E1575" w:rsidP="004E1575">
      <w:pPr>
        <w:spacing w:after="0" w:line="240" w:lineRule="auto"/>
        <w:ind w:firstLine="851"/>
        <w:jc w:val="center"/>
        <w:rPr>
          <w:rFonts w:ascii="Times New Roman" w:eastAsia="Times New Roman" w:hAnsi="Times New Roman"/>
          <w:color w:val="000000"/>
          <w:sz w:val="28"/>
          <w:szCs w:val="26"/>
        </w:rPr>
      </w:pPr>
      <w:r w:rsidRPr="003B10E2">
        <w:rPr>
          <w:rFonts w:ascii="Times New Roman" w:hAnsi="Times New Roman"/>
          <w:color w:val="000000"/>
          <w:sz w:val="24"/>
          <w:szCs w:val="24"/>
        </w:rPr>
        <w:t xml:space="preserve">Рисунок </w:t>
      </w:r>
      <w:r w:rsidR="00DF25DE" w:rsidRPr="003B10E2">
        <w:rPr>
          <w:rFonts w:ascii="Times New Roman" w:hAnsi="Times New Roman"/>
          <w:color w:val="000000"/>
          <w:sz w:val="24"/>
          <w:szCs w:val="24"/>
        </w:rPr>
        <w:t>58</w:t>
      </w:r>
      <w:r w:rsidRPr="003B10E2">
        <w:rPr>
          <w:rFonts w:ascii="Times New Roman" w:hAnsi="Times New Roman"/>
          <w:color w:val="000000"/>
          <w:sz w:val="24"/>
          <w:szCs w:val="24"/>
        </w:rPr>
        <w:t xml:space="preserve"> – Капитализация Шанхайской фондовой биржи, </w:t>
      </w:r>
      <w:r w:rsidR="00690BF6" w:rsidRPr="003B10E2">
        <w:rPr>
          <w:rFonts w:ascii="Times New Roman" w:hAnsi="Times New Roman"/>
          <w:color w:val="000000"/>
          <w:sz w:val="24"/>
          <w:szCs w:val="24"/>
        </w:rPr>
        <w:t>трлн</w:t>
      </w:r>
      <w:r w:rsidRPr="003B10E2">
        <w:rPr>
          <w:rFonts w:ascii="Times New Roman" w:hAnsi="Times New Roman"/>
          <w:color w:val="000000"/>
          <w:sz w:val="24"/>
          <w:szCs w:val="24"/>
        </w:rPr>
        <w:t xml:space="preserve"> долл.</w:t>
      </w:r>
    </w:p>
    <w:p w14:paraId="08F4ED4D" w14:textId="77777777" w:rsidR="004E1575" w:rsidRPr="003B10E2" w:rsidRDefault="004E1575" w:rsidP="004E1575">
      <w:pPr>
        <w:spacing w:after="0" w:line="360" w:lineRule="auto"/>
        <w:jc w:val="both"/>
        <w:rPr>
          <w:rFonts w:ascii="Times New Roman" w:hAnsi="Times New Roman"/>
          <w:color w:val="000000"/>
          <w:sz w:val="28"/>
          <w:szCs w:val="28"/>
        </w:rPr>
      </w:pPr>
    </w:p>
    <w:p w14:paraId="374063B6" w14:textId="77777777" w:rsidR="004E1575" w:rsidRPr="003B10E2" w:rsidRDefault="00C72198" w:rsidP="004E1575">
      <w:pPr>
        <w:spacing w:after="0" w:line="360" w:lineRule="auto"/>
        <w:jc w:val="both"/>
        <w:rPr>
          <w:rFonts w:ascii="Times New Roman" w:hAnsi="Times New Roman"/>
          <w:color w:val="000000"/>
          <w:sz w:val="28"/>
          <w:szCs w:val="28"/>
        </w:rPr>
      </w:pPr>
      <w:r w:rsidRPr="003B10E2">
        <w:rPr>
          <w:noProof/>
        </w:rPr>
        <w:drawing>
          <wp:inline distT="0" distB="0" distL="0" distR="0" wp14:anchorId="3BA03E45" wp14:editId="0D81C179">
            <wp:extent cx="4570730" cy="2741930"/>
            <wp:effectExtent l="0" t="0" r="1270" b="1270"/>
            <wp:docPr id="55"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C3E148F" w14:textId="77777777" w:rsidR="004E1575" w:rsidRPr="003B10E2" w:rsidRDefault="004E1575" w:rsidP="004E1575">
      <w:pPr>
        <w:spacing w:after="0" w:line="240" w:lineRule="auto"/>
        <w:ind w:firstLine="851"/>
        <w:jc w:val="center"/>
        <w:rPr>
          <w:rFonts w:ascii="Times New Roman" w:hAnsi="Times New Roman"/>
          <w:color w:val="000000"/>
          <w:sz w:val="24"/>
          <w:szCs w:val="24"/>
        </w:rPr>
      </w:pPr>
      <w:r w:rsidRPr="003B10E2">
        <w:rPr>
          <w:rFonts w:ascii="Times New Roman" w:hAnsi="Times New Roman"/>
          <w:bCs/>
          <w:color w:val="000000"/>
          <w:sz w:val="24"/>
          <w:szCs w:val="24"/>
        </w:rPr>
        <w:t>Источник: Thomson Reuters.</w:t>
      </w:r>
    </w:p>
    <w:p w14:paraId="34A78AD1" w14:textId="77777777" w:rsidR="004E1575" w:rsidRPr="003B10E2" w:rsidRDefault="004E1575" w:rsidP="004E1575">
      <w:pPr>
        <w:spacing w:after="0" w:line="240" w:lineRule="auto"/>
        <w:ind w:firstLine="851"/>
        <w:jc w:val="center"/>
        <w:rPr>
          <w:rFonts w:ascii="Times New Roman" w:eastAsia="Times New Roman" w:hAnsi="Times New Roman"/>
          <w:color w:val="000000"/>
          <w:sz w:val="28"/>
          <w:szCs w:val="26"/>
        </w:rPr>
      </w:pPr>
      <w:r w:rsidRPr="003B10E2">
        <w:rPr>
          <w:rFonts w:ascii="Times New Roman" w:hAnsi="Times New Roman"/>
          <w:color w:val="000000"/>
          <w:sz w:val="24"/>
          <w:szCs w:val="24"/>
        </w:rPr>
        <w:t xml:space="preserve">Рисунок </w:t>
      </w:r>
      <w:r w:rsidR="00DF25DE" w:rsidRPr="003B10E2">
        <w:rPr>
          <w:rFonts w:ascii="Times New Roman" w:hAnsi="Times New Roman"/>
          <w:color w:val="000000"/>
          <w:sz w:val="24"/>
          <w:szCs w:val="24"/>
        </w:rPr>
        <w:t>59</w:t>
      </w:r>
      <w:r w:rsidRPr="003B10E2">
        <w:rPr>
          <w:rFonts w:ascii="Times New Roman" w:hAnsi="Times New Roman"/>
          <w:color w:val="000000"/>
          <w:sz w:val="24"/>
          <w:szCs w:val="24"/>
        </w:rPr>
        <w:t xml:space="preserve"> – Объемы торгов акциями на Шанхайской фондовой бирже, </w:t>
      </w:r>
      <w:r w:rsidR="00690BF6" w:rsidRPr="003B10E2">
        <w:rPr>
          <w:rFonts w:ascii="Times New Roman" w:hAnsi="Times New Roman"/>
          <w:color w:val="000000"/>
          <w:sz w:val="24"/>
          <w:szCs w:val="24"/>
        </w:rPr>
        <w:t xml:space="preserve">трлн </w:t>
      </w:r>
      <w:r w:rsidRPr="003B10E2">
        <w:rPr>
          <w:rFonts w:ascii="Times New Roman" w:hAnsi="Times New Roman"/>
          <w:color w:val="000000"/>
          <w:sz w:val="24"/>
          <w:szCs w:val="24"/>
        </w:rPr>
        <w:t>долл.</w:t>
      </w:r>
    </w:p>
    <w:bookmarkEnd w:id="190"/>
    <w:p w14:paraId="1A8537BD" w14:textId="77777777" w:rsidR="004E1575" w:rsidRPr="003B10E2" w:rsidRDefault="004E1575" w:rsidP="004E1575">
      <w:pPr>
        <w:spacing w:after="0" w:line="360" w:lineRule="auto"/>
        <w:jc w:val="both"/>
        <w:rPr>
          <w:rFonts w:ascii="Times New Roman" w:hAnsi="Times New Roman"/>
          <w:color w:val="000000"/>
          <w:sz w:val="28"/>
          <w:szCs w:val="28"/>
        </w:rPr>
      </w:pPr>
    </w:p>
    <w:p w14:paraId="03B80FE7" w14:textId="77777777" w:rsidR="00651284" w:rsidRPr="003B10E2" w:rsidRDefault="00651284" w:rsidP="0088161E">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Тут принимается допущение, что все оттоки средств с рынка акций и облигаций России (выше среднего значения) после публикации политических и регулятивных решений вызваны реализацией «политических и регулятивных рисков».</w:t>
      </w:r>
    </w:p>
    <w:p w14:paraId="4746B3E9" w14:textId="77777777" w:rsidR="00AC6C3B" w:rsidRPr="003B10E2" w:rsidRDefault="00651284" w:rsidP="0088161E">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Валютный рынок России</w:t>
      </w:r>
      <w:r w:rsidR="00584C53" w:rsidRPr="003B10E2">
        <w:rPr>
          <w:rFonts w:ascii="Times New Roman" w:hAnsi="Times New Roman"/>
          <w:color w:val="000000"/>
          <w:sz w:val="28"/>
          <w:szCs w:val="28"/>
        </w:rPr>
        <w:t xml:space="preserve"> (в отличие от китайского рынка)</w:t>
      </w:r>
      <w:r w:rsidRPr="003B10E2">
        <w:rPr>
          <w:rFonts w:ascii="Times New Roman" w:hAnsi="Times New Roman"/>
          <w:color w:val="000000"/>
          <w:sz w:val="28"/>
          <w:szCs w:val="28"/>
        </w:rPr>
        <w:t xml:space="preserve"> оказался рынком, передающим шоки монетарной политики США и оказывающим сильное влияние на фондовый рынок и умеренное влияние на рынок облигаций</w:t>
      </w:r>
      <w:r w:rsidRPr="003B10E2">
        <w:t xml:space="preserve"> </w:t>
      </w:r>
      <w:r w:rsidR="00AC6C3B" w:rsidRPr="003B10E2">
        <w:rPr>
          <w:rFonts w:ascii="Times New Roman" w:hAnsi="Times New Roman"/>
          <w:color w:val="000000"/>
          <w:sz w:val="28"/>
          <w:szCs w:val="28"/>
        </w:rPr>
        <w:t xml:space="preserve">России (таблицы </w:t>
      </w:r>
      <w:r w:rsidR="008B6285" w:rsidRPr="003B10E2">
        <w:rPr>
          <w:rFonts w:ascii="Times New Roman" w:hAnsi="Times New Roman"/>
          <w:color w:val="000000"/>
          <w:sz w:val="28"/>
          <w:szCs w:val="28"/>
        </w:rPr>
        <w:t>11</w:t>
      </w:r>
      <w:r w:rsidR="00AC6C3B" w:rsidRPr="003B10E2">
        <w:rPr>
          <w:rFonts w:ascii="Times New Roman" w:hAnsi="Times New Roman"/>
          <w:color w:val="000000"/>
          <w:sz w:val="28"/>
          <w:szCs w:val="28"/>
        </w:rPr>
        <w:t xml:space="preserve">, </w:t>
      </w:r>
      <w:r w:rsidR="008B6285" w:rsidRPr="003B10E2">
        <w:rPr>
          <w:rFonts w:ascii="Times New Roman" w:hAnsi="Times New Roman"/>
          <w:color w:val="000000"/>
          <w:sz w:val="28"/>
          <w:szCs w:val="28"/>
        </w:rPr>
        <w:t>12</w:t>
      </w:r>
      <w:r w:rsidR="0088161E" w:rsidRPr="003B10E2">
        <w:rPr>
          <w:rFonts w:ascii="Times New Roman" w:hAnsi="Times New Roman"/>
          <w:color w:val="000000"/>
          <w:sz w:val="28"/>
          <w:szCs w:val="28"/>
        </w:rPr>
        <w:t>).</w:t>
      </w:r>
    </w:p>
    <w:p w14:paraId="7E70C4D0" w14:textId="77777777" w:rsidR="0088161E" w:rsidRPr="003B10E2" w:rsidRDefault="0088161E" w:rsidP="0088161E">
      <w:pPr>
        <w:spacing w:after="0" w:line="240" w:lineRule="auto"/>
        <w:ind w:firstLine="851"/>
        <w:jc w:val="both"/>
        <w:rPr>
          <w:rFonts w:ascii="Times New Roman" w:hAnsi="Times New Roman"/>
          <w:color w:val="000000"/>
          <w:sz w:val="28"/>
          <w:szCs w:val="28"/>
        </w:rPr>
      </w:pPr>
    </w:p>
    <w:p w14:paraId="473B513B" w14:textId="77777777" w:rsidR="00C8369A" w:rsidRPr="003B10E2" w:rsidRDefault="00C8369A" w:rsidP="0088161E">
      <w:pPr>
        <w:spacing w:after="0" w:line="240" w:lineRule="auto"/>
        <w:contextualSpacing/>
        <w:jc w:val="both"/>
        <w:rPr>
          <w:rFonts w:ascii="Times New Roman" w:hAnsi="Times New Roman"/>
          <w:color w:val="000000"/>
          <w:sz w:val="24"/>
          <w:szCs w:val="24"/>
        </w:rPr>
      </w:pPr>
      <w:r w:rsidRPr="003B10E2">
        <w:rPr>
          <w:rFonts w:ascii="Times New Roman" w:hAnsi="Times New Roman"/>
          <w:color w:val="000000"/>
          <w:sz w:val="24"/>
          <w:szCs w:val="24"/>
        </w:rPr>
        <w:t xml:space="preserve">Таблица </w:t>
      </w:r>
      <w:r w:rsidR="008B6285" w:rsidRPr="003B10E2">
        <w:rPr>
          <w:rFonts w:ascii="Times New Roman" w:hAnsi="Times New Roman"/>
          <w:color w:val="000000"/>
          <w:sz w:val="24"/>
          <w:szCs w:val="24"/>
        </w:rPr>
        <w:t>11</w:t>
      </w:r>
      <w:r w:rsidRPr="003B10E2">
        <w:rPr>
          <w:rFonts w:ascii="Times New Roman" w:hAnsi="Times New Roman"/>
          <w:color w:val="000000"/>
          <w:sz w:val="24"/>
          <w:szCs w:val="24"/>
        </w:rPr>
        <w:t xml:space="preserve"> – Коэффициент корреляции объемов количественного смягчения в США и параметров </w:t>
      </w:r>
      <w:r w:rsidR="005D427A" w:rsidRPr="003B10E2">
        <w:rPr>
          <w:rFonts w:ascii="Times New Roman" w:hAnsi="Times New Roman"/>
          <w:color w:val="000000"/>
          <w:sz w:val="24"/>
          <w:szCs w:val="24"/>
        </w:rPr>
        <w:t>рынка капитала</w:t>
      </w:r>
      <w:r w:rsidRPr="003B10E2">
        <w:rPr>
          <w:rFonts w:ascii="Times New Roman" w:hAnsi="Times New Roman"/>
          <w:color w:val="000000"/>
          <w:sz w:val="24"/>
          <w:szCs w:val="24"/>
        </w:rPr>
        <w:t xml:space="preserve"> России</w:t>
      </w:r>
    </w:p>
    <w:p w14:paraId="49A80D0A" w14:textId="77777777" w:rsidR="0088161E" w:rsidRPr="003B10E2" w:rsidRDefault="0088161E" w:rsidP="0088161E">
      <w:pPr>
        <w:spacing w:after="0" w:line="240" w:lineRule="auto"/>
        <w:contextualSpacing/>
        <w:jc w:val="both"/>
        <w:rPr>
          <w:rFonts w:ascii="Times New Roman" w:hAnsi="Times New Roman"/>
          <w:color w:val="000000"/>
          <w:sz w:val="24"/>
          <w:szCs w:val="24"/>
        </w:rPr>
      </w:pPr>
    </w:p>
    <w:tbl>
      <w:tblPr>
        <w:tblW w:w="5256" w:type="dxa"/>
        <w:tblLayout w:type="fixed"/>
        <w:tblLook w:val="04A0" w:firstRow="1" w:lastRow="0" w:firstColumn="1" w:lastColumn="0" w:noHBand="0" w:noVBand="1"/>
      </w:tblPr>
      <w:tblGrid>
        <w:gridCol w:w="1388"/>
        <w:gridCol w:w="1116"/>
        <w:gridCol w:w="1888"/>
        <w:gridCol w:w="864"/>
      </w:tblGrid>
      <w:tr w:rsidR="00651284" w:rsidRPr="003B10E2" w14:paraId="51EF4754" w14:textId="77777777" w:rsidTr="00651284">
        <w:trPr>
          <w:trHeight w:val="268"/>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0912D9" w14:textId="77777777" w:rsidR="00651284" w:rsidRPr="003B10E2" w:rsidRDefault="00651284" w:rsidP="00651284">
            <w:pPr>
              <w:widowControl w:val="0"/>
              <w:spacing w:after="0" w:line="240" w:lineRule="auto"/>
              <w:jc w:val="center"/>
              <w:rPr>
                <w:sz w:val="24"/>
                <w:szCs w:val="24"/>
              </w:rPr>
            </w:pPr>
            <w:r w:rsidRPr="003B10E2">
              <w:rPr>
                <w:rFonts w:ascii="Times New Roman" w:eastAsia="Times New Roman" w:hAnsi="Times New Roman"/>
                <w:color w:val="000000"/>
                <w:sz w:val="24"/>
                <w:szCs w:val="24"/>
                <w:lang w:val="en-US" w:eastAsia="en-US"/>
              </w:rPr>
              <w:t>Параметр</w:t>
            </w:r>
          </w:p>
        </w:tc>
        <w:tc>
          <w:tcPr>
            <w:tcW w:w="1116" w:type="dxa"/>
            <w:tcBorders>
              <w:top w:val="single" w:sz="4" w:space="0" w:color="000000"/>
              <w:bottom w:val="single" w:sz="4" w:space="0" w:color="000000"/>
              <w:right w:val="single" w:sz="4" w:space="0" w:color="000000"/>
            </w:tcBorders>
            <w:shd w:val="clear" w:color="auto" w:fill="auto"/>
            <w:vAlign w:val="bottom"/>
          </w:tcPr>
          <w:p w14:paraId="2A24DCFC" w14:textId="77777777" w:rsidR="00651284" w:rsidRPr="003B10E2" w:rsidRDefault="00651284" w:rsidP="00651284">
            <w:pPr>
              <w:widowControl w:val="0"/>
              <w:spacing w:after="0" w:line="240" w:lineRule="auto"/>
              <w:jc w:val="center"/>
              <w:rPr>
                <w:sz w:val="24"/>
                <w:szCs w:val="24"/>
              </w:rPr>
            </w:pPr>
            <w:r w:rsidRPr="003B10E2">
              <w:rPr>
                <w:rFonts w:ascii="Times New Roman" w:eastAsia="Times New Roman" w:hAnsi="Times New Roman"/>
                <w:color w:val="000000"/>
                <w:sz w:val="24"/>
                <w:szCs w:val="24"/>
                <w:lang w:val="en-US" w:eastAsia="en-US"/>
              </w:rPr>
              <w:t>Money</w:t>
            </w:r>
          </w:p>
        </w:tc>
        <w:tc>
          <w:tcPr>
            <w:tcW w:w="1888" w:type="dxa"/>
            <w:tcBorders>
              <w:top w:val="single" w:sz="4" w:space="0" w:color="000000"/>
              <w:bottom w:val="single" w:sz="4" w:space="0" w:color="000000"/>
              <w:right w:val="single" w:sz="4" w:space="0" w:color="000000"/>
            </w:tcBorders>
            <w:shd w:val="clear" w:color="auto" w:fill="auto"/>
            <w:vAlign w:val="bottom"/>
          </w:tcPr>
          <w:p w14:paraId="633E7454" w14:textId="77777777" w:rsidR="00651284" w:rsidRPr="003B10E2" w:rsidRDefault="00651284" w:rsidP="00651284">
            <w:pPr>
              <w:widowControl w:val="0"/>
              <w:spacing w:after="0" w:line="240" w:lineRule="auto"/>
              <w:jc w:val="center"/>
              <w:rPr>
                <w:sz w:val="24"/>
                <w:szCs w:val="24"/>
              </w:rPr>
            </w:pPr>
            <w:r w:rsidRPr="003B10E2">
              <w:rPr>
                <w:rFonts w:ascii="Times New Roman" w:eastAsia="Times New Roman" w:hAnsi="Times New Roman"/>
                <w:color w:val="000000"/>
                <w:sz w:val="24"/>
                <w:szCs w:val="24"/>
                <w:lang w:val="en-US" w:eastAsia="en-US"/>
              </w:rPr>
              <w:t>Risks</w:t>
            </w:r>
          </w:p>
        </w:tc>
        <w:tc>
          <w:tcPr>
            <w:tcW w:w="864" w:type="dxa"/>
            <w:tcBorders>
              <w:top w:val="single" w:sz="4" w:space="0" w:color="000000"/>
              <w:bottom w:val="single" w:sz="4" w:space="0" w:color="000000"/>
              <w:right w:val="single" w:sz="4" w:space="0" w:color="000000"/>
            </w:tcBorders>
            <w:shd w:val="clear" w:color="auto" w:fill="auto"/>
            <w:vAlign w:val="bottom"/>
          </w:tcPr>
          <w:p w14:paraId="6E01B0FA" w14:textId="77777777" w:rsidR="00651284" w:rsidRPr="003B10E2" w:rsidRDefault="00651284" w:rsidP="00651284">
            <w:pPr>
              <w:widowControl w:val="0"/>
              <w:spacing w:after="0" w:line="240" w:lineRule="auto"/>
              <w:jc w:val="center"/>
              <w:rPr>
                <w:sz w:val="24"/>
                <w:szCs w:val="24"/>
              </w:rPr>
            </w:pPr>
            <w:r w:rsidRPr="003B10E2">
              <w:rPr>
                <w:rFonts w:ascii="Times New Roman" w:eastAsia="Times New Roman" w:hAnsi="Times New Roman"/>
                <w:color w:val="000000"/>
                <w:sz w:val="24"/>
                <w:szCs w:val="24"/>
                <w:lang w:val="en-US" w:eastAsia="en-US"/>
              </w:rPr>
              <w:t>Funds</w:t>
            </w:r>
          </w:p>
        </w:tc>
      </w:tr>
      <w:tr w:rsidR="00651284" w:rsidRPr="003B10E2" w14:paraId="72C23022" w14:textId="77777777" w:rsidTr="00651284">
        <w:trPr>
          <w:trHeight w:val="268"/>
        </w:trPr>
        <w:tc>
          <w:tcPr>
            <w:tcW w:w="1387" w:type="dxa"/>
            <w:tcBorders>
              <w:left w:val="single" w:sz="4" w:space="0" w:color="000000"/>
              <w:bottom w:val="single" w:sz="4" w:space="0" w:color="000000"/>
              <w:right w:val="single" w:sz="4" w:space="0" w:color="000000"/>
            </w:tcBorders>
            <w:shd w:val="clear" w:color="auto" w:fill="auto"/>
            <w:vAlign w:val="bottom"/>
          </w:tcPr>
          <w:p w14:paraId="6390398E" w14:textId="77777777" w:rsidR="00651284" w:rsidRPr="003B10E2" w:rsidRDefault="00651284" w:rsidP="00651284">
            <w:pPr>
              <w:widowControl w:val="0"/>
              <w:spacing w:after="0" w:line="240" w:lineRule="auto"/>
              <w:jc w:val="center"/>
              <w:rPr>
                <w:sz w:val="24"/>
                <w:szCs w:val="24"/>
              </w:rPr>
            </w:pPr>
            <w:r w:rsidRPr="003B10E2">
              <w:rPr>
                <w:rFonts w:ascii="Times New Roman" w:eastAsia="Times New Roman" w:hAnsi="Times New Roman"/>
                <w:color w:val="000000"/>
                <w:sz w:val="24"/>
                <w:szCs w:val="24"/>
                <w:lang w:val="en-US" w:eastAsia="en-US"/>
              </w:rPr>
              <w:t>Money</w:t>
            </w:r>
          </w:p>
        </w:tc>
        <w:tc>
          <w:tcPr>
            <w:tcW w:w="1116" w:type="dxa"/>
            <w:tcBorders>
              <w:bottom w:val="single" w:sz="4" w:space="0" w:color="000000"/>
              <w:right w:val="single" w:sz="4" w:space="0" w:color="000000"/>
            </w:tcBorders>
            <w:shd w:val="clear" w:color="auto" w:fill="auto"/>
            <w:vAlign w:val="bottom"/>
          </w:tcPr>
          <w:p w14:paraId="2EFCE6D6" w14:textId="77777777" w:rsidR="00651284" w:rsidRPr="003B10E2" w:rsidRDefault="00651284" w:rsidP="00651284">
            <w:pPr>
              <w:widowControl w:val="0"/>
              <w:spacing w:after="0" w:line="240" w:lineRule="auto"/>
              <w:jc w:val="center"/>
              <w:rPr>
                <w:sz w:val="24"/>
                <w:szCs w:val="24"/>
              </w:rPr>
            </w:pPr>
            <w:r w:rsidRPr="003B10E2">
              <w:rPr>
                <w:rFonts w:ascii="Times New Roman" w:eastAsia="Times New Roman" w:hAnsi="Times New Roman"/>
                <w:color w:val="000000"/>
                <w:sz w:val="24"/>
                <w:szCs w:val="24"/>
                <w:lang w:val="en-US" w:eastAsia="en-US"/>
              </w:rPr>
              <w:t>1</w:t>
            </w:r>
          </w:p>
        </w:tc>
        <w:tc>
          <w:tcPr>
            <w:tcW w:w="1888" w:type="dxa"/>
            <w:tcBorders>
              <w:bottom w:val="single" w:sz="4" w:space="0" w:color="000000"/>
              <w:right w:val="single" w:sz="4" w:space="0" w:color="000000"/>
            </w:tcBorders>
            <w:shd w:val="clear" w:color="auto" w:fill="auto"/>
            <w:vAlign w:val="bottom"/>
          </w:tcPr>
          <w:p w14:paraId="373068F3" w14:textId="77777777" w:rsidR="00651284" w:rsidRPr="003B10E2" w:rsidRDefault="00651284" w:rsidP="00651284">
            <w:pPr>
              <w:widowControl w:val="0"/>
              <w:spacing w:after="0" w:line="240" w:lineRule="auto"/>
              <w:jc w:val="center"/>
              <w:rPr>
                <w:sz w:val="24"/>
                <w:szCs w:val="24"/>
              </w:rPr>
            </w:pPr>
            <w:r w:rsidRPr="003B10E2">
              <w:rPr>
                <w:rFonts w:ascii="Times New Roman" w:eastAsia="Times New Roman" w:hAnsi="Times New Roman"/>
                <w:color w:val="000000"/>
                <w:sz w:val="24"/>
                <w:szCs w:val="24"/>
                <w:lang w:val="en-US" w:eastAsia="en-US"/>
              </w:rPr>
              <w:t>0.186</w:t>
            </w:r>
          </w:p>
        </w:tc>
        <w:tc>
          <w:tcPr>
            <w:tcW w:w="864" w:type="dxa"/>
            <w:tcBorders>
              <w:bottom w:val="single" w:sz="4" w:space="0" w:color="000000"/>
              <w:right w:val="single" w:sz="4" w:space="0" w:color="000000"/>
            </w:tcBorders>
            <w:shd w:val="clear" w:color="auto" w:fill="auto"/>
            <w:vAlign w:val="bottom"/>
          </w:tcPr>
          <w:p w14:paraId="5736F783" w14:textId="77777777" w:rsidR="00651284" w:rsidRPr="003B10E2" w:rsidRDefault="00651284" w:rsidP="00651284">
            <w:pPr>
              <w:widowControl w:val="0"/>
              <w:spacing w:after="0" w:line="240" w:lineRule="auto"/>
              <w:jc w:val="center"/>
              <w:rPr>
                <w:sz w:val="24"/>
                <w:szCs w:val="24"/>
              </w:rPr>
            </w:pPr>
            <w:r w:rsidRPr="003B10E2">
              <w:rPr>
                <w:rFonts w:ascii="Times New Roman" w:eastAsia="Times New Roman" w:hAnsi="Times New Roman"/>
                <w:color w:val="000000"/>
                <w:sz w:val="24"/>
                <w:szCs w:val="24"/>
                <w:lang w:val="en-US" w:eastAsia="en-US"/>
              </w:rPr>
              <w:t>0.138</w:t>
            </w:r>
          </w:p>
        </w:tc>
      </w:tr>
      <w:tr w:rsidR="00651284" w:rsidRPr="003B10E2" w14:paraId="6CEFCD1A" w14:textId="77777777" w:rsidTr="00651284">
        <w:trPr>
          <w:trHeight w:val="268"/>
        </w:trPr>
        <w:tc>
          <w:tcPr>
            <w:tcW w:w="1387" w:type="dxa"/>
            <w:tcBorders>
              <w:left w:val="single" w:sz="4" w:space="0" w:color="000000"/>
              <w:bottom w:val="single" w:sz="4" w:space="0" w:color="000000"/>
              <w:right w:val="single" w:sz="4" w:space="0" w:color="000000"/>
            </w:tcBorders>
            <w:shd w:val="clear" w:color="auto" w:fill="auto"/>
            <w:vAlign w:val="bottom"/>
          </w:tcPr>
          <w:p w14:paraId="1EBD7680" w14:textId="77777777" w:rsidR="00651284" w:rsidRPr="003B10E2" w:rsidRDefault="00651284" w:rsidP="00651284">
            <w:pPr>
              <w:widowControl w:val="0"/>
              <w:spacing w:after="0" w:line="240" w:lineRule="auto"/>
              <w:jc w:val="center"/>
              <w:rPr>
                <w:sz w:val="24"/>
                <w:szCs w:val="24"/>
              </w:rPr>
            </w:pPr>
            <w:r w:rsidRPr="003B10E2">
              <w:rPr>
                <w:rFonts w:ascii="Times New Roman" w:eastAsia="Times New Roman" w:hAnsi="Times New Roman"/>
                <w:color w:val="000000"/>
                <w:sz w:val="24"/>
                <w:szCs w:val="24"/>
                <w:lang w:val="en-US" w:eastAsia="en-US"/>
              </w:rPr>
              <w:t>Risks</w:t>
            </w:r>
          </w:p>
        </w:tc>
        <w:tc>
          <w:tcPr>
            <w:tcW w:w="1116" w:type="dxa"/>
            <w:tcBorders>
              <w:bottom w:val="single" w:sz="4" w:space="0" w:color="000000"/>
              <w:right w:val="single" w:sz="4" w:space="0" w:color="000000"/>
            </w:tcBorders>
            <w:shd w:val="clear" w:color="auto" w:fill="auto"/>
            <w:vAlign w:val="bottom"/>
          </w:tcPr>
          <w:p w14:paraId="6577C093" w14:textId="77777777" w:rsidR="00651284" w:rsidRPr="003B10E2" w:rsidRDefault="00651284" w:rsidP="00651284">
            <w:pPr>
              <w:widowControl w:val="0"/>
              <w:spacing w:after="0" w:line="240" w:lineRule="auto"/>
              <w:jc w:val="center"/>
              <w:rPr>
                <w:sz w:val="24"/>
                <w:szCs w:val="24"/>
              </w:rPr>
            </w:pPr>
            <w:r w:rsidRPr="003B10E2">
              <w:rPr>
                <w:rFonts w:ascii="Times New Roman" w:eastAsia="Times New Roman" w:hAnsi="Times New Roman"/>
                <w:color w:val="000000"/>
                <w:sz w:val="24"/>
                <w:szCs w:val="24"/>
                <w:lang w:val="en-US" w:eastAsia="en-US"/>
              </w:rPr>
              <w:t>0.186</w:t>
            </w:r>
          </w:p>
        </w:tc>
        <w:tc>
          <w:tcPr>
            <w:tcW w:w="1888" w:type="dxa"/>
            <w:tcBorders>
              <w:bottom w:val="single" w:sz="4" w:space="0" w:color="000000"/>
              <w:right w:val="single" w:sz="4" w:space="0" w:color="000000"/>
            </w:tcBorders>
            <w:shd w:val="clear" w:color="auto" w:fill="auto"/>
            <w:vAlign w:val="bottom"/>
          </w:tcPr>
          <w:p w14:paraId="3E23AA75" w14:textId="77777777" w:rsidR="00651284" w:rsidRPr="003B10E2" w:rsidRDefault="00651284" w:rsidP="00651284">
            <w:pPr>
              <w:widowControl w:val="0"/>
              <w:spacing w:after="0" w:line="240" w:lineRule="auto"/>
              <w:jc w:val="center"/>
              <w:rPr>
                <w:sz w:val="24"/>
                <w:szCs w:val="24"/>
              </w:rPr>
            </w:pPr>
            <w:r w:rsidRPr="003B10E2">
              <w:rPr>
                <w:rFonts w:ascii="Times New Roman" w:eastAsia="Times New Roman" w:hAnsi="Times New Roman"/>
                <w:color w:val="000000"/>
                <w:sz w:val="24"/>
                <w:szCs w:val="24"/>
                <w:lang w:val="en-US" w:eastAsia="en-US"/>
              </w:rPr>
              <w:t>1</w:t>
            </w:r>
          </w:p>
        </w:tc>
        <w:tc>
          <w:tcPr>
            <w:tcW w:w="864" w:type="dxa"/>
            <w:tcBorders>
              <w:bottom w:val="single" w:sz="4" w:space="0" w:color="000000"/>
              <w:right w:val="single" w:sz="4" w:space="0" w:color="000000"/>
            </w:tcBorders>
            <w:shd w:val="clear" w:color="auto" w:fill="auto"/>
            <w:vAlign w:val="bottom"/>
          </w:tcPr>
          <w:p w14:paraId="794F2949" w14:textId="77777777" w:rsidR="00651284" w:rsidRPr="003B10E2" w:rsidRDefault="00651284" w:rsidP="00651284">
            <w:pPr>
              <w:widowControl w:val="0"/>
              <w:spacing w:after="0" w:line="240" w:lineRule="auto"/>
              <w:jc w:val="center"/>
              <w:rPr>
                <w:sz w:val="24"/>
                <w:szCs w:val="24"/>
              </w:rPr>
            </w:pPr>
            <w:r w:rsidRPr="003B10E2">
              <w:rPr>
                <w:rFonts w:ascii="Times New Roman" w:eastAsia="Times New Roman" w:hAnsi="Times New Roman"/>
                <w:color w:val="000000"/>
                <w:sz w:val="24"/>
                <w:szCs w:val="24"/>
                <w:lang w:val="en-US" w:eastAsia="en-US"/>
              </w:rPr>
              <w:t>-0.098</w:t>
            </w:r>
          </w:p>
        </w:tc>
      </w:tr>
      <w:tr w:rsidR="00651284" w:rsidRPr="003B10E2" w14:paraId="1278AEFB" w14:textId="77777777" w:rsidTr="00651284">
        <w:trPr>
          <w:trHeight w:val="268"/>
        </w:trPr>
        <w:tc>
          <w:tcPr>
            <w:tcW w:w="1387" w:type="dxa"/>
            <w:tcBorders>
              <w:left w:val="single" w:sz="4" w:space="0" w:color="000000"/>
              <w:bottom w:val="single" w:sz="4" w:space="0" w:color="000000"/>
              <w:right w:val="single" w:sz="4" w:space="0" w:color="000000"/>
            </w:tcBorders>
            <w:shd w:val="clear" w:color="auto" w:fill="auto"/>
            <w:vAlign w:val="bottom"/>
          </w:tcPr>
          <w:p w14:paraId="469C5AC0" w14:textId="77777777" w:rsidR="00651284" w:rsidRPr="003B10E2" w:rsidRDefault="00651284" w:rsidP="00651284">
            <w:pPr>
              <w:widowControl w:val="0"/>
              <w:spacing w:after="0" w:line="240" w:lineRule="auto"/>
              <w:jc w:val="center"/>
              <w:rPr>
                <w:sz w:val="24"/>
                <w:szCs w:val="24"/>
              </w:rPr>
            </w:pPr>
            <w:r w:rsidRPr="003B10E2">
              <w:rPr>
                <w:rFonts w:ascii="Times New Roman" w:eastAsia="Times New Roman" w:hAnsi="Times New Roman"/>
                <w:color w:val="000000"/>
                <w:sz w:val="24"/>
                <w:szCs w:val="24"/>
                <w:lang w:val="en-US" w:eastAsia="en-US"/>
              </w:rPr>
              <w:t>Funds</w:t>
            </w:r>
          </w:p>
        </w:tc>
        <w:tc>
          <w:tcPr>
            <w:tcW w:w="1116" w:type="dxa"/>
            <w:tcBorders>
              <w:bottom w:val="single" w:sz="4" w:space="0" w:color="000000"/>
              <w:right w:val="single" w:sz="4" w:space="0" w:color="000000"/>
            </w:tcBorders>
            <w:shd w:val="clear" w:color="auto" w:fill="auto"/>
            <w:vAlign w:val="bottom"/>
          </w:tcPr>
          <w:p w14:paraId="77525EC6" w14:textId="77777777" w:rsidR="00651284" w:rsidRPr="003B10E2" w:rsidRDefault="00651284" w:rsidP="00651284">
            <w:pPr>
              <w:widowControl w:val="0"/>
              <w:spacing w:after="0" w:line="240" w:lineRule="auto"/>
              <w:jc w:val="center"/>
              <w:rPr>
                <w:sz w:val="24"/>
                <w:szCs w:val="24"/>
              </w:rPr>
            </w:pPr>
            <w:r w:rsidRPr="003B10E2">
              <w:rPr>
                <w:rFonts w:ascii="Times New Roman" w:eastAsia="Times New Roman" w:hAnsi="Times New Roman"/>
                <w:color w:val="000000"/>
                <w:sz w:val="24"/>
                <w:szCs w:val="24"/>
                <w:lang w:val="en-US" w:eastAsia="en-US"/>
              </w:rPr>
              <w:t>0.138</w:t>
            </w:r>
          </w:p>
        </w:tc>
        <w:tc>
          <w:tcPr>
            <w:tcW w:w="1888" w:type="dxa"/>
            <w:tcBorders>
              <w:bottom w:val="single" w:sz="4" w:space="0" w:color="000000"/>
              <w:right w:val="single" w:sz="4" w:space="0" w:color="000000"/>
            </w:tcBorders>
            <w:shd w:val="clear" w:color="auto" w:fill="auto"/>
            <w:vAlign w:val="bottom"/>
          </w:tcPr>
          <w:p w14:paraId="2E0AC8C4" w14:textId="77777777" w:rsidR="00651284" w:rsidRPr="003B10E2" w:rsidRDefault="00651284" w:rsidP="00651284">
            <w:pPr>
              <w:widowControl w:val="0"/>
              <w:spacing w:after="0" w:line="240" w:lineRule="auto"/>
              <w:jc w:val="center"/>
              <w:rPr>
                <w:sz w:val="24"/>
                <w:szCs w:val="24"/>
              </w:rPr>
            </w:pPr>
            <w:r w:rsidRPr="003B10E2">
              <w:rPr>
                <w:rFonts w:ascii="Times New Roman" w:eastAsia="Times New Roman" w:hAnsi="Times New Roman"/>
                <w:color w:val="000000"/>
                <w:sz w:val="24"/>
                <w:szCs w:val="24"/>
                <w:lang w:val="en-US" w:eastAsia="en-US"/>
              </w:rPr>
              <w:t>-0.098</w:t>
            </w:r>
          </w:p>
        </w:tc>
        <w:tc>
          <w:tcPr>
            <w:tcW w:w="864" w:type="dxa"/>
            <w:tcBorders>
              <w:bottom w:val="single" w:sz="4" w:space="0" w:color="000000"/>
              <w:right w:val="single" w:sz="4" w:space="0" w:color="000000"/>
            </w:tcBorders>
            <w:shd w:val="clear" w:color="auto" w:fill="auto"/>
            <w:vAlign w:val="bottom"/>
          </w:tcPr>
          <w:p w14:paraId="6EC4E456" w14:textId="77777777" w:rsidR="00651284" w:rsidRPr="003B10E2" w:rsidRDefault="00651284" w:rsidP="00651284">
            <w:pPr>
              <w:widowControl w:val="0"/>
              <w:spacing w:after="0" w:line="240" w:lineRule="auto"/>
              <w:jc w:val="center"/>
              <w:rPr>
                <w:sz w:val="24"/>
                <w:szCs w:val="24"/>
              </w:rPr>
            </w:pPr>
            <w:r w:rsidRPr="003B10E2">
              <w:rPr>
                <w:rFonts w:ascii="Times New Roman" w:eastAsia="Times New Roman" w:hAnsi="Times New Roman"/>
                <w:color w:val="000000"/>
                <w:sz w:val="24"/>
                <w:szCs w:val="24"/>
                <w:lang w:val="en-US" w:eastAsia="en-US"/>
              </w:rPr>
              <w:t>1</w:t>
            </w:r>
          </w:p>
        </w:tc>
      </w:tr>
    </w:tbl>
    <w:p w14:paraId="3ADD90DA" w14:textId="77777777" w:rsidR="00651284" w:rsidRPr="003B10E2" w:rsidRDefault="00651284" w:rsidP="00C8369A">
      <w:pPr>
        <w:spacing w:after="0" w:line="240" w:lineRule="auto"/>
        <w:rPr>
          <w:rFonts w:ascii="Times New Roman" w:hAnsi="Times New Roman"/>
          <w:color w:val="000000"/>
          <w:sz w:val="24"/>
          <w:szCs w:val="24"/>
        </w:rPr>
      </w:pPr>
      <w:r w:rsidRPr="003B10E2">
        <w:rPr>
          <w:rFonts w:ascii="Times New Roman" w:hAnsi="Times New Roman"/>
          <w:color w:val="000000"/>
          <w:sz w:val="24"/>
          <w:szCs w:val="24"/>
        </w:rPr>
        <w:t>Источник: Thomson Reuters, расчеты автора.</w:t>
      </w:r>
    </w:p>
    <w:p w14:paraId="610AC17A" w14:textId="77777777" w:rsidR="00AC6C3B" w:rsidRPr="003B10E2" w:rsidRDefault="00AC6C3B" w:rsidP="00C8369A">
      <w:pPr>
        <w:spacing w:after="0" w:line="360" w:lineRule="auto"/>
        <w:rPr>
          <w:rFonts w:ascii="Times New Roman" w:hAnsi="Times New Roman"/>
          <w:color w:val="000000"/>
          <w:sz w:val="24"/>
          <w:szCs w:val="24"/>
        </w:rPr>
      </w:pPr>
    </w:p>
    <w:p w14:paraId="74AD4DB1" w14:textId="77777777" w:rsidR="00651284" w:rsidRPr="003B10E2" w:rsidRDefault="00C8369A" w:rsidP="00C8369A">
      <w:pPr>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 xml:space="preserve">Таблица </w:t>
      </w:r>
      <w:r w:rsidR="008B6285" w:rsidRPr="003B10E2">
        <w:rPr>
          <w:rFonts w:ascii="Times New Roman" w:hAnsi="Times New Roman"/>
          <w:color w:val="000000"/>
          <w:sz w:val="24"/>
          <w:szCs w:val="24"/>
        </w:rPr>
        <w:t>12</w:t>
      </w:r>
      <w:r w:rsidRPr="003B10E2">
        <w:rPr>
          <w:rFonts w:ascii="Times New Roman" w:hAnsi="Times New Roman"/>
          <w:color w:val="000000"/>
          <w:sz w:val="24"/>
          <w:szCs w:val="24"/>
        </w:rPr>
        <w:t xml:space="preserve"> – Влияние внешних шоков, вызванных количественным смягчением в США, на рынок капитала России</w:t>
      </w:r>
    </w:p>
    <w:p w14:paraId="378A807A" w14:textId="77777777" w:rsidR="0088161E" w:rsidRPr="003B10E2" w:rsidRDefault="0088161E" w:rsidP="00C8369A">
      <w:pPr>
        <w:spacing w:after="0" w:line="240" w:lineRule="auto"/>
        <w:contextualSpacing/>
        <w:rPr>
          <w:rFonts w:ascii="Times New Roman" w:hAnsi="Times New Roman"/>
          <w:color w:val="000000"/>
          <w:sz w:val="24"/>
          <w:szCs w:val="24"/>
        </w:rPr>
      </w:pPr>
    </w:p>
    <w:tbl>
      <w:tblPr>
        <w:tblW w:w="9356" w:type="dxa"/>
        <w:tblInd w:w="-5" w:type="dxa"/>
        <w:tblLayout w:type="fixed"/>
        <w:tblLook w:val="04A0" w:firstRow="1" w:lastRow="0" w:firstColumn="1" w:lastColumn="0" w:noHBand="0" w:noVBand="1"/>
      </w:tblPr>
      <w:tblGrid>
        <w:gridCol w:w="1134"/>
        <w:gridCol w:w="1125"/>
        <w:gridCol w:w="860"/>
        <w:gridCol w:w="993"/>
        <w:gridCol w:w="851"/>
        <w:gridCol w:w="1274"/>
        <w:gridCol w:w="1134"/>
        <w:gridCol w:w="1134"/>
        <w:gridCol w:w="851"/>
      </w:tblGrid>
      <w:tr w:rsidR="00651284" w:rsidRPr="003B10E2" w14:paraId="507E3DE3" w14:textId="77777777" w:rsidTr="00AC6C3B">
        <w:trPr>
          <w:trHeight w:val="305"/>
        </w:trPr>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14:paraId="576FA7DA" w14:textId="77777777" w:rsidR="00651284" w:rsidRPr="003B10E2" w:rsidRDefault="00651284" w:rsidP="00651284">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Параметр</w:t>
            </w:r>
          </w:p>
        </w:tc>
        <w:tc>
          <w:tcPr>
            <w:tcW w:w="3829" w:type="dxa"/>
            <w:gridSpan w:val="4"/>
            <w:tcBorders>
              <w:top w:val="single" w:sz="4" w:space="0" w:color="000000"/>
              <w:bottom w:val="single" w:sz="4" w:space="0" w:color="000000"/>
              <w:right w:val="single" w:sz="4" w:space="0" w:color="000000"/>
            </w:tcBorders>
            <w:shd w:val="clear" w:color="auto" w:fill="auto"/>
            <w:vAlign w:val="bottom"/>
          </w:tcPr>
          <w:p w14:paraId="718746BC" w14:textId="77777777" w:rsidR="00651284" w:rsidRPr="003B10E2" w:rsidRDefault="00651284" w:rsidP="00651284">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Рынок акций</w:t>
            </w:r>
          </w:p>
        </w:tc>
        <w:tc>
          <w:tcPr>
            <w:tcW w:w="4393" w:type="dxa"/>
            <w:gridSpan w:val="4"/>
            <w:tcBorders>
              <w:top w:val="single" w:sz="4" w:space="0" w:color="000000"/>
              <w:bottom w:val="single" w:sz="4" w:space="0" w:color="000000"/>
              <w:right w:val="single" w:sz="4" w:space="0" w:color="000000"/>
            </w:tcBorders>
            <w:shd w:val="clear" w:color="auto" w:fill="auto"/>
            <w:vAlign w:val="bottom"/>
          </w:tcPr>
          <w:p w14:paraId="6DB193C1" w14:textId="77777777" w:rsidR="00651284" w:rsidRPr="003B10E2" w:rsidRDefault="00651284" w:rsidP="00651284">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Рынок облигаций</w:t>
            </w:r>
          </w:p>
        </w:tc>
      </w:tr>
      <w:tr w:rsidR="00651284" w:rsidRPr="003B10E2" w14:paraId="0B0CDE6E" w14:textId="77777777" w:rsidTr="00AC6C3B">
        <w:trPr>
          <w:trHeight w:val="551"/>
        </w:trPr>
        <w:tc>
          <w:tcPr>
            <w:tcW w:w="1134" w:type="dxa"/>
            <w:vMerge/>
            <w:tcBorders>
              <w:top w:val="single" w:sz="4" w:space="0" w:color="000000"/>
              <w:left w:val="single" w:sz="4" w:space="0" w:color="000000"/>
              <w:bottom w:val="single" w:sz="4" w:space="0" w:color="000000"/>
              <w:right w:val="single" w:sz="4" w:space="0" w:color="000000"/>
            </w:tcBorders>
            <w:vAlign w:val="center"/>
          </w:tcPr>
          <w:p w14:paraId="1619012A" w14:textId="77777777" w:rsidR="00651284" w:rsidRPr="003B10E2" w:rsidRDefault="00651284" w:rsidP="00651284">
            <w:pPr>
              <w:widowControl w:val="0"/>
              <w:spacing w:after="0" w:line="240" w:lineRule="auto"/>
              <w:contextualSpacing/>
              <w:jc w:val="center"/>
              <w:rPr>
                <w:rFonts w:ascii="Times New Roman" w:eastAsia="Times New Roman" w:hAnsi="Times New Roman"/>
                <w:color w:val="000000"/>
                <w:lang w:val="en-US" w:eastAsia="en-US"/>
              </w:rPr>
            </w:pPr>
          </w:p>
        </w:tc>
        <w:tc>
          <w:tcPr>
            <w:tcW w:w="1125" w:type="dxa"/>
            <w:tcBorders>
              <w:top w:val="single" w:sz="4" w:space="0" w:color="000000"/>
              <w:bottom w:val="single" w:sz="4" w:space="0" w:color="000000"/>
              <w:right w:val="single" w:sz="4" w:space="0" w:color="000000"/>
            </w:tcBorders>
            <w:shd w:val="clear" w:color="auto" w:fill="auto"/>
            <w:vAlign w:val="bottom"/>
          </w:tcPr>
          <w:p w14:paraId="584E579D"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Коэффи</w:t>
            </w:r>
            <w:r w:rsidR="00AC6C3B" w:rsidRPr="003B10E2">
              <w:rPr>
                <w:rFonts w:ascii="Times New Roman" w:eastAsia="Times New Roman" w:hAnsi="Times New Roman"/>
                <w:color w:val="000000"/>
                <w:lang w:eastAsia="en-US"/>
              </w:rPr>
              <w:t>-</w:t>
            </w:r>
            <w:r w:rsidRPr="003B10E2">
              <w:rPr>
                <w:rFonts w:ascii="Times New Roman" w:eastAsia="Times New Roman" w:hAnsi="Times New Roman"/>
                <w:color w:val="000000"/>
                <w:lang w:val="en-US" w:eastAsia="en-US"/>
              </w:rPr>
              <w:t>циент</w:t>
            </w:r>
          </w:p>
        </w:tc>
        <w:tc>
          <w:tcPr>
            <w:tcW w:w="860" w:type="dxa"/>
            <w:tcBorders>
              <w:top w:val="single" w:sz="4" w:space="0" w:color="000000"/>
              <w:bottom w:val="single" w:sz="4" w:space="0" w:color="000000"/>
              <w:right w:val="single" w:sz="4" w:space="0" w:color="000000"/>
            </w:tcBorders>
            <w:shd w:val="clear" w:color="auto" w:fill="auto"/>
            <w:vAlign w:val="bottom"/>
          </w:tcPr>
          <w:p w14:paraId="5083F415"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SD</w:t>
            </w:r>
          </w:p>
        </w:tc>
        <w:tc>
          <w:tcPr>
            <w:tcW w:w="993" w:type="dxa"/>
            <w:tcBorders>
              <w:top w:val="single" w:sz="4" w:space="0" w:color="000000"/>
              <w:bottom w:val="single" w:sz="4" w:space="0" w:color="000000"/>
              <w:right w:val="single" w:sz="4" w:space="0" w:color="000000"/>
            </w:tcBorders>
            <w:shd w:val="clear" w:color="auto" w:fill="auto"/>
            <w:vAlign w:val="bottom"/>
          </w:tcPr>
          <w:p w14:paraId="71379F7E"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t-Estimate</w:t>
            </w:r>
          </w:p>
        </w:tc>
        <w:tc>
          <w:tcPr>
            <w:tcW w:w="851" w:type="dxa"/>
            <w:tcBorders>
              <w:top w:val="single" w:sz="4" w:space="0" w:color="000000"/>
              <w:bottom w:val="single" w:sz="4" w:space="0" w:color="000000"/>
              <w:right w:val="single" w:sz="4" w:space="0" w:color="000000"/>
            </w:tcBorders>
            <w:shd w:val="clear" w:color="auto" w:fill="auto"/>
            <w:vAlign w:val="bottom"/>
          </w:tcPr>
          <w:p w14:paraId="7DEEAB1E"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p-value</w:t>
            </w:r>
          </w:p>
        </w:tc>
        <w:tc>
          <w:tcPr>
            <w:tcW w:w="1274" w:type="dxa"/>
            <w:tcBorders>
              <w:top w:val="single" w:sz="4" w:space="0" w:color="000000"/>
              <w:bottom w:val="single" w:sz="4" w:space="0" w:color="000000"/>
              <w:right w:val="single" w:sz="4" w:space="0" w:color="000000"/>
            </w:tcBorders>
            <w:shd w:val="clear" w:color="auto" w:fill="auto"/>
            <w:vAlign w:val="bottom"/>
          </w:tcPr>
          <w:p w14:paraId="482791F6"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Коэффи</w:t>
            </w:r>
            <w:r w:rsidR="00AC6C3B" w:rsidRPr="003B10E2">
              <w:rPr>
                <w:rFonts w:ascii="Times New Roman" w:eastAsia="Times New Roman" w:hAnsi="Times New Roman"/>
                <w:color w:val="000000"/>
                <w:lang w:eastAsia="en-US"/>
              </w:rPr>
              <w:t>-</w:t>
            </w:r>
            <w:r w:rsidRPr="003B10E2">
              <w:rPr>
                <w:rFonts w:ascii="Times New Roman" w:eastAsia="Times New Roman" w:hAnsi="Times New Roman"/>
                <w:color w:val="000000"/>
                <w:lang w:val="en-US" w:eastAsia="en-US"/>
              </w:rPr>
              <w:t>циент</w:t>
            </w:r>
          </w:p>
        </w:tc>
        <w:tc>
          <w:tcPr>
            <w:tcW w:w="1134" w:type="dxa"/>
            <w:tcBorders>
              <w:top w:val="single" w:sz="4" w:space="0" w:color="000000"/>
              <w:bottom w:val="single" w:sz="4" w:space="0" w:color="000000"/>
              <w:right w:val="single" w:sz="4" w:space="0" w:color="000000"/>
            </w:tcBorders>
            <w:shd w:val="clear" w:color="auto" w:fill="auto"/>
            <w:vAlign w:val="bottom"/>
          </w:tcPr>
          <w:p w14:paraId="31177225"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SD</w:t>
            </w:r>
          </w:p>
        </w:tc>
        <w:tc>
          <w:tcPr>
            <w:tcW w:w="1134" w:type="dxa"/>
            <w:tcBorders>
              <w:top w:val="single" w:sz="4" w:space="0" w:color="000000"/>
              <w:bottom w:val="single" w:sz="4" w:space="0" w:color="000000"/>
              <w:right w:val="single" w:sz="4" w:space="0" w:color="000000"/>
            </w:tcBorders>
            <w:shd w:val="clear" w:color="auto" w:fill="auto"/>
            <w:vAlign w:val="bottom"/>
          </w:tcPr>
          <w:p w14:paraId="6B82BEDE"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t-Estimate</w:t>
            </w:r>
          </w:p>
        </w:tc>
        <w:tc>
          <w:tcPr>
            <w:tcW w:w="851" w:type="dxa"/>
            <w:tcBorders>
              <w:top w:val="single" w:sz="4" w:space="0" w:color="000000"/>
              <w:bottom w:val="single" w:sz="4" w:space="0" w:color="000000"/>
              <w:right w:val="single" w:sz="4" w:space="0" w:color="000000"/>
            </w:tcBorders>
            <w:shd w:val="clear" w:color="auto" w:fill="auto"/>
            <w:vAlign w:val="bottom"/>
          </w:tcPr>
          <w:p w14:paraId="11E14B27"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p-value</w:t>
            </w:r>
          </w:p>
        </w:tc>
      </w:tr>
      <w:tr w:rsidR="00651284" w:rsidRPr="003B10E2" w14:paraId="3B28D122" w14:textId="77777777" w:rsidTr="00AC6C3B">
        <w:trPr>
          <w:trHeight w:val="551"/>
        </w:trPr>
        <w:tc>
          <w:tcPr>
            <w:tcW w:w="1134" w:type="dxa"/>
            <w:tcBorders>
              <w:left w:val="single" w:sz="4" w:space="0" w:color="000000"/>
              <w:bottom w:val="single" w:sz="4" w:space="0" w:color="000000"/>
              <w:right w:val="single" w:sz="4" w:space="0" w:color="000000"/>
            </w:tcBorders>
            <w:shd w:val="clear" w:color="auto" w:fill="auto"/>
            <w:vAlign w:val="bottom"/>
          </w:tcPr>
          <w:p w14:paraId="07BDCB7A" w14:textId="77777777" w:rsidR="00651284" w:rsidRPr="003B10E2" w:rsidRDefault="00651284" w:rsidP="00651284">
            <w:pPr>
              <w:widowControl w:val="0"/>
              <w:spacing w:after="0" w:line="240" w:lineRule="auto"/>
              <w:contextualSpacing/>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Money</w:t>
            </w:r>
          </w:p>
        </w:tc>
        <w:tc>
          <w:tcPr>
            <w:tcW w:w="1125" w:type="dxa"/>
            <w:tcBorders>
              <w:bottom w:val="single" w:sz="4" w:space="0" w:color="000000"/>
              <w:right w:val="single" w:sz="4" w:space="0" w:color="000000"/>
            </w:tcBorders>
            <w:shd w:val="clear" w:color="auto" w:fill="auto"/>
            <w:vAlign w:val="bottom"/>
          </w:tcPr>
          <w:p w14:paraId="1733AC90"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0.3412</w:t>
            </w:r>
          </w:p>
        </w:tc>
        <w:tc>
          <w:tcPr>
            <w:tcW w:w="860" w:type="dxa"/>
            <w:tcBorders>
              <w:bottom w:val="single" w:sz="4" w:space="0" w:color="000000"/>
              <w:right w:val="single" w:sz="4" w:space="0" w:color="000000"/>
            </w:tcBorders>
            <w:shd w:val="clear" w:color="auto" w:fill="auto"/>
            <w:vAlign w:val="bottom"/>
          </w:tcPr>
          <w:p w14:paraId="346FCE5B"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0.2603</w:t>
            </w:r>
          </w:p>
        </w:tc>
        <w:tc>
          <w:tcPr>
            <w:tcW w:w="993" w:type="dxa"/>
            <w:tcBorders>
              <w:bottom w:val="single" w:sz="4" w:space="0" w:color="000000"/>
              <w:right w:val="single" w:sz="4" w:space="0" w:color="000000"/>
            </w:tcBorders>
            <w:shd w:val="clear" w:color="auto" w:fill="auto"/>
            <w:vAlign w:val="bottom"/>
          </w:tcPr>
          <w:p w14:paraId="404C3BD2"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1.311</w:t>
            </w:r>
          </w:p>
        </w:tc>
        <w:tc>
          <w:tcPr>
            <w:tcW w:w="851" w:type="dxa"/>
            <w:tcBorders>
              <w:bottom w:val="single" w:sz="4" w:space="0" w:color="000000"/>
              <w:right w:val="single" w:sz="4" w:space="0" w:color="000000"/>
            </w:tcBorders>
            <w:shd w:val="clear" w:color="auto" w:fill="auto"/>
            <w:vAlign w:val="bottom"/>
          </w:tcPr>
          <w:p w14:paraId="479FBB0F"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0.1906</w:t>
            </w:r>
          </w:p>
        </w:tc>
        <w:tc>
          <w:tcPr>
            <w:tcW w:w="1274" w:type="dxa"/>
            <w:tcBorders>
              <w:bottom w:val="single" w:sz="4" w:space="0" w:color="000000"/>
              <w:right w:val="single" w:sz="4" w:space="0" w:color="000000"/>
            </w:tcBorders>
            <w:shd w:val="clear" w:color="auto" w:fill="auto"/>
            <w:vAlign w:val="bottom"/>
          </w:tcPr>
          <w:p w14:paraId="55D80B22"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-0.0076</w:t>
            </w:r>
          </w:p>
        </w:tc>
        <w:tc>
          <w:tcPr>
            <w:tcW w:w="1134" w:type="dxa"/>
            <w:tcBorders>
              <w:bottom w:val="single" w:sz="4" w:space="0" w:color="000000"/>
              <w:right w:val="single" w:sz="4" w:space="0" w:color="000000"/>
            </w:tcBorders>
            <w:shd w:val="clear" w:color="auto" w:fill="auto"/>
            <w:vAlign w:val="bottom"/>
          </w:tcPr>
          <w:p w14:paraId="5C300BA4"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0.723523</w:t>
            </w:r>
          </w:p>
        </w:tc>
        <w:tc>
          <w:tcPr>
            <w:tcW w:w="1134" w:type="dxa"/>
            <w:tcBorders>
              <w:bottom w:val="single" w:sz="4" w:space="0" w:color="000000"/>
              <w:right w:val="single" w:sz="4" w:space="0" w:color="000000"/>
            </w:tcBorders>
            <w:shd w:val="clear" w:color="auto" w:fill="auto"/>
            <w:vAlign w:val="bottom"/>
          </w:tcPr>
          <w:p w14:paraId="3A3B68D2"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-0.0105</w:t>
            </w:r>
          </w:p>
        </w:tc>
        <w:tc>
          <w:tcPr>
            <w:tcW w:w="851" w:type="dxa"/>
            <w:tcBorders>
              <w:bottom w:val="single" w:sz="4" w:space="0" w:color="000000"/>
              <w:right w:val="single" w:sz="4" w:space="0" w:color="000000"/>
            </w:tcBorders>
            <w:shd w:val="clear" w:color="auto" w:fill="auto"/>
            <w:vAlign w:val="bottom"/>
          </w:tcPr>
          <w:p w14:paraId="14311CC1"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0.9916</w:t>
            </w:r>
          </w:p>
        </w:tc>
      </w:tr>
      <w:tr w:rsidR="00651284" w:rsidRPr="003B10E2" w14:paraId="0121BB19" w14:textId="77777777" w:rsidTr="00AC6C3B">
        <w:trPr>
          <w:trHeight w:val="551"/>
        </w:trPr>
        <w:tc>
          <w:tcPr>
            <w:tcW w:w="1134" w:type="dxa"/>
            <w:tcBorders>
              <w:left w:val="single" w:sz="4" w:space="0" w:color="000000"/>
              <w:bottom w:val="single" w:sz="4" w:space="0" w:color="000000"/>
              <w:right w:val="single" w:sz="4" w:space="0" w:color="000000"/>
            </w:tcBorders>
            <w:shd w:val="clear" w:color="auto" w:fill="auto"/>
            <w:vAlign w:val="bottom"/>
          </w:tcPr>
          <w:p w14:paraId="27EBE7F6" w14:textId="77777777" w:rsidR="00651284" w:rsidRPr="003B10E2" w:rsidRDefault="00651284" w:rsidP="00651284">
            <w:pPr>
              <w:widowControl w:val="0"/>
              <w:spacing w:after="0" w:line="240" w:lineRule="auto"/>
              <w:contextualSpacing/>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Risks</w:t>
            </w:r>
          </w:p>
        </w:tc>
        <w:tc>
          <w:tcPr>
            <w:tcW w:w="1125" w:type="dxa"/>
            <w:tcBorders>
              <w:bottom w:val="single" w:sz="4" w:space="0" w:color="000000"/>
              <w:right w:val="single" w:sz="4" w:space="0" w:color="000000"/>
            </w:tcBorders>
            <w:shd w:val="clear" w:color="auto" w:fill="auto"/>
            <w:vAlign w:val="bottom"/>
          </w:tcPr>
          <w:p w14:paraId="202E7D58"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1.0108</w:t>
            </w:r>
          </w:p>
        </w:tc>
        <w:tc>
          <w:tcPr>
            <w:tcW w:w="860" w:type="dxa"/>
            <w:tcBorders>
              <w:bottom w:val="single" w:sz="4" w:space="0" w:color="000000"/>
              <w:right w:val="single" w:sz="4" w:space="0" w:color="000000"/>
            </w:tcBorders>
            <w:shd w:val="clear" w:color="auto" w:fill="auto"/>
            <w:vAlign w:val="bottom"/>
          </w:tcPr>
          <w:p w14:paraId="328B5C8E"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0.1844</w:t>
            </w:r>
          </w:p>
        </w:tc>
        <w:tc>
          <w:tcPr>
            <w:tcW w:w="993" w:type="dxa"/>
            <w:tcBorders>
              <w:bottom w:val="single" w:sz="4" w:space="0" w:color="000000"/>
              <w:right w:val="single" w:sz="4" w:space="0" w:color="000000"/>
            </w:tcBorders>
            <w:shd w:val="clear" w:color="auto" w:fill="auto"/>
            <w:vAlign w:val="bottom"/>
          </w:tcPr>
          <w:p w14:paraId="276A8748"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5.479</w:t>
            </w:r>
          </w:p>
        </w:tc>
        <w:tc>
          <w:tcPr>
            <w:tcW w:w="851" w:type="dxa"/>
            <w:tcBorders>
              <w:bottom w:val="single" w:sz="4" w:space="0" w:color="000000"/>
              <w:right w:val="single" w:sz="4" w:space="0" w:color="000000"/>
            </w:tcBorders>
            <w:shd w:val="clear" w:color="auto" w:fill="auto"/>
            <w:vAlign w:val="bottom"/>
          </w:tcPr>
          <w:p w14:paraId="3CD4AAE0"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0</w:t>
            </w:r>
          </w:p>
        </w:tc>
        <w:tc>
          <w:tcPr>
            <w:tcW w:w="1274" w:type="dxa"/>
            <w:tcBorders>
              <w:bottom w:val="single" w:sz="4" w:space="0" w:color="000000"/>
              <w:right w:val="single" w:sz="4" w:space="0" w:color="000000"/>
            </w:tcBorders>
            <w:shd w:val="clear" w:color="auto" w:fill="auto"/>
            <w:vAlign w:val="bottom"/>
          </w:tcPr>
          <w:p w14:paraId="45AC256C"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-1.2132</w:t>
            </w:r>
          </w:p>
        </w:tc>
        <w:tc>
          <w:tcPr>
            <w:tcW w:w="1134" w:type="dxa"/>
            <w:tcBorders>
              <w:bottom w:val="single" w:sz="4" w:space="0" w:color="000000"/>
              <w:right w:val="single" w:sz="4" w:space="0" w:color="000000"/>
            </w:tcBorders>
            <w:shd w:val="clear" w:color="auto" w:fill="auto"/>
            <w:vAlign w:val="bottom"/>
          </w:tcPr>
          <w:p w14:paraId="78247619"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0.499602</w:t>
            </w:r>
          </w:p>
        </w:tc>
        <w:tc>
          <w:tcPr>
            <w:tcW w:w="1134" w:type="dxa"/>
            <w:tcBorders>
              <w:bottom w:val="single" w:sz="4" w:space="0" w:color="000000"/>
              <w:right w:val="single" w:sz="4" w:space="0" w:color="000000"/>
            </w:tcBorders>
            <w:shd w:val="clear" w:color="auto" w:fill="auto"/>
            <w:vAlign w:val="bottom"/>
          </w:tcPr>
          <w:p w14:paraId="29D3A36E"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-2.4285</w:t>
            </w:r>
          </w:p>
        </w:tc>
        <w:tc>
          <w:tcPr>
            <w:tcW w:w="851" w:type="dxa"/>
            <w:tcBorders>
              <w:bottom w:val="single" w:sz="4" w:space="0" w:color="000000"/>
              <w:right w:val="single" w:sz="4" w:space="0" w:color="000000"/>
            </w:tcBorders>
            <w:shd w:val="clear" w:color="auto" w:fill="auto"/>
            <w:vAlign w:val="bottom"/>
          </w:tcPr>
          <w:p w14:paraId="373180AA"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0.0156</w:t>
            </w:r>
          </w:p>
        </w:tc>
      </w:tr>
      <w:tr w:rsidR="00651284" w:rsidRPr="003B10E2" w14:paraId="70105B20" w14:textId="77777777" w:rsidTr="00AC6C3B">
        <w:trPr>
          <w:trHeight w:val="551"/>
        </w:trPr>
        <w:tc>
          <w:tcPr>
            <w:tcW w:w="1134" w:type="dxa"/>
            <w:tcBorders>
              <w:left w:val="single" w:sz="4" w:space="0" w:color="000000"/>
              <w:bottom w:val="single" w:sz="4" w:space="0" w:color="000000"/>
              <w:right w:val="single" w:sz="4" w:space="0" w:color="000000"/>
            </w:tcBorders>
            <w:shd w:val="clear" w:color="auto" w:fill="auto"/>
            <w:vAlign w:val="bottom"/>
          </w:tcPr>
          <w:p w14:paraId="0613708C" w14:textId="77777777" w:rsidR="00651284" w:rsidRPr="003B10E2" w:rsidRDefault="00651284" w:rsidP="00651284">
            <w:pPr>
              <w:widowControl w:val="0"/>
              <w:spacing w:after="0" w:line="240" w:lineRule="auto"/>
              <w:contextualSpacing/>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Funds</w:t>
            </w:r>
          </w:p>
        </w:tc>
        <w:tc>
          <w:tcPr>
            <w:tcW w:w="1125" w:type="dxa"/>
            <w:tcBorders>
              <w:bottom w:val="single" w:sz="4" w:space="0" w:color="000000"/>
              <w:right w:val="single" w:sz="4" w:space="0" w:color="000000"/>
            </w:tcBorders>
            <w:shd w:val="clear" w:color="auto" w:fill="auto"/>
            <w:vAlign w:val="bottom"/>
          </w:tcPr>
          <w:p w14:paraId="32D162C2"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0.0400</w:t>
            </w:r>
          </w:p>
        </w:tc>
        <w:tc>
          <w:tcPr>
            <w:tcW w:w="860" w:type="dxa"/>
            <w:tcBorders>
              <w:bottom w:val="single" w:sz="4" w:space="0" w:color="000000"/>
              <w:right w:val="single" w:sz="4" w:space="0" w:color="000000"/>
            </w:tcBorders>
            <w:shd w:val="clear" w:color="auto" w:fill="auto"/>
            <w:vAlign w:val="bottom"/>
          </w:tcPr>
          <w:p w14:paraId="25C67EC8"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0.0136</w:t>
            </w:r>
          </w:p>
        </w:tc>
        <w:tc>
          <w:tcPr>
            <w:tcW w:w="993" w:type="dxa"/>
            <w:tcBorders>
              <w:bottom w:val="single" w:sz="4" w:space="0" w:color="000000"/>
              <w:right w:val="single" w:sz="4" w:space="0" w:color="000000"/>
            </w:tcBorders>
            <w:shd w:val="clear" w:color="auto" w:fill="auto"/>
            <w:vAlign w:val="bottom"/>
          </w:tcPr>
          <w:p w14:paraId="4AFA9217"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2.9318</w:t>
            </w:r>
          </w:p>
        </w:tc>
        <w:tc>
          <w:tcPr>
            <w:tcW w:w="851" w:type="dxa"/>
            <w:tcBorders>
              <w:bottom w:val="single" w:sz="4" w:space="0" w:color="000000"/>
              <w:right w:val="single" w:sz="4" w:space="0" w:color="000000"/>
            </w:tcBorders>
            <w:shd w:val="clear" w:color="auto" w:fill="auto"/>
            <w:vAlign w:val="bottom"/>
          </w:tcPr>
          <w:p w14:paraId="09C34CDF"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0.0036</w:t>
            </w:r>
          </w:p>
        </w:tc>
        <w:tc>
          <w:tcPr>
            <w:tcW w:w="1274" w:type="dxa"/>
            <w:tcBorders>
              <w:bottom w:val="single" w:sz="4" w:space="0" w:color="000000"/>
              <w:right w:val="single" w:sz="4" w:space="0" w:color="000000"/>
            </w:tcBorders>
            <w:shd w:val="clear" w:color="auto" w:fill="auto"/>
            <w:vAlign w:val="bottom"/>
          </w:tcPr>
          <w:p w14:paraId="2468ADFA"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0.0241</w:t>
            </w:r>
          </w:p>
        </w:tc>
        <w:tc>
          <w:tcPr>
            <w:tcW w:w="1134" w:type="dxa"/>
            <w:tcBorders>
              <w:bottom w:val="single" w:sz="4" w:space="0" w:color="000000"/>
              <w:right w:val="single" w:sz="4" w:space="0" w:color="000000"/>
            </w:tcBorders>
            <w:shd w:val="clear" w:color="auto" w:fill="auto"/>
            <w:vAlign w:val="bottom"/>
          </w:tcPr>
          <w:p w14:paraId="5EE714AE"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0.053942</w:t>
            </w:r>
          </w:p>
        </w:tc>
        <w:tc>
          <w:tcPr>
            <w:tcW w:w="1134" w:type="dxa"/>
            <w:tcBorders>
              <w:bottom w:val="single" w:sz="4" w:space="0" w:color="000000"/>
              <w:right w:val="single" w:sz="4" w:space="0" w:color="000000"/>
            </w:tcBorders>
            <w:shd w:val="clear" w:color="auto" w:fill="auto"/>
            <w:vAlign w:val="bottom"/>
          </w:tcPr>
          <w:p w14:paraId="62112E47"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0.4482</w:t>
            </w:r>
          </w:p>
        </w:tc>
        <w:tc>
          <w:tcPr>
            <w:tcW w:w="851" w:type="dxa"/>
            <w:tcBorders>
              <w:bottom w:val="single" w:sz="4" w:space="0" w:color="000000"/>
              <w:right w:val="single" w:sz="4" w:space="0" w:color="000000"/>
            </w:tcBorders>
            <w:shd w:val="clear" w:color="auto" w:fill="auto"/>
            <w:vAlign w:val="bottom"/>
          </w:tcPr>
          <w:p w14:paraId="4829362E"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0.6542</w:t>
            </w:r>
          </w:p>
        </w:tc>
      </w:tr>
      <w:tr w:rsidR="00651284" w:rsidRPr="003B10E2" w14:paraId="11DEA542" w14:textId="77777777" w:rsidTr="00AC6C3B">
        <w:trPr>
          <w:trHeight w:val="551"/>
        </w:trPr>
        <w:tc>
          <w:tcPr>
            <w:tcW w:w="1134" w:type="dxa"/>
            <w:tcBorders>
              <w:left w:val="single" w:sz="4" w:space="0" w:color="000000"/>
              <w:bottom w:val="single" w:sz="4" w:space="0" w:color="000000"/>
              <w:right w:val="single" w:sz="4" w:space="0" w:color="000000"/>
            </w:tcBorders>
            <w:shd w:val="clear" w:color="auto" w:fill="auto"/>
            <w:vAlign w:val="bottom"/>
          </w:tcPr>
          <w:p w14:paraId="3E84C15A" w14:textId="77777777" w:rsidR="00651284" w:rsidRPr="003B10E2" w:rsidRDefault="00651284" w:rsidP="00651284">
            <w:pPr>
              <w:widowControl w:val="0"/>
              <w:spacing w:after="0" w:line="240" w:lineRule="auto"/>
              <w:contextualSpacing/>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R-Squared</w:t>
            </w:r>
          </w:p>
        </w:tc>
        <w:tc>
          <w:tcPr>
            <w:tcW w:w="1125" w:type="dxa"/>
            <w:tcBorders>
              <w:bottom w:val="single" w:sz="4" w:space="0" w:color="000000"/>
              <w:right w:val="single" w:sz="4" w:space="0" w:color="000000"/>
            </w:tcBorders>
            <w:shd w:val="clear" w:color="auto" w:fill="auto"/>
            <w:vAlign w:val="bottom"/>
          </w:tcPr>
          <w:p w14:paraId="05FA74BD"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0.4266</w:t>
            </w:r>
          </w:p>
        </w:tc>
        <w:tc>
          <w:tcPr>
            <w:tcW w:w="860" w:type="dxa"/>
            <w:tcBorders>
              <w:bottom w:val="single" w:sz="4" w:space="0" w:color="000000"/>
              <w:right w:val="single" w:sz="4" w:space="0" w:color="000000"/>
            </w:tcBorders>
            <w:shd w:val="clear" w:color="auto" w:fill="auto"/>
            <w:vAlign w:val="bottom"/>
          </w:tcPr>
          <w:p w14:paraId="745D1E5F"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eastAsia="en-US"/>
              </w:rPr>
            </w:pPr>
            <w:r w:rsidRPr="003B10E2">
              <w:rPr>
                <w:rFonts w:ascii="Times New Roman" w:eastAsia="Times New Roman" w:hAnsi="Times New Roman"/>
                <w:color w:val="000000"/>
                <w:lang w:eastAsia="en-US"/>
              </w:rPr>
              <w:t>-</w:t>
            </w:r>
          </w:p>
        </w:tc>
        <w:tc>
          <w:tcPr>
            <w:tcW w:w="993" w:type="dxa"/>
            <w:tcBorders>
              <w:bottom w:val="single" w:sz="4" w:space="0" w:color="000000"/>
              <w:right w:val="single" w:sz="4" w:space="0" w:color="000000"/>
            </w:tcBorders>
            <w:shd w:val="clear" w:color="auto" w:fill="auto"/>
            <w:vAlign w:val="bottom"/>
          </w:tcPr>
          <w:p w14:paraId="336306B1"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eastAsia="en-US"/>
              </w:rPr>
            </w:pPr>
            <w:r w:rsidRPr="003B10E2">
              <w:rPr>
                <w:rFonts w:ascii="Times New Roman" w:eastAsia="Times New Roman" w:hAnsi="Times New Roman"/>
                <w:color w:val="000000"/>
                <w:lang w:eastAsia="en-US"/>
              </w:rPr>
              <w:t>-</w:t>
            </w:r>
          </w:p>
        </w:tc>
        <w:tc>
          <w:tcPr>
            <w:tcW w:w="851" w:type="dxa"/>
            <w:tcBorders>
              <w:bottom w:val="single" w:sz="4" w:space="0" w:color="000000"/>
              <w:right w:val="single" w:sz="4" w:space="0" w:color="000000"/>
            </w:tcBorders>
            <w:shd w:val="clear" w:color="auto" w:fill="auto"/>
            <w:vAlign w:val="bottom"/>
          </w:tcPr>
          <w:p w14:paraId="79048898"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eastAsia="en-US"/>
              </w:rPr>
            </w:pPr>
            <w:r w:rsidRPr="003B10E2">
              <w:rPr>
                <w:rFonts w:ascii="Times New Roman" w:eastAsia="Times New Roman" w:hAnsi="Times New Roman"/>
                <w:color w:val="000000"/>
                <w:lang w:eastAsia="en-US"/>
              </w:rPr>
              <w:t>-</w:t>
            </w:r>
          </w:p>
        </w:tc>
        <w:tc>
          <w:tcPr>
            <w:tcW w:w="1274" w:type="dxa"/>
            <w:tcBorders>
              <w:bottom w:val="single" w:sz="4" w:space="0" w:color="000000"/>
              <w:right w:val="single" w:sz="4" w:space="0" w:color="000000"/>
            </w:tcBorders>
            <w:shd w:val="clear" w:color="auto" w:fill="auto"/>
            <w:vAlign w:val="bottom"/>
          </w:tcPr>
          <w:p w14:paraId="3DF91652"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0.0394</w:t>
            </w:r>
          </w:p>
        </w:tc>
        <w:tc>
          <w:tcPr>
            <w:tcW w:w="1134" w:type="dxa"/>
            <w:tcBorders>
              <w:bottom w:val="single" w:sz="4" w:space="0" w:color="000000"/>
              <w:right w:val="single" w:sz="4" w:space="0" w:color="000000"/>
            </w:tcBorders>
            <w:shd w:val="clear" w:color="auto" w:fill="auto"/>
            <w:vAlign w:val="bottom"/>
          </w:tcPr>
          <w:p w14:paraId="17DA1F3C"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eastAsia="en-US"/>
              </w:rPr>
            </w:pPr>
            <w:r w:rsidRPr="003B10E2">
              <w:rPr>
                <w:rFonts w:ascii="Times New Roman" w:eastAsia="Times New Roman" w:hAnsi="Times New Roman"/>
                <w:color w:val="000000"/>
                <w:lang w:eastAsia="en-US"/>
              </w:rPr>
              <w:t>-</w:t>
            </w:r>
          </w:p>
        </w:tc>
        <w:tc>
          <w:tcPr>
            <w:tcW w:w="1134" w:type="dxa"/>
            <w:tcBorders>
              <w:bottom w:val="single" w:sz="4" w:space="0" w:color="000000"/>
              <w:right w:val="single" w:sz="4" w:space="0" w:color="000000"/>
            </w:tcBorders>
            <w:shd w:val="clear" w:color="auto" w:fill="auto"/>
            <w:vAlign w:val="bottom"/>
          </w:tcPr>
          <w:p w14:paraId="25ECF34D"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eastAsia="en-US"/>
              </w:rPr>
            </w:pPr>
            <w:r w:rsidRPr="003B10E2">
              <w:rPr>
                <w:rFonts w:ascii="Times New Roman" w:eastAsia="Times New Roman" w:hAnsi="Times New Roman"/>
                <w:color w:val="000000"/>
                <w:lang w:eastAsia="en-US"/>
              </w:rPr>
              <w:t>-</w:t>
            </w:r>
          </w:p>
        </w:tc>
        <w:tc>
          <w:tcPr>
            <w:tcW w:w="851" w:type="dxa"/>
            <w:tcBorders>
              <w:bottom w:val="single" w:sz="4" w:space="0" w:color="000000"/>
              <w:right w:val="single" w:sz="4" w:space="0" w:color="000000"/>
            </w:tcBorders>
            <w:shd w:val="clear" w:color="auto" w:fill="auto"/>
            <w:vAlign w:val="bottom"/>
          </w:tcPr>
          <w:p w14:paraId="0E3E94C9"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eastAsia="en-US"/>
              </w:rPr>
            </w:pPr>
            <w:r w:rsidRPr="003B10E2">
              <w:rPr>
                <w:rFonts w:ascii="Times New Roman" w:eastAsia="Times New Roman" w:hAnsi="Times New Roman"/>
                <w:color w:val="000000"/>
                <w:lang w:eastAsia="en-US"/>
              </w:rPr>
              <w:t>-</w:t>
            </w:r>
          </w:p>
        </w:tc>
      </w:tr>
      <w:tr w:rsidR="00651284" w:rsidRPr="003B10E2" w14:paraId="48B51036" w14:textId="77777777" w:rsidTr="00AC6C3B">
        <w:trPr>
          <w:trHeight w:val="551"/>
        </w:trPr>
        <w:tc>
          <w:tcPr>
            <w:tcW w:w="1134" w:type="dxa"/>
            <w:tcBorders>
              <w:left w:val="single" w:sz="4" w:space="0" w:color="000000"/>
              <w:bottom w:val="single" w:sz="4" w:space="0" w:color="000000"/>
              <w:right w:val="single" w:sz="4" w:space="0" w:color="000000"/>
            </w:tcBorders>
            <w:shd w:val="clear" w:color="auto" w:fill="auto"/>
            <w:vAlign w:val="bottom"/>
          </w:tcPr>
          <w:p w14:paraId="25769E55" w14:textId="77777777" w:rsidR="00651284" w:rsidRPr="003B10E2" w:rsidRDefault="00651284" w:rsidP="00651284">
            <w:pPr>
              <w:widowControl w:val="0"/>
              <w:spacing w:after="0" w:line="240" w:lineRule="auto"/>
              <w:contextualSpacing/>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Adjusted R-Squared</w:t>
            </w:r>
          </w:p>
        </w:tc>
        <w:tc>
          <w:tcPr>
            <w:tcW w:w="1125" w:type="dxa"/>
            <w:tcBorders>
              <w:bottom w:val="single" w:sz="4" w:space="0" w:color="000000"/>
              <w:right w:val="single" w:sz="4" w:space="0" w:color="000000"/>
            </w:tcBorders>
            <w:shd w:val="clear" w:color="auto" w:fill="auto"/>
            <w:vAlign w:val="bottom"/>
          </w:tcPr>
          <w:p w14:paraId="52A4F60C"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0.4073</w:t>
            </w:r>
          </w:p>
        </w:tc>
        <w:tc>
          <w:tcPr>
            <w:tcW w:w="860" w:type="dxa"/>
            <w:tcBorders>
              <w:bottom w:val="single" w:sz="4" w:space="0" w:color="000000"/>
              <w:right w:val="single" w:sz="4" w:space="0" w:color="000000"/>
            </w:tcBorders>
            <w:shd w:val="clear" w:color="auto" w:fill="auto"/>
            <w:vAlign w:val="bottom"/>
          </w:tcPr>
          <w:p w14:paraId="1D801C07"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eastAsia="en-US"/>
              </w:rPr>
            </w:pPr>
            <w:r w:rsidRPr="003B10E2">
              <w:rPr>
                <w:rFonts w:ascii="Times New Roman" w:eastAsia="Times New Roman" w:hAnsi="Times New Roman"/>
                <w:color w:val="000000"/>
                <w:lang w:eastAsia="en-US"/>
              </w:rPr>
              <w:t>-</w:t>
            </w:r>
          </w:p>
        </w:tc>
        <w:tc>
          <w:tcPr>
            <w:tcW w:w="993" w:type="dxa"/>
            <w:tcBorders>
              <w:bottom w:val="single" w:sz="4" w:space="0" w:color="000000"/>
              <w:right w:val="single" w:sz="4" w:space="0" w:color="000000"/>
            </w:tcBorders>
            <w:shd w:val="clear" w:color="auto" w:fill="auto"/>
            <w:vAlign w:val="bottom"/>
          </w:tcPr>
          <w:p w14:paraId="56C00113"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eastAsia="en-US"/>
              </w:rPr>
            </w:pPr>
            <w:r w:rsidRPr="003B10E2">
              <w:rPr>
                <w:rFonts w:ascii="Times New Roman" w:eastAsia="Times New Roman" w:hAnsi="Times New Roman"/>
                <w:color w:val="000000"/>
                <w:lang w:eastAsia="en-US"/>
              </w:rPr>
              <w:t>-</w:t>
            </w:r>
          </w:p>
        </w:tc>
        <w:tc>
          <w:tcPr>
            <w:tcW w:w="851" w:type="dxa"/>
            <w:tcBorders>
              <w:bottom w:val="single" w:sz="4" w:space="0" w:color="000000"/>
              <w:right w:val="single" w:sz="4" w:space="0" w:color="000000"/>
            </w:tcBorders>
            <w:shd w:val="clear" w:color="auto" w:fill="auto"/>
            <w:vAlign w:val="bottom"/>
          </w:tcPr>
          <w:p w14:paraId="1EF60926"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eastAsia="en-US"/>
              </w:rPr>
            </w:pPr>
            <w:r w:rsidRPr="003B10E2">
              <w:rPr>
                <w:rFonts w:ascii="Times New Roman" w:eastAsia="Times New Roman" w:hAnsi="Times New Roman"/>
                <w:color w:val="000000"/>
                <w:lang w:eastAsia="en-US"/>
              </w:rPr>
              <w:t>-</w:t>
            </w:r>
          </w:p>
        </w:tc>
        <w:tc>
          <w:tcPr>
            <w:tcW w:w="1274" w:type="dxa"/>
            <w:tcBorders>
              <w:bottom w:val="single" w:sz="4" w:space="0" w:color="000000"/>
              <w:right w:val="single" w:sz="4" w:space="0" w:color="000000"/>
            </w:tcBorders>
            <w:shd w:val="clear" w:color="auto" w:fill="auto"/>
            <w:vAlign w:val="bottom"/>
          </w:tcPr>
          <w:p w14:paraId="5FC9C913"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0.007</w:t>
            </w:r>
          </w:p>
        </w:tc>
        <w:tc>
          <w:tcPr>
            <w:tcW w:w="1134" w:type="dxa"/>
            <w:tcBorders>
              <w:bottom w:val="single" w:sz="4" w:space="0" w:color="000000"/>
              <w:right w:val="single" w:sz="4" w:space="0" w:color="000000"/>
            </w:tcBorders>
            <w:shd w:val="clear" w:color="auto" w:fill="auto"/>
            <w:vAlign w:val="bottom"/>
          </w:tcPr>
          <w:p w14:paraId="5B33C8AC"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eastAsia="en-US"/>
              </w:rPr>
            </w:pPr>
            <w:r w:rsidRPr="003B10E2">
              <w:rPr>
                <w:rFonts w:ascii="Times New Roman" w:eastAsia="Times New Roman" w:hAnsi="Times New Roman"/>
                <w:color w:val="000000"/>
                <w:lang w:eastAsia="en-US"/>
              </w:rPr>
              <w:t>-</w:t>
            </w:r>
          </w:p>
        </w:tc>
        <w:tc>
          <w:tcPr>
            <w:tcW w:w="1134" w:type="dxa"/>
            <w:tcBorders>
              <w:bottom w:val="single" w:sz="4" w:space="0" w:color="000000"/>
              <w:right w:val="single" w:sz="4" w:space="0" w:color="000000"/>
            </w:tcBorders>
            <w:shd w:val="clear" w:color="auto" w:fill="auto"/>
            <w:vAlign w:val="bottom"/>
          </w:tcPr>
          <w:p w14:paraId="6CA66877"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eastAsia="en-US"/>
              </w:rPr>
            </w:pPr>
            <w:r w:rsidRPr="003B10E2">
              <w:rPr>
                <w:rFonts w:ascii="Times New Roman" w:eastAsia="Times New Roman" w:hAnsi="Times New Roman"/>
                <w:color w:val="000000"/>
                <w:lang w:eastAsia="en-US"/>
              </w:rPr>
              <w:t>-</w:t>
            </w:r>
          </w:p>
        </w:tc>
        <w:tc>
          <w:tcPr>
            <w:tcW w:w="851" w:type="dxa"/>
            <w:tcBorders>
              <w:bottom w:val="single" w:sz="4" w:space="0" w:color="000000"/>
              <w:right w:val="single" w:sz="4" w:space="0" w:color="000000"/>
            </w:tcBorders>
            <w:shd w:val="clear" w:color="auto" w:fill="auto"/>
            <w:vAlign w:val="bottom"/>
          </w:tcPr>
          <w:p w14:paraId="47029258"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eastAsia="en-US"/>
              </w:rPr>
            </w:pPr>
            <w:r w:rsidRPr="003B10E2">
              <w:rPr>
                <w:rFonts w:ascii="Times New Roman" w:eastAsia="Times New Roman" w:hAnsi="Times New Roman"/>
                <w:color w:val="000000"/>
                <w:lang w:eastAsia="en-US"/>
              </w:rPr>
              <w:t>-</w:t>
            </w:r>
          </w:p>
        </w:tc>
      </w:tr>
      <w:tr w:rsidR="00651284" w:rsidRPr="003B10E2" w14:paraId="72FD3771" w14:textId="77777777" w:rsidTr="00AC6C3B">
        <w:trPr>
          <w:trHeight w:val="70"/>
        </w:trPr>
        <w:tc>
          <w:tcPr>
            <w:tcW w:w="1134" w:type="dxa"/>
            <w:tcBorders>
              <w:left w:val="single" w:sz="4" w:space="0" w:color="000000"/>
              <w:bottom w:val="single" w:sz="4" w:space="0" w:color="000000"/>
              <w:right w:val="single" w:sz="4" w:space="0" w:color="000000"/>
            </w:tcBorders>
            <w:shd w:val="clear" w:color="auto" w:fill="auto"/>
            <w:vAlign w:val="bottom"/>
          </w:tcPr>
          <w:p w14:paraId="653BC414" w14:textId="77777777" w:rsidR="00651284" w:rsidRPr="003B10E2" w:rsidRDefault="00651284" w:rsidP="00651284">
            <w:pPr>
              <w:widowControl w:val="0"/>
              <w:spacing w:after="0" w:line="240" w:lineRule="auto"/>
              <w:contextualSpacing/>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Durbin-Watson</w:t>
            </w:r>
          </w:p>
        </w:tc>
        <w:tc>
          <w:tcPr>
            <w:tcW w:w="1125" w:type="dxa"/>
            <w:tcBorders>
              <w:bottom w:val="single" w:sz="4" w:space="0" w:color="000000"/>
              <w:right w:val="single" w:sz="4" w:space="0" w:color="000000"/>
            </w:tcBorders>
            <w:shd w:val="clear" w:color="auto" w:fill="auto"/>
            <w:vAlign w:val="bottom"/>
          </w:tcPr>
          <w:p w14:paraId="40DE12A6"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2.0159</w:t>
            </w:r>
          </w:p>
        </w:tc>
        <w:tc>
          <w:tcPr>
            <w:tcW w:w="860" w:type="dxa"/>
            <w:tcBorders>
              <w:bottom w:val="single" w:sz="4" w:space="0" w:color="000000"/>
              <w:right w:val="single" w:sz="4" w:space="0" w:color="000000"/>
            </w:tcBorders>
            <w:shd w:val="clear" w:color="auto" w:fill="auto"/>
            <w:vAlign w:val="bottom"/>
          </w:tcPr>
          <w:p w14:paraId="227E4CEA"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eastAsia="en-US"/>
              </w:rPr>
            </w:pPr>
            <w:r w:rsidRPr="003B10E2">
              <w:rPr>
                <w:rFonts w:ascii="Times New Roman" w:eastAsia="Times New Roman" w:hAnsi="Times New Roman"/>
                <w:color w:val="000000"/>
                <w:lang w:eastAsia="en-US"/>
              </w:rPr>
              <w:t>-</w:t>
            </w:r>
          </w:p>
        </w:tc>
        <w:tc>
          <w:tcPr>
            <w:tcW w:w="993" w:type="dxa"/>
            <w:tcBorders>
              <w:bottom w:val="single" w:sz="4" w:space="0" w:color="000000"/>
              <w:right w:val="single" w:sz="4" w:space="0" w:color="000000"/>
            </w:tcBorders>
            <w:shd w:val="clear" w:color="auto" w:fill="auto"/>
            <w:vAlign w:val="bottom"/>
          </w:tcPr>
          <w:p w14:paraId="625961FB"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eastAsia="en-US"/>
              </w:rPr>
            </w:pPr>
            <w:r w:rsidRPr="003B10E2">
              <w:rPr>
                <w:rFonts w:ascii="Times New Roman" w:eastAsia="Times New Roman" w:hAnsi="Times New Roman"/>
                <w:color w:val="000000"/>
                <w:lang w:eastAsia="en-US"/>
              </w:rPr>
              <w:t>-</w:t>
            </w:r>
          </w:p>
        </w:tc>
        <w:tc>
          <w:tcPr>
            <w:tcW w:w="851" w:type="dxa"/>
            <w:tcBorders>
              <w:bottom w:val="single" w:sz="4" w:space="0" w:color="000000"/>
              <w:right w:val="single" w:sz="4" w:space="0" w:color="000000"/>
            </w:tcBorders>
            <w:shd w:val="clear" w:color="auto" w:fill="auto"/>
            <w:vAlign w:val="bottom"/>
          </w:tcPr>
          <w:p w14:paraId="1A10C423"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eastAsia="en-US"/>
              </w:rPr>
            </w:pPr>
            <w:r w:rsidRPr="003B10E2">
              <w:rPr>
                <w:rFonts w:ascii="Times New Roman" w:eastAsia="Times New Roman" w:hAnsi="Times New Roman"/>
                <w:color w:val="000000"/>
                <w:lang w:eastAsia="en-US"/>
              </w:rPr>
              <w:t>-</w:t>
            </w:r>
          </w:p>
        </w:tc>
        <w:tc>
          <w:tcPr>
            <w:tcW w:w="1274" w:type="dxa"/>
            <w:tcBorders>
              <w:bottom w:val="single" w:sz="4" w:space="0" w:color="000000"/>
              <w:right w:val="single" w:sz="4" w:space="0" w:color="000000"/>
            </w:tcBorders>
            <w:shd w:val="clear" w:color="auto" w:fill="auto"/>
            <w:vAlign w:val="bottom"/>
          </w:tcPr>
          <w:p w14:paraId="1041200D"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1.9982</w:t>
            </w:r>
          </w:p>
        </w:tc>
        <w:tc>
          <w:tcPr>
            <w:tcW w:w="1134" w:type="dxa"/>
            <w:tcBorders>
              <w:bottom w:val="single" w:sz="4" w:space="0" w:color="000000"/>
              <w:right w:val="single" w:sz="4" w:space="0" w:color="000000"/>
            </w:tcBorders>
            <w:shd w:val="clear" w:color="auto" w:fill="auto"/>
            <w:vAlign w:val="bottom"/>
          </w:tcPr>
          <w:p w14:paraId="2D774214"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eastAsia="en-US"/>
              </w:rPr>
            </w:pPr>
            <w:r w:rsidRPr="003B10E2">
              <w:rPr>
                <w:rFonts w:ascii="Times New Roman" w:eastAsia="Times New Roman" w:hAnsi="Times New Roman"/>
                <w:color w:val="000000"/>
                <w:lang w:eastAsia="en-US"/>
              </w:rPr>
              <w:t>-</w:t>
            </w:r>
          </w:p>
        </w:tc>
        <w:tc>
          <w:tcPr>
            <w:tcW w:w="1134" w:type="dxa"/>
            <w:tcBorders>
              <w:bottom w:val="single" w:sz="4" w:space="0" w:color="000000"/>
              <w:right w:val="single" w:sz="4" w:space="0" w:color="000000"/>
            </w:tcBorders>
            <w:shd w:val="clear" w:color="auto" w:fill="auto"/>
            <w:vAlign w:val="bottom"/>
          </w:tcPr>
          <w:p w14:paraId="532ECB50"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eastAsia="en-US"/>
              </w:rPr>
            </w:pPr>
            <w:r w:rsidRPr="003B10E2">
              <w:rPr>
                <w:rFonts w:ascii="Times New Roman" w:eastAsia="Times New Roman" w:hAnsi="Times New Roman"/>
                <w:color w:val="000000"/>
                <w:lang w:eastAsia="en-US"/>
              </w:rPr>
              <w:t>-</w:t>
            </w:r>
          </w:p>
        </w:tc>
        <w:tc>
          <w:tcPr>
            <w:tcW w:w="851" w:type="dxa"/>
            <w:tcBorders>
              <w:bottom w:val="single" w:sz="4" w:space="0" w:color="000000"/>
              <w:right w:val="single" w:sz="4" w:space="0" w:color="000000"/>
            </w:tcBorders>
            <w:shd w:val="clear" w:color="auto" w:fill="auto"/>
            <w:vAlign w:val="bottom"/>
          </w:tcPr>
          <w:p w14:paraId="453A91EE" w14:textId="77777777" w:rsidR="00651284" w:rsidRPr="003B10E2" w:rsidRDefault="00651284" w:rsidP="00AC6C3B">
            <w:pPr>
              <w:widowControl w:val="0"/>
              <w:spacing w:after="0" w:line="240" w:lineRule="auto"/>
              <w:contextualSpacing/>
              <w:jc w:val="center"/>
              <w:rPr>
                <w:rFonts w:ascii="Times New Roman" w:eastAsia="Times New Roman" w:hAnsi="Times New Roman"/>
                <w:color w:val="000000"/>
                <w:lang w:eastAsia="en-US"/>
              </w:rPr>
            </w:pPr>
            <w:r w:rsidRPr="003B10E2">
              <w:rPr>
                <w:rFonts w:ascii="Times New Roman" w:eastAsia="Times New Roman" w:hAnsi="Times New Roman"/>
                <w:color w:val="000000"/>
                <w:lang w:eastAsia="en-US"/>
              </w:rPr>
              <w:t>-</w:t>
            </w:r>
          </w:p>
        </w:tc>
      </w:tr>
    </w:tbl>
    <w:p w14:paraId="7744DE09" w14:textId="77777777" w:rsidR="00651284" w:rsidRPr="003B10E2" w:rsidRDefault="00651284" w:rsidP="00C8369A">
      <w:pPr>
        <w:spacing w:after="0" w:line="360" w:lineRule="auto"/>
      </w:pPr>
      <w:r w:rsidRPr="003B10E2">
        <w:rPr>
          <w:rFonts w:ascii="Times New Roman" w:hAnsi="Times New Roman"/>
          <w:color w:val="000000"/>
          <w:sz w:val="24"/>
          <w:szCs w:val="24"/>
        </w:rPr>
        <w:t>Источник: Thomson Reuters, расчеты автора.</w:t>
      </w:r>
    </w:p>
    <w:p w14:paraId="2807065E" w14:textId="77777777" w:rsidR="00651284" w:rsidRPr="003B10E2" w:rsidRDefault="00651284" w:rsidP="00651284">
      <w:pPr>
        <w:spacing w:after="0" w:line="360" w:lineRule="auto"/>
        <w:ind w:firstLine="851"/>
        <w:jc w:val="both"/>
        <w:rPr>
          <w:rFonts w:ascii="Times New Roman" w:hAnsi="Times New Roman"/>
          <w:color w:val="000000"/>
          <w:sz w:val="28"/>
          <w:szCs w:val="28"/>
        </w:rPr>
      </w:pPr>
    </w:p>
    <w:p w14:paraId="308C0ACF" w14:textId="77777777"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Кроме того, результаты показывают, что первый этап политики количественного смягчения в США оказал сильное влияние на </w:t>
      </w:r>
      <w:r w:rsidR="0009290D" w:rsidRPr="003B10E2">
        <w:rPr>
          <w:rFonts w:ascii="Times New Roman" w:hAnsi="Times New Roman"/>
          <w:color w:val="000000"/>
          <w:sz w:val="28"/>
          <w:szCs w:val="28"/>
        </w:rPr>
        <w:t>все</w:t>
      </w:r>
      <w:r w:rsidRPr="003B10E2">
        <w:rPr>
          <w:rFonts w:ascii="Times New Roman" w:hAnsi="Times New Roman"/>
          <w:color w:val="000000"/>
          <w:sz w:val="28"/>
          <w:szCs w:val="28"/>
        </w:rPr>
        <w:t xml:space="preserve"> рынки, а также слабое влияние на рынок облигаций.  Наконец, в свете интереса к влиянию волатильности фондового рынка на макроэкономические показатели, выявление чистых эффектов волатильности между фондовыми рынками США и БРИКС предлагает направления для будущих исследований, которые включают анализ влияния волатильности на внутреннем и внешнем фондовых рынках на реальную экономическую активность [54 – 57].</w:t>
      </w:r>
    </w:p>
    <w:p w14:paraId="078765B1" w14:textId="77777777" w:rsidR="00651284" w:rsidRPr="003B10E2" w:rsidRDefault="00651284" w:rsidP="009A565E">
      <w:pPr>
        <w:spacing w:after="0" w:line="360" w:lineRule="auto"/>
        <w:jc w:val="both"/>
        <w:rPr>
          <w:rFonts w:ascii="Times New Roman" w:hAnsi="Times New Roman"/>
          <w:color w:val="000000"/>
          <w:sz w:val="28"/>
          <w:szCs w:val="28"/>
        </w:rPr>
      </w:pPr>
    </w:p>
    <w:p w14:paraId="7054FD82" w14:textId="77777777" w:rsidR="00651284" w:rsidRDefault="009240D2" w:rsidP="00DF25DE">
      <w:pPr>
        <w:keepNext/>
        <w:keepLines/>
        <w:spacing w:after="0" w:line="360" w:lineRule="auto"/>
        <w:ind w:firstLine="709"/>
        <w:contextualSpacing/>
        <w:jc w:val="both"/>
        <w:outlineLvl w:val="1"/>
        <w:rPr>
          <w:rFonts w:ascii="Times New Roman" w:eastAsia="Times New Roman" w:hAnsi="Times New Roman"/>
          <w:b/>
          <w:color w:val="000000"/>
          <w:sz w:val="28"/>
          <w:szCs w:val="28"/>
          <w:lang w:eastAsia="ar-SA"/>
        </w:rPr>
      </w:pPr>
      <w:bookmarkStart w:id="191" w:name="_Toc768191241"/>
      <w:bookmarkStart w:id="192" w:name="_Hlk98881514"/>
      <w:bookmarkStart w:id="193" w:name="_Toc145164384"/>
      <w:bookmarkEnd w:id="191"/>
      <w:r w:rsidRPr="003B10E2">
        <w:rPr>
          <w:rFonts w:ascii="Times New Roman" w:eastAsia="Times New Roman" w:hAnsi="Times New Roman"/>
          <w:b/>
          <w:color w:val="000000"/>
          <w:sz w:val="28"/>
          <w:szCs w:val="28"/>
          <w:lang w:eastAsia="ar-SA"/>
        </w:rPr>
        <w:t>3</w:t>
      </w:r>
      <w:r w:rsidR="00C8369A" w:rsidRPr="003B10E2">
        <w:rPr>
          <w:rFonts w:ascii="Times New Roman" w:eastAsia="Times New Roman" w:hAnsi="Times New Roman"/>
          <w:b/>
          <w:color w:val="000000"/>
          <w:sz w:val="28"/>
          <w:szCs w:val="28"/>
          <w:lang w:eastAsia="ar-SA"/>
        </w:rPr>
        <w:t>.2</w:t>
      </w:r>
      <w:r w:rsidR="00651284" w:rsidRPr="003B10E2">
        <w:rPr>
          <w:rFonts w:ascii="Times New Roman" w:eastAsia="Times New Roman" w:hAnsi="Times New Roman"/>
          <w:b/>
          <w:color w:val="000000"/>
          <w:sz w:val="28"/>
          <w:szCs w:val="28"/>
          <w:lang w:eastAsia="ar-SA"/>
        </w:rPr>
        <w:t xml:space="preserve"> </w:t>
      </w:r>
      <w:bookmarkEnd w:id="192"/>
      <w:r w:rsidR="00651284" w:rsidRPr="003B10E2">
        <w:rPr>
          <w:rFonts w:ascii="Times New Roman" w:eastAsia="Times New Roman" w:hAnsi="Times New Roman"/>
          <w:b/>
          <w:color w:val="000000"/>
          <w:sz w:val="28"/>
          <w:szCs w:val="28"/>
          <w:lang w:eastAsia="ar-SA"/>
        </w:rPr>
        <w:t>Посткризисные сдвиги на рынке облигаций</w:t>
      </w:r>
      <w:bookmarkEnd w:id="193"/>
    </w:p>
    <w:p w14:paraId="078E45A3" w14:textId="77777777" w:rsidR="009A565E" w:rsidRPr="003B10E2" w:rsidRDefault="009A565E" w:rsidP="00DF25DE">
      <w:pPr>
        <w:keepNext/>
        <w:keepLines/>
        <w:spacing w:after="0" w:line="360" w:lineRule="auto"/>
        <w:ind w:firstLine="709"/>
        <w:contextualSpacing/>
        <w:jc w:val="both"/>
        <w:outlineLvl w:val="1"/>
        <w:rPr>
          <w:rFonts w:ascii="Times New Roman" w:eastAsia="Times New Roman" w:hAnsi="Times New Roman"/>
          <w:b/>
          <w:color w:val="000000"/>
          <w:sz w:val="28"/>
          <w:szCs w:val="28"/>
          <w:lang w:eastAsia="ar-SA"/>
        </w:rPr>
      </w:pPr>
    </w:p>
    <w:p w14:paraId="781236C8" w14:textId="77777777" w:rsidR="00651284" w:rsidRPr="003B10E2" w:rsidRDefault="00651284" w:rsidP="00651284">
      <w:pPr>
        <w:spacing w:after="0" w:line="360" w:lineRule="auto"/>
        <w:ind w:firstLine="851"/>
        <w:jc w:val="both"/>
        <w:rPr>
          <w:rFonts w:ascii="Times New Roman" w:hAnsi="Times New Roman"/>
          <w:sz w:val="28"/>
          <w:szCs w:val="28"/>
        </w:rPr>
      </w:pPr>
      <w:r w:rsidRPr="003B10E2">
        <w:rPr>
          <w:rFonts w:ascii="Times New Roman" w:hAnsi="Times New Roman"/>
          <w:color w:val="000000"/>
          <w:sz w:val="28"/>
          <w:szCs w:val="28"/>
        </w:rPr>
        <w:t xml:space="preserve">Этот параграф описывает механизмы возникновения посткризисных сдвигов в поведении инвесторов на рынке облигаций после 2008 г. </w:t>
      </w:r>
      <w:r w:rsidRPr="003B10E2">
        <w:rPr>
          <w:rFonts w:ascii="Times New Roman" w:hAnsi="Times New Roman"/>
          <w:sz w:val="28"/>
          <w:szCs w:val="28"/>
        </w:rPr>
        <w:t>(</w:t>
      </w:r>
      <w:r w:rsidR="00AC6C3B" w:rsidRPr="003B10E2">
        <w:rPr>
          <w:rFonts w:ascii="Times New Roman" w:hAnsi="Times New Roman"/>
          <w:sz w:val="28"/>
          <w:szCs w:val="28"/>
        </w:rPr>
        <w:t xml:space="preserve">рисунок </w:t>
      </w:r>
      <w:r w:rsidR="008B6285" w:rsidRPr="003B10E2">
        <w:rPr>
          <w:rFonts w:ascii="Times New Roman" w:hAnsi="Times New Roman"/>
          <w:sz w:val="28"/>
          <w:szCs w:val="28"/>
        </w:rPr>
        <w:t>6</w:t>
      </w:r>
      <w:r w:rsidR="00DF25DE" w:rsidRPr="003B10E2">
        <w:rPr>
          <w:rFonts w:ascii="Times New Roman" w:hAnsi="Times New Roman"/>
          <w:sz w:val="28"/>
          <w:szCs w:val="28"/>
        </w:rPr>
        <w:t>0</w:t>
      </w:r>
      <w:r w:rsidRPr="003B10E2">
        <w:rPr>
          <w:rFonts w:ascii="Times New Roman" w:hAnsi="Times New Roman"/>
          <w:sz w:val="28"/>
          <w:szCs w:val="28"/>
        </w:rPr>
        <w:t>).</w:t>
      </w:r>
    </w:p>
    <w:p w14:paraId="6DCC9C2D" w14:textId="77777777" w:rsidR="00AC6C3B" w:rsidRPr="003B10E2" w:rsidRDefault="00C72198" w:rsidP="00B72B40">
      <w:pPr>
        <w:spacing w:after="0" w:line="240" w:lineRule="auto"/>
        <w:contextualSpacing/>
        <w:jc w:val="center"/>
        <w:rPr>
          <w:rFonts w:ascii="Times New Roman" w:hAnsi="Times New Roman"/>
          <w:color w:val="000000"/>
          <w:sz w:val="24"/>
          <w:szCs w:val="24"/>
        </w:rPr>
      </w:pPr>
      <w:r w:rsidRPr="003B10E2">
        <w:rPr>
          <w:rFonts w:ascii="Times New Roman" w:hAnsi="Times New Roman"/>
          <w:noProof/>
          <w:color w:val="000000"/>
          <w:sz w:val="24"/>
          <w:szCs w:val="24"/>
        </w:rPr>
        <w:drawing>
          <wp:inline distT="0" distB="0" distL="0" distR="0" wp14:anchorId="45E801B8" wp14:editId="7096C39C">
            <wp:extent cx="5866765" cy="2618740"/>
            <wp:effectExtent l="0" t="0" r="0" b="0"/>
            <wp:docPr id="848148446" name="Рисунок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8"/>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66765" cy="2618740"/>
                    </a:xfrm>
                    <a:prstGeom prst="rect">
                      <a:avLst/>
                    </a:prstGeom>
                    <a:noFill/>
                  </pic:spPr>
                </pic:pic>
              </a:graphicData>
            </a:graphic>
          </wp:inline>
        </w:drawing>
      </w:r>
      <w:r w:rsidR="00AC6C3B" w:rsidRPr="003B10E2">
        <w:rPr>
          <w:rFonts w:ascii="Times New Roman" w:hAnsi="Times New Roman"/>
          <w:color w:val="000000"/>
          <w:sz w:val="24"/>
          <w:szCs w:val="24"/>
        </w:rPr>
        <w:t>Источник: составлено автором.</w:t>
      </w:r>
    </w:p>
    <w:p w14:paraId="5D905E8F" w14:textId="77777777" w:rsidR="00AC6C3B" w:rsidRPr="003B10E2" w:rsidRDefault="00AC6C3B" w:rsidP="00B72B40">
      <w:pPr>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8B6285" w:rsidRPr="003B10E2">
        <w:rPr>
          <w:rFonts w:ascii="Times New Roman" w:hAnsi="Times New Roman"/>
          <w:color w:val="000000"/>
          <w:sz w:val="24"/>
          <w:szCs w:val="24"/>
        </w:rPr>
        <w:t>6</w:t>
      </w:r>
      <w:r w:rsidR="00DF25DE" w:rsidRPr="003B10E2">
        <w:rPr>
          <w:rFonts w:ascii="Times New Roman" w:hAnsi="Times New Roman"/>
          <w:color w:val="000000"/>
          <w:sz w:val="24"/>
          <w:szCs w:val="24"/>
        </w:rPr>
        <w:t>0</w:t>
      </w:r>
      <w:r w:rsidRPr="003B10E2">
        <w:rPr>
          <w:rFonts w:ascii="Times New Roman" w:hAnsi="Times New Roman"/>
          <w:color w:val="000000"/>
          <w:sz w:val="24"/>
          <w:szCs w:val="24"/>
        </w:rPr>
        <w:t xml:space="preserve"> – Предпосылки низких ставок</w:t>
      </w:r>
    </w:p>
    <w:p w14:paraId="068889AA" w14:textId="77777777" w:rsidR="00651284" w:rsidRPr="003B10E2" w:rsidRDefault="00651284" w:rsidP="00AC6C3B">
      <w:pPr>
        <w:rPr>
          <w:rFonts w:ascii="Times New Roman" w:hAnsi="Times New Roman"/>
          <w:color w:val="000000"/>
          <w:sz w:val="28"/>
          <w:szCs w:val="28"/>
        </w:rPr>
      </w:pPr>
    </w:p>
    <w:p w14:paraId="3F15FFF2" w14:textId="77777777" w:rsidR="00930DE8" w:rsidRPr="003B10E2" w:rsidRDefault="00651284" w:rsidP="001B6E0F">
      <w:pPr>
        <w:spacing w:after="0" w:line="360" w:lineRule="auto"/>
        <w:ind w:firstLine="709"/>
        <w:jc w:val="both"/>
        <w:rPr>
          <w:rFonts w:ascii="Times New Roman" w:hAnsi="Times New Roman"/>
          <w:color w:val="000000"/>
          <w:sz w:val="28"/>
          <w:szCs w:val="28"/>
        </w:rPr>
      </w:pPr>
      <w:r w:rsidRPr="003B10E2">
        <w:rPr>
          <w:rFonts w:ascii="Times New Roman" w:hAnsi="Times New Roman"/>
          <w:color w:val="000000"/>
          <w:sz w:val="28"/>
          <w:szCs w:val="28"/>
        </w:rPr>
        <w:t xml:space="preserve">В таблице </w:t>
      </w:r>
      <w:r w:rsidR="008B6285" w:rsidRPr="003B10E2">
        <w:rPr>
          <w:rFonts w:ascii="Times New Roman" w:hAnsi="Times New Roman"/>
          <w:color w:val="000000"/>
          <w:sz w:val="28"/>
          <w:szCs w:val="28"/>
        </w:rPr>
        <w:t>13</w:t>
      </w:r>
      <w:r w:rsidRPr="003B10E2">
        <w:rPr>
          <w:rFonts w:ascii="Times New Roman" w:hAnsi="Times New Roman"/>
          <w:color w:val="000000"/>
          <w:sz w:val="28"/>
          <w:szCs w:val="28"/>
        </w:rPr>
        <w:t xml:space="preserve"> отражены причинно-следственные связи между внешними шоками и структурными изменениями на рынке облигаций, а также выделены основные структурные изменения.</w:t>
      </w:r>
      <w:bookmarkStart w:id="194" w:name="_Hlk99365969"/>
      <w:r w:rsidRPr="003B10E2">
        <w:rPr>
          <w:rFonts w:ascii="Times New Roman" w:hAnsi="Times New Roman"/>
          <w:color w:val="FF0000"/>
          <w:sz w:val="28"/>
          <w:szCs w:val="28"/>
        </w:rPr>
        <w:t xml:space="preserve"> </w:t>
      </w:r>
      <w:r w:rsidRPr="003B10E2">
        <w:rPr>
          <w:rFonts w:ascii="Times New Roman" w:hAnsi="Times New Roman"/>
          <w:color w:val="000000"/>
          <w:sz w:val="28"/>
          <w:szCs w:val="28"/>
        </w:rPr>
        <w:t>На рынке облигаций передача внешних шоков идет через три канала: регуляторный канал, канал предложения ликвидности, канал риск-аппетита глобальных инвесторов. В данном случае канал — это способ воздействия внешних шоков на финансовый рынок. Регуляторный канал представляет собой воздействие на рынок капитала через нормативное регулирование, канал предложения ликвидности — через изменение денежной массы центробанками различных стран, канал риск-аппетита глобальных инвесторов — через изменение эмоциональной окраски публикаций в новостях и социальных сетях.</w:t>
      </w:r>
    </w:p>
    <w:p w14:paraId="4A08C1CD" w14:textId="77777777" w:rsidR="001B6E0F" w:rsidRPr="003B10E2" w:rsidRDefault="001B6E0F" w:rsidP="001B6E0F">
      <w:pPr>
        <w:spacing w:after="0" w:line="240" w:lineRule="auto"/>
        <w:jc w:val="both"/>
        <w:rPr>
          <w:rFonts w:ascii="Times New Roman" w:hAnsi="Times New Roman"/>
          <w:color w:val="000000"/>
          <w:sz w:val="28"/>
          <w:szCs w:val="28"/>
        </w:rPr>
      </w:pPr>
      <w:bookmarkStart w:id="195" w:name="_Hlk138268259"/>
    </w:p>
    <w:p w14:paraId="4CFFBBF9" w14:textId="77777777" w:rsidR="00651284" w:rsidRPr="003B10E2" w:rsidRDefault="00AC6C3B" w:rsidP="00C8369A">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 xml:space="preserve">Таблица </w:t>
      </w:r>
      <w:r w:rsidR="008B6285" w:rsidRPr="003B10E2">
        <w:rPr>
          <w:rFonts w:ascii="Times New Roman" w:hAnsi="Times New Roman"/>
          <w:color w:val="000000"/>
          <w:sz w:val="24"/>
          <w:szCs w:val="24"/>
        </w:rPr>
        <w:t>13</w:t>
      </w:r>
      <w:r w:rsidRPr="003B10E2">
        <w:rPr>
          <w:rFonts w:ascii="Times New Roman" w:hAnsi="Times New Roman"/>
          <w:color w:val="000000"/>
          <w:sz w:val="24"/>
          <w:szCs w:val="24"/>
        </w:rPr>
        <w:t xml:space="preserve"> </w:t>
      </w:r>
      <w:r w:rsidR="00C8369A" w:rsidRPr="003B10E2">
        <w:rPr>
          <w:rFonts w:ascii="Times New Roman" w:hAnsi="Times New Roman"/>
          <w:color w:val="000000"/>
          <w:sz w:val="24"/>
          <w:szCs w:val="24"/>
        </w:rPr>
        <w:t>– Каналы и структурные изменения на рынке облигаций</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701"/>
        <w:gridCol w:w="2976"/>
        <w:gridCol w:w="3261"/>
      </w:tblGrid>
      <w:tr w:rsidR="00930DE8" w:rsidRPr="003B10E2" w14:paraId="2EB22D42" w14:textId="77777777" w:rsidTr="002D341E">
        <w:tc>
          <w:tcPr>
            <w:tcW w:w="1555" w:type="dxa"/>
            <w:tcBorders>
              <w:bottom w:val="double" w:sz="4" w:space="0" w:color="000000"/>
            </w:tcBorders>
            <w:shd w:val="clear" w:color="auto" w:fill="auto"/>
          </w:tcPr>
          <w:p w14:paraId="09DB2BE2" w14:textId="77777777" w:rsidR="00930DE8" w:rsidRPr="003B10E2" w:rsidRDefault="00930DE8" w:rsidP="002D341E">
            <w:pPr>
              <w:widowControl w:val="0"/>
              <w:spacing w:after="0" w:line="360" w:lineRule="auto"/>
              <w:jc w:val="center"/>
              <w:rPr>
                <w:rFonts w:ascii="Times New Roman" w:hAnsi="Times New Roman"/>
                <w:color w:val="000000"/>
                <w:sz w:val="20"/>
                <w:szCs w:val="20"/>
              </w:rPr>
            </w:pPr>
            <w:r w:rsidRPr="003B10E2">
              <w:rPr>
                <w:rFonts w:ascii="Times New Roman" w:hAnsi="Times New Roman"/>
                <w:color w:val="000000"/>
                <w:sz w:val="20"/>
                <w:szCs w:val="20"/>
              </w:rPr>
              <w:t>Внешний шок</w:t>
            </w:r>
          </w:p>
        </w:tc>
        <w:tc>
          <w:tcPr>
            <w:tcW w:w="1701" w:type="dxa"/>
            <w:tcBorders>
              <w:bottom w:val="double" w:sz="4" w:space="0" w:color="000000"/>
            </w:tcBorders>
            <w:shd w:val="clear" w:color="auto" w:fill="auto"/>
          </w:tcPr>
          <w:p w14:paraId="382F2A36" w14:textId="77777777" w:rsidR="00930DE8" w:rsidRPr="003B10E2" w:rsidRDefault="00930DE8" w:rsidP="002D341E">
            <w:pPr>
              <w:widowControl w:val="0"/>
              <w:spacing w:after="0" w:line="360" w:lineRule="auto"/>
              <w:jc w:val="center"/>
              <w:rPr>
                <w:rFonts w:ascii="Times New Roman" w:hAnsi="Times New Roman"/>
                <w:color w:val="000000"/>
                <w:sz w:val="20"/>
                <w:szCs w:val="20"/>
              </w:rPr>
            </w:pPr>
            <w:r w:rsidRPr="003B10E2">
              <w:rPr>
                <w:rFonts w:ascii="Times New Roman" w:hAnsi="Times New Roman"/>
                <w:color w:val="000000"/>
                <w:sz w:val="20"/>
                <w:szCs w:val="20"/>
              </w:rPr>
              <w:t>Канал</w:t>
            </w:r>
          </w:p>
        </w:tc>
        <w:tc>
          <w:tcPr>
            <w:tcW w:w="2976" w:type="dxa"/>
            <w:tcBorders>
              <w:bottom w:val="double" w:sz="4" w:space="0" w:color="000000"/>
            </w:tcBorders>
            <w:shd w:val="clear" w:color="auto" w:fill="auto"/>
          </w:tcPr>
          <w:p w14:paraId="04731A6F" w14:textId="77777777" w:rsidR="00930DE8" w:rsidRPr="003B10E2" w:rsidRDefault="00930DE8" w:rsidP="002D341E">
            <w:pPr>
              <w:widowControl w:val="0"/>
              <w:spacing w:after="0" w:line="360" w:lineRule="auto"/>
              <w:jc w:val="center"/>
              <w:rPr>
                <w:rFonts w:ascii="Times New Roman" w:hAnsi="Times New Roman"/>
                <w:color w:val="000000"/>
                <w:sz w:val="20"/>
                <w:szCs w:val="20"/>
              </w:rPr>
            </w:pPr>
            <w:r w:rsidRPr="003B10E2">
              <w:rPr>
                <w:rFonts w:ascii="Times New Roman" w:hAnsi="Times New Roman"/>
                <w:color w:val="000000"/>
                <w:sz w:val="20"/>
                <w:szCs w:val="20"/>
              </w:rPr>
              <w:t>Поведение инвесторов</w:t>
            </w:r>
          </w:p>
        </w:tc>
        <w:tc>
          <w:tcPr>
            <w:tcW w:w="3261" w:type="dxa"/>
            <w:tcBorders>
              <w:bottom w:val="double" w:sz="4" w:space="0" w:color="000000"/>
            </w:tcBorders>
            <w:shd w:val="clear" w:color="auto" w:fill="auto"/>
          </w:tcPr>
          <w:p w14:paraId="4EC9CC5F" w14:textId="77777777" w:rsidR="00930DE8" w:rsidRPr="003B10E2" w:rsidRDefault="00930DE8" w:rsidP="002D341E">
            <w:pPr>
              <w:widowControl w:val="0"/>
              <w:spacing w:after="0" w:line="360" w:lineRule="auto"/>
              <w:jc w:val="center"/>
              <w:rPr>
                <w:rFonts w:ascii="Times New Roman" w:hAnsi="Times New Roman"/>
                <w:color w:val="000000"/>
                <w:sz w:val="20"/>
                <w:szCs w:val="20"/>
              </w:rPr>
            </w:pPr>
            <w:r w:rsidRPr="003B10E2">
              <w:rPr>
                <w:rFonts w:ascii="Times New Roman" w:hAnsi="Times New Roman"/>
                <w:color w:val="000000"/>
                <w:sz w:val="20"/>
                <w:szCs w:val="20"/>
              </w:rPr>
              <w:t>Структурные изменения</w:t>
            </w:r>
          </w:p>
        </w:tc>
      </w:tr>
      <w:tr w:rsidR="00930DE8" w:rsidRPr="003B10E2" w14:paraId="3A020A4B" w14:textId="77777777" w:rsidTr="002D341E">
        <w:trPr>
          <w:trHeight w:val="2441"/>
        </w:trPr>
        <w:tc>
          <w:tcPr>
            <w:tcW w:w="1555" w:type="dxa"/>
            <w:vMerge w:val="restart"/>
            <w:tcBorders>
              <w:top w:val="double" w:sz="4" w:space="0" w:color="000000"/>
            </w:tcBorders>
            <w:shd w:val="clear" w:color="auto" w:fill="auto"/>
          </w:tcPr>
          <w:p w14:paraId="047F012A" w14:textId="77777777" w:rsidR="00930DE8" w:rsidRPr="003B10E2" w:rsidRDefault="00930DE8" w:rsidP="002D341E">
            <w:pPr>
              <w:widowControl w:val="0"/>
              <w:spacing w:after="0" w:line="240" w:lineRule="auto"/>
              <w:rPr>
                <w:rFonts w:ascii="Times New Roman" w:hAnsi="Times New Roman"/>
                <w:color w:val="000000"/>
                <w:sz w:val="20"/>
                <w:szCs w:val="20"/>
              </w:rPr>
            </w:pPr>
            <w:r w:rsidRPr="003B10E2">
              <w:rPr>
                <w:rFonts w:ascii="Times New Roman" w:hAnsi="Times New Roman"/>
                <w:color w:val="000000"/>
                <w:sz w:val="20"/>
                <w:szCs w:val="20"/>
              </w:rPr>
              <w:t>Мировой финансовый кризис 2008 г.</w:t>
            </w:r>
          </w:p>
        </w:tc>
        <w:tc>
          <w:tcPr>
            <w:tcW w:w="1701" w:type="dxa"/>
            <w:tcBorders>
              <w:top w:val="double" w:sz="4" w:space="0" w:color="000000"/>
            </w:tcBorders>
            <w:shd w:val="clear" w:color="auto" w:fill="auto"/>
          </w:tcPr>
          <w:p w14:paraId="175C66FA" w14:textId="77777777" w:rsidR="00930DE8" w:rsidRPr="003B10E2" w:rsidRDefault="00930DE8" w:rsidP="002D341E">
            <w:pPr>
              <w:widowControl w:val="0"/>
              <w:spacing w:after="0" w:line="240" w:lineRule="auto"/>
              <w:rPr>
                <w:rFonts w:ascii="Times New Roman" w:hAnsi="Times New Roman"/>
                <w:color w:val="000000"/>
                <w:sz w:val="20"/>
                <w:szCs w:val="20"/>
              </w:rPr>
            </w:pPr>
            <w:r w:rsidRPr="003B10E2">
              <w:rPr>
                <w:rFonts w:ascii="Times New Roman" w:hAnsi="Times New Roman"/>
                <w:color w:val="000000"/>
                <w:sz w:val="20"/>
                <w:szCs w:val="20"/>
              </w:rPr>
              <w:t>Канал предложения ликвидности и регуляторный канал (воздействие на рынок капитала через нормативное регулирование).</w:t>
            </w:r>
          </w:p>
          <w:p w14:paraId="4EE73992" w14:textId="77777777" w:rsidR="00930DE8" w:rsidRPr="003B10E2" w:rsidRDefault="00930DE8" w:rsidP="002D341E">
            <w:pPr>
              <w:widowControl w:val="0"/>
              <w:spacing w:after="0" w:line="240" w:lineRule="auto"/>
              <w:rPr>
                <w:rFonts w:ascii="Times New Roman" w:hAnsi="Times New Roman"/>
                <w:color w:val="000000"/>
                <w:sz w:val="20"/>
                <w:szCs w:val="20"/>
              </w:rPr>
            </w:pPr>
          </w:p>
        </w:tc>
        <w:tc>
          <w:tcPr>
            <w:tcW w:w="2976" w:type="dxa"/>
            <w:tcBorders>
              <w:top w:val="double" w:sz="4" w:space="0" w:color="000000"/>
            </w:tcBorders>
            <w:shd w:val="clear" w:color="auto" w:fill="auto"/>
          </w:tcPr>
          <w:p w14:paraId="17986B16" w14:textId="77777777" w:rsidR="00930DE8" w:rsidRPr="003B10E2" w:rsidRDefault="00930DE8" w:rsidP="002D341E">
            <w:pPr>
              <w:widowControl w:val="0"/>
              <w:rPr>
                <w:rFonts w:ascii="Times New Roman" w:hAnsi="Times New Roman"/>
                <w:color w:val="000000"/>
                <w:sz w:val="20"/>
                <w:szCs w:val="20"/>
              </w:rPr>
            </w:pPr>
            <w:r w:rsidRPr="003B10E2">
              <w:rPr>
                <w:rFonts w:ascii="Times New Roman" w:hAnsi="Times New Roman"/>
                <w:color w:val="000000"/>
                <w:sz w:val="20"/>
                <w:szCs w:val="20"/>
              </w:rPr>
              <w:t>Институциональные инвесторы -нерезиденты определяют тенденции на рынке облигаций во всем мире. После кризиса 2008 г. продолжается снижение процентных ставок, что как минимум до 2022 г. будет поддерживать приток инвесторов</w:t>
            </w:r>
            <w:r w:rsidRPr="003B10E2">
              <w:rPr>
                <w:rFonts w:ascii="Times New Roman" w:hAnsi="Times New Roman"/>
                <w:sz w:val="20"/>
                <w:szCs w:val="20"/>
              </w:rPr>
              <w:t>-</w:t>
            </w:r>
            <w:r w:rsidRPr="003B10E2">
              <w:rPr>
                <w:rFonts w:ascii="Times New Roman" w:hAnsi="Times New Roman"/>
                <w:color w:val="000000"/>
                <w:sz w:val="20"/>
                <w:szCs w:val="20"/>
              </w:rPr>
              <w:t>нерезидентов в российские облигации. Влияние регуляторного канала состоит в усилении регулирования рискованных рынков (акций, деривативов) после 2008 года, что сделало рынок облигаций привлекательным для рискованных инвесторов.</w:t>
            </w:r>
          </w:p>
        </w:tc>
        <w:tc>
          <w:tcPr>
            <w:tcW w:w="3261" w:type="dxa"/>
            <w:tcBorders>
              <w:top w:val="double" w:sz="4" w:space="0" w:color="000000"/>
            </w:tcBorders>
            <w:shd w:val="clear" w:color="auto" w:fill="auto"/>
          </w:tcPr>
          <w:p w14:paraId="4D50E4B0" w14:textId="77777777" w:rsidR="00930DE8" w:rsidRPr="003B10E2" w:rsidRDefault="00930DE8" w:rsidP="002D341E">
            <w:pPr>
              <w:widowControl w:val="0"/>
              <w:spacing w:after="0" w:line="240" w:lineRule="auto"/>
              <w:rPr>
                <w:rFonts w:ascii="Times New Roman" w:hAnsi="Times New Roman"/>
                <w:color w:val="000000"/>
                <w:sz w:val="20"/>
                <w:szCs w:val="20"/>
              </w:rPr>
            </w:pPr>
            <w:r w:rsidRPr="003B10E2">
              <w:rPr>
                <w:rFonts w:ascii="Times New Roman" w:hAnsi="Times New Roman"/>
                <w:color w:val="000000"/>
                <w:sz w:val="20"/>
                <w:szCs w:val="20"/>
              </w:rPr>
              <w:t>Доля инвесторов-нерезидентов после 2008 г. стала чуть больше.</w:t>
            </w:r>
          </w:p>
          <w:p w14:paraId="33620888" w14:textId="77777777" w:rsidR="00930DE8" w:rsidRPr="003B10E2" w:rsidRDefault="00930DE8" w:rsidP="002D341E">
            <w:pPr>
              <w:widowControl w:val="0"/>
              <w:spacing w:after="0" w:line="240" w:lineRule="auto"/>
              <w:rPr>
                <w:rFonts w:ascii="Times New Roman" w:hAnsi="Times New Roman"/>
                <w:color w:val="000000"/>
                <w:sz w:val="20"/>
                <w:szCs w:val="20"/>
              </w:rPr>
            </w:pPr>
            <w:r w:rsidRPr="003B10E2">
              <w:rPr>
                <w:rFonts w:ascii="Times New Roman" w:hAnsi="Times New Roman"/>
                <w:color w:val="000000"/>
                <w:sz w:val="20"/>
                <w:szCs w:val="20"/>
              </w:rPr>
              <w:t>В целом, за период 2008-2021, нерезиденты глубже участвовали в сделках на российском рынке облигаций, на фоне низких процентных ставок за границей.</w:t>
            </w:r>
          </w:p>
          <w:p w14:paraId="52EE2604" w14:textId="77777777" w:rsidR="00930DE8" w:rsidRPr="003B10E2" w:rsidRDefault="00930DE8" w:rsidP="002D341E">
            <w:pPr>
              <w:widowControl w:val="0"/>
              <w:spacing w:after="0" w:line="240" w:lineRule="auto"/>
              <w:rPr>
                <w:rFonts w:ascii="Times New Roman" w:hAnsi="Times New Roman"/>
                <w:color w:val="000000"/>
                <w:sz w:val="20"/>
                <w:szCs w:val="20"/>
              </w:rPr>
            </w:pPr>
            <w:r w:rsidRPr="003B10E2">
              <w:rPr>
                <w:rFonts w:ascii="Times New Roman" w:hAnsi="Times New Roman"/>
                <w:color w:val="000000"/>
                <w:sz w:val="20"/>
                <w:szCs w:val="20"/>
              </w:rPr>
              <w:t>Облигации, как менее рискованный, чем акции, инструмент стал более предпочтительным для пенсионных, инвестиционных фондов и страховых компаний в период существования угрозы спада глобальной экономики.</w:t>
            </w:r>
          </w:p>
          <w:p w14:paraId="153554C7" w14:textId="77777777" w:rsidR="00930DE8" w:rsidRPr="003B10E2" w:rsidRDefault="00930DE8" w:rsidP="002D341E">
            <w:pPr>
              <w:widowControl w:val="0"/>
              <w:spacing w:after="0" w:line="240" w:lineRule="auto"/>
              <w:rPr>
                <w:rFonts w:ascii="Times New Roman" w:hAnsi="Times New Roman"/>
                <w:color w:val="000000"/>
                <w:sz w:val="20"/>
                <w:szCs w:val="20"/>
              </w:rPr>
            </w:pPr>
            <w:r w:rsidRPr="003B10E2">
              <w:rPr>
                <w:rFonts w:ascii="Times New Roman" w:hAnsi="Times New Roman"/>
                <w:color w:val="000000"/>
                <w:sz w:val="20"/>
                <w:szCs w:val="20"/>
              </w:rPr>
              <w:t>Доля нерезидентов в долговой массе ОФЗ сохраняется на уровне 20-35%.</w:t>
            </w:r>
          </w:p>
        </w:tc>
      </w:tr>
      <w:tr w:rsidR="00930DE8" w:rsidRPr="003B10E2" w14:paraId="6AE60D4E" w14:textId="77777777" w:rsidTr="002D341E">
        <w:trPr>
          <w:trHeight w:val="1290"/>
        </w:trPr>
        <w:tc>
          <w:tcPr>
            <w:tcW w:w="1555" w:type="dxa"/>
            <w:vMerge/>
            <w:shd w:val="clear" w:color="auto" w:fill="auto"/>
          </w:tcPr>
          <w:p w14:paraId="7B51BB54" w14:textId="77777777" w:rsidR="00930DE8" w:rsidRPr="003B10E2" w:rsidRDefault="00930DE8" w:rsidP="002D341E">
            <w:pPr>
              <w:widowControl w:val="0"/>
              <w:spacing w:after="0" w:line="240" w:lineRule="auto"/>
              <w:rPr>
                <w:rFonts w:ascii="Times New Roman" w:hAnsi="Times New Roman"/>
                <w:color w:val="000000"/>
                <w:sz w:val="20"/>
                <w:szCs w:val="20"/>
              </w:rPr>
            </w:pPr>
          </w:p>
        </w:tc>
        <w:tc>
          <w:tcPr>
            <w:tcW w:w="1701" w:type="dxa"/>
            <w:vMerge w:val="restart"/>
            <w:shd w:val="clear" w:color="auto" w:fill="auto"/>
          </w:tcPr>
          <w:p w14:paraId="098C8ECA" w14:textId="77777777" w:rsidR="00930DE8" w:rsidRPr="003B10E2" w:rsidRDefault="00930DE8" w:rsidP="002D341E">
            <w:pPr>
              <w:widowControl w:val="0"/>
              <w:spacing w:after="0" w:line="240" w:lineRule="auto"/>
              <w:rPr>
                <w:rFonts w:ascii="Times New Roman" w:hAnsi="Times New Roman"/>
                <w:color w:val="000000"/>
                <w:sz w:val="20"/>
                <w:szCs w:val="20"/>
              </w:rPr>
            </w:pPr>
            <w:r w:rsidRPr="003B10E2">
              <w:rPr>
                <w:rFonts w:ascii="Times New Roman" w:hAnsi="Times New Roman"/>
                <w:color w:val="000000"/>
                <w:sz w:val="20"/>
                <w:szCs w:val="20"/>
              </w:rPr>
              <w:t>Канал предложения ликвидности</w:t>
            </w:r>
          </w:p>
        </w:tc>
        <w:tc>
          <w:tcPr>
            <w:tcW w:w="2976" w:type="dxa"/>
            <w:shd w:val="clear" w:color="auto" w:fill="auto"/>
          </w:tcPr>
          <w:p w14:paraId="704E85DD" w14:textId="77777777" w:rsidR="00930DE8" w:rsidRPr="003B10E2" w:rsidRDefault="00930DE8" w:rsidP="002D341E">
            <w:pPr>
              <w:widowControl w:val="0"/>
              <w:spacing w:after="0" w:line="240" w:lineRule="auto"/>
              <w:rPr>
                <w:rFonts w:ascii="Times New Roman" w:hAnsi="Times New Roman"/>
                <w:color w:val="000000"/>
                <w:sz w:val="20"/>
                <w:szCs w:val="20"/>
              </w:rPr>
            </w:pPr>
            <w:r w:rsidRPr="003B10E2">
              <w:rPr>
                <w:rFonts w:ascii="Times New Roman" w:hAnsi="Times New Roman"/>
                <w:color w:val="000000"/>
                <w:sz w:val="20"/>
                <w:szCs w:val="20"/>
              </w:rPr>
              <w:t>В период после мирового финансового кризиса 2008 г. и до валютного кризиса 2014 г. наблюдается приток инвесторов на фоне стабильно высокого уровня ликвидности в российской банковской системе, что повышает объемы торгов облигациями. После 2014 года объемы торгов остаются на стабильном уровне</w:t>
            </w:r>
          </w:p>
        </w:tc>
        <w:tc>
          <w:tcPr>
            <w:tcW w:w="3261" w:type="dxa"/>
            <w:shd w:val="clear" w:color="auto" w:fill="auto"/>
          </w:tcPr>
          <w:p w14:paraId="0F726F1E" w14:textId="77777777" w:rsidR="00930DE8" w:rsidRPr="003B10E2" w:rsidRDefault="00930DE8" w:rsidP="002D341E">
            <w:pPr>
              <w:widowControl w:val="0"/>
              <w:spacing w:after="0" w:line="240" w:lineRule="auto"/>
              <w:rPr>
                <w:rFonts w:ascii="Times New Roman" w:hAnsi="Times New Roman"/>
                <w:color w:val="000000"/>
                <w:sz w:val="20"/>
                <w:szCs w:val="20"/>
              </w:rPr>
            </w:pPr>
            <w:r w:rsidRPr="003B10E2">
              <w:rPr>
                <w:rFonts w:ascii="Times New Roman" w:hAnsi="Times New Roman"/>
                <w:color w:val="000000"/>
                <w:sz w:val="20"/>
                <w:szCs w:val="20"/>
              </w:rPr>
              <w:t xml:space="preserve">Рост объемов торгов и новых размещений на рынке облигаций в период после Мирового финансового кризиса 2008 и до Валютного кризиса 2014 г. </w:t>
            </w:r>
          </w:p>
          <w:p w14:paraId="341D80E1" w14:textId="77777777" w:rsidR="00930DE8" w:rsidRPr="003B10E2" w:rsidRDefault="00930DE8" w:rsidP="002D341E">
            <w:pPr>
              <w:widowControl w:val="0"/>
              <w:spacing w:after="0" w:line="240" w:lineRule="auto"/>
              <w:rPr>
                <w:rFonts w:ascii="Times New Roman" w:hAnsi="Times New Roman"/>
                <w:color w:val="000000"/>
                <w:sz w:val="20"/>
                <w:szCs w:val="20"/>
              </w:rPr>
            </w:pPr>
          </w:p>
        </w:tc>
      </w:tr>
      <w:tr w:rsidR="00930DE8" w:rsidRPr="003B10E2" w14:paraId="3B790E44" w14:textId="77777777" w:rsidTr="002D341E">
        <w:trPr>
          <w:trHeight w:val="1290"/>
        </w:trPr>
        <w:tc>
          <w:tcPr>
            <w:tcW w:w="1555" w:type="dxa"/>
            <w:vMerge/>
            <w:shd w:val="clear" w:color="auto" w:fill="auto"/>
          </w:tcPr>
          <w:p w14:paraId="169953D0" w14:textId="77777777" w:rsidR="00930DE8" w:rsidRPr="003B10E2" w:rsidRDefault="00930DE8" w:rsidP="002D341E">
            <w:pPr>
              <w:widowControl w:val="0"/>
              <w:spacing w:after="0" w:line="240" w:lineRule="auto"/>
              <w:rPr>
                <w:rFonts w:ascii="Times New Roman" w:hAnsi="Times New Roman"/>
                <w:color w:val="000000"/>
                <w:sz w:val="20"/>
                <w:szCs w:val="20"/>
              </w:rPr>
            </w:pPr>
          </w:p>
        </w:tc>
        <w:tc>
          <w:tcPr>
            <w:tcW w:w="1701" w:type="dxa"/>
            <w:vMerge/>
            <w:shd w:val="clear" w:color="auto" w:fill="auto"/>
          </w:tcPr>
          <w:p w14:paraId="13310A63" w14:textId="77777777" w:rsidR="00930DE8" w:rsidRPr="003B10E2" w:rsidRDefault="00930DE8" w:rsidP="002D341E">
            <w:pPr>
              <w:widowControl w:val="0"/>
              <w:spacing w:after="0" w:line="240" w:lineRule="auto"/>
              <w:rPr>
                <w:rFonts w:ascii="Times New Roman" w:hAnsi="Times New Roman"/>
                <w:color w:val="000000"/>
                <w:sz w:val="20"/>
                <w:szCs w:val="20"/>
              </w:rPr>
            </w:pPr>
          </w:p>
        </w:tc>
        <w:tc>
          <w:tcPr>
            <w:tcW w:w="2976" w:type="dxa"/>
            <w:shd w:val="clear" w:color="auto" w:fill="auto"/>
          </w:tcPr>
          <w:p w14:paraId="5B6837CD" w14:textId="77777777" w:rsidR="00930DE8" w:rsidRPr="003B10E2" w:rsidRDefault="00930DE8" w:rsidP="002D341E">
            <w:pPr>
              <w:widowControl w:val="0"/>
              <w:spacing w:after="0" w:line="240" w:lineRule="auto"/>
              <w:rPr>
                <w:rFonts w:ascii="Times New Roman" w:hAnsi="Times New Roman"/>
                <w:color w:val="000000"/>
                <w:sz w:val="20"/>
                <w:szCs w:val="20"/>
              </w:rPr>
            </w:pPr>
            <w:r w:rsidRPr="003B10E2">
              <w:rPr>
                <w:rFonts w:ascii="Times New Roman" w:hAnsi="Times New Roman"/>
                <w:color w:val="000000"/>
                <w:sz w:val="20"/>
                <w:szCs w:val="20"/>
              </w:rPr>
              <w:t>После кризиса 2008 года более заметную роль на рынке облигаций стали играть Банк России и крупные банки с госучастием, поскольку государственные и корпоративные облигации считаются более надежным и удобным инструментом для институциональных инвесторов для покупки через международные клиринговые компании.</w:t>
            </w:r>
          </w:p>
        </w:tc>
        <w:tc>
          <w:tcPr>
            <w:tcW w:w="3261" w:type="dxa"/>
            <w:shd w:val="clear" w:color="auto" w:fill="auto"/>
          </w:tcPr>
          <w:p w14:paraId="4831AA62" w14:textId="77777777" w:rsidR="00930DE8" w:rsidRPr="003B10E2" w:rsidRDefault="00930DE8" w:rsidP="002D341E">
            <w:pPr>
              <w:widowControl w:val="0"/>
              <w:spacing w:after="0" w:line="240" w:lineRule="auto"/>
              <w:rPr>
                <w:rFonts w:ascii="Times New Roman" w:hAnsi="Times New Roman"/>
                <w:color w:val="000000"/>
                <w:sz w:val="20"/>
                <w:szCs w:val="20"/>
              </w:rPr>
            </w:pPr>
            <w:r w:rsidRPr="003B10E2">
              <w:rPr>
                <w:rFonts w:ascii="Times New Roman" w:hAnsi="Times New Roman"/>
                <w:color w:val="000000"/>
                <w:sz w:val="20"/>
                <w:szCs w:val="20"/>
              </w:rPr>
              <w:t>Доля институциональных инвесторов в объемах торгов стабильно росла до 2014 г., пока не произошло структурное изменение.</w:t>
            </w:r>
            <w:r w:rsidRPr="003B10E2">
              <w:rPr>
                <w:rFonts w:ascii="Times New Roman" w:hAnsi="Times New Roman"/>
                <w:sz w:val="20"/>
                <w:szCs w:val="20"/>
              </w:rPr>
              <w:t xml:space="preserve"> </w:t>
            </w:r>
          </w:p>
          <w:p w14:paraId="3462558F" w14:textId="77777777" w:rsidR="00930DE8" w:rsidRPr="003B10E2" w:rsidRDefault="00930DE8" w:rsidP="002D341E">
            <w:pPr>
              <w:widowControl w:val="0"/>
              <w:spacing w:after="0" w:line="240" w:lineRule="auto"/>
              <w:rPr>
                <w:rFonts w:ascii="Times New Roman" w:hAnsi="Times New Roman"/>
                <w:color w:val="000000"/>
                <w:sz w:val="20"/>
                <w:szCs w:val="20"/>
              </w:rPr>
            </w:pPr>
          </w:p>
        </w:tc>
      </w:tr>
    </w:tbl>
    <w:p w14:paraId="2E250CD6" w14:textId="77777777" w:rsidR="008A6DD3" w:rsidRPr="003B10E2" w:rsidRDefault="008A6DD3" w:rsidP="008A6DD3">
      <w:pPr>
        <w:rPr>
          <w:rFonts w:ascii="Times New Roman" w:hAnsi="Times New Roman"/>
          <w:sz w:val="24"/>
          <w:szCs w:val="24"/>
        </w:rPr>
      </w:pPr>
      <w:r w:rsidRPr="003B10E2">
        <w:rPr>
          <w:rFonts w:ascii="Times New Roman" w:hAnsi="Times New Roman"/>
          <w:sz w:val="24"/>
          <w:szCs w:val="24"/>
        </w:rPr>
        <w:t>Продолжение таблицы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0"/>
        <w:gridCol w:w="1544"/>
        <w:gridCol w:w="3260"/>
        <w:gridCol w:w="2971"/>
      </w:tblGrid>
      <w:tr w:rsidR="008A6DD3" w:rsidRPr="003B10E2" w14:paraId="620C6D4B" w14:textId="77777777" w:rsidTr="002D341E">
        <w:tc>
          <w:tcPr>
            <w:tcW w:w="1570" w:type="dxa"/>
            <w:shd w:val="clear" w:color="auto" w:fill="auto"/>
          </w:tcPr>
          <w:p w14:paraId="5E6A482E" w14:textId="77777777" w:rsidR="008A6DD3" w:rsidRPr="003B10E2" w:rsidRDefault="008A6DD3" w:rsidP="002D341E">
            <w:pPr>
              <w:spacing w:after="0" w:line="240" w:lineRule="auto"/>
              <w:jc w:val="center"/>
              <w:rPr>
                <w:rFonts w:ascii="Times New Roman" w:hAnsi="Times New Roman"/>
                <w:sz w:val="24"/>
                <w:szCs w:val="24"/>
                <w:lang w:val="en-US"/>
              </w:rPr>
            </w:pPr>
            <w:r w:rsidRPr="003B10E2">
              <w:rPr>
                <w:rFonts w:ascii="Times New Roman" w:hAnsi="Times New Roman"/>
                <w:sz w:val="24"/>
                <w:szCs w:val="24"/>
                <w:lang w:val="en-US"/>
              </w:rPr>
              <w:t>1</w:t>
            </w:r>
          </w:p>
        </w:tc>
        <w:tc>
          <w:tcPr>
            <w:tcW w:w="1544" w:type="dxa"/>
            <w:shd w:val="clear" w:color="auto" w:fill="auto"/>
          </w:tcPr>
          <w:p w14:paraId="2E5FEFC4" w14:textId="77777777" w:rsidR="008A6DD3" w:rsidRPr="003B10E2" w:rsidRDefault="008A6DD3" w:rsidP="002D341E">
            <w:pPr>
              <w:spacing w:after="0" w:line="240" w:lineRule="auto"/>
              <w:jc w:val="center"/>
              <w:rPr>
                <w:rFonts w:ascii="Times New Roman" w:hAnsi="Times New Roman"/>
                <w:sz w:val="24"/>
                <w:szCs w:val="24"/>
                <w:lang w:val="en-US"/>
              </w:rPr>
            </w:pPr>
            <w:r w:rsidRPr="003B10E2">
              <w:rPr>
                <w:rFonts w:ascii="Times New Roman" w:hAnsi="Times New Roman"/>
                <w:sz w:val="24"/>
                <w:szCs w:val="24"/>
                <w:lang w:val="en-US"/>
              </w:rPr>
              <w:t>2</w:t>
            </w:r>
          </w:p>
        </w:tc>
        <w:tc>
          <w:tcPr>
            <w:tcW w:w="3260" w:type="dxa"/>
            <w:shd w:val="clear" w:color="auto" w:fill="auto"/>
          </w:tcPr>
          <w:p w14:paraId="317E10FD" w14:textId="77777777" w:rsidR="008A6DD3" w:rsidRPr="003B10E2" w:rsidRDefault="008A6DD3" w:rsidP="002D341E">
            <w:pPr>
              <w:spacing w:after="0" w:line="240" w:lineRule="auto"/>
              <w:jc w:val="center"/>
              <w:rPr>
                <w:rFonts w:ascii="Times New Roman" w:hAnsi="Times New Roman"/>
                <w:sz w:val="24"/>
                <w:szCs w:val="24"/>
                <w:lang w:val="en-US"/>
              </w:rPr>
            </w:pPr>
            <w:r w:rsidRPr="003B10E2">
              <w:rPr>
                <w:rFonts w:ascii="Times New Roman" w:hAnsi="Times New Roman"/>
                <w:sz w:val="24"/>
                <w:szCs w:val="24"/>
                <w:lang w:val="en-US"/>
              </w:rPr>
              <w:t>3</w:t>
            </w:r>
          </w:p>
        </w:tc>
        <w:tc>
          <w:tcPr>
            <w:tcW w:w="2971" w:type="dxa"/>
            <w:shd w:val="clear" w:color="auto" w:fill="auto"/>
          </w:tcPr>
          <w:p w14:paraId="4C5E8B22" w14:textId="77777777" w:rsidR="008A6DD3" w:rsidRPr="003B10E2" w:rsidRDefault="008A6DD3" w:rsidP="002D341E">
            <w:pPr>
              <w:spacing w:after="0" w:line="240" w:lineRule="auto"/>
              <w:jc w:val="center"/>
              <w:rPr>
                <w:rFonts w:ascii="Times New Roman" w:hAnsi="Times New Roman"/>
                <w:sz w:val="24"/>
                <w:szCs w:val="24"/>
                <w:lang w:val="en-US"/>
              </w:rPr>
            </w:pPr>
            <w:r w:rsidRPr="003B10E2">
              <w:rPr>
                <w:rFonts w:ascii="Times New Roman" w:hAnsi="Times New Roman"/>
                <w:sz w:val="24"/>
                <w:szCs w:val="24"/>
                <w:lang w:val="en-US"/>
              </w:rPr>
              <w:t>4</w:t>
            </w:r>
          </w:p>
        </w:tc>
      </w:tr>
      <w:tr w:rsidR="008A6DD3" w:rsidRPr="003B10E2" w14:paraId="41E292C5" w14:textId="77777777" w:rsidTr="002D341E">
        <w:trPr>
          <w:trHeight w:val="458"/>
        </w:trPr>
        <w:tc>
          <w:tcPr>
            <w:tcW w:w="1570" w:type="dxa"/>
            <w:vMerge w:val="restart"/>
            <w:shd w:val="clear" w:color="auto" w:fill="auto"/>
          </w:tcPr>
          <w:p w14:paraId="11C9BD33" w14:textId="77777777" w:rsidR="008A6DD3" w:rsidRPr="003B10E2" w:rsidRDefault="008A6DD3" w:rsidP="002D341E">
            <w:pPr>
              <w:spacing w:after="0" w:line="240" w:lineRule="auto"/>
              <w:rPr>
                <w:rFonts w:ascii="Times New Roman" w:hAnsi="Times New Roman"/>
                <w:sz w:val="24"/>
                <w:szCs w:val="24"/>
                <w:lang w:val="en-US"/>
              </w:rPr>
            </w:pPr>
            <w:r w:rsidRPr="003B10E2">
              <w:rPr>
                <w:rFonts w:ascii="Times New Roman" w:hAnsi="Times New Roman"/>
                <w:color w:val="000000"/>
                <w:sz w:val="20"/>
                <w:szCs w:val="20"/>
                <w:lang w:val="en-US"/>
              </w:rPr>
              <w:t>Валютный кризис 2014 г.</w:t>
            </w:r>
          </w:p>
        </w:tc>
        <w:tc>
          <w:tcPr>
            <w:tcW w:w="1544" w:type="dxa"/>
            <w:vMerge w:val="restart"/>
            <w:shd w:val="clear" w:color="auto" w:fill="auto"/>
          </w:tcPr>
          <w:p w14:paraId="036C1709" w14:textId="77777777" w:rsidR="008A6DD3" w:rsidRPr="003B10E2" w:rsidRDefault="008A6DD3" w:rsidP="002D341E">
            <w:pPr>
              <w:spacing w:after="0" w:line="240" w:lineRule="auto"/>
              <w:rPr>
                <w:rFonts w:ascii="Times New Roman" w:hAnsi="Times New Roman"/>
                <w:sz w:val="24"/>
                <w:szCs w:val="24"/>
              </w:rPr>
            </w:pPr>
            <w:r w:rsidRPr="003B10E2">
              <w:rPr>
                <w:rFonts w:ascii="Times New Roman" w:hAnsi="Times New Roman"/>
                <w:color w:val="000000"/>
                <w:sz w:val="20"/>
                <w:szCs w:val="20"/>
              </w:rPr>
              <w:t>Канал риск-аппетита глобальных инвесторов.</w:t>
            </w:r>
          </w:p>
        </w:tc>
        <w:tc>
          <w:tcPr>
            <w:tcW w:w="3260" w:type="dxa"/>
            <w:shd w:val="clear" w:color="auto" w:fill="auto"/>
          </w:tcPr>
          <w:p w14:paraId="64BC6F03" w14:textId="77777777" w:rsidR="008A6DD3" w:rsidRPr="003B10E2" w:rsidRDefault="008A6DD3" w:rsidP="002D341E">
            <w:pPr>
              <w:widowControl w:val="0"/>
              <w:spacing w:after="0" w:line="240" w:lineRule="auto"/>
              <w:rPr>
                <w:rFonts w:ascii="Times New Roman" w:hAnsi="Times New Roman"/>
                <w:sz w:val="20"/>
                <w:szCs w:val="20"/>
              </w:rPr>
            </w:pPr>
            <w:r w:rsidRPr="003B10E2">
              <w:rPr>
                <w:rFonts w:ascii="Times New Roman" w:hAnsi="Times New Roman"/>
                <w:sz w:val="20"/>
                <w:szCs w:val="20"/>
              </w:rPr>
              <w:t>Благодаря наличию повышенной суверенной премии за риск глобальные инвесторы переключились на российский рынок с повышенной доходностью, где можно заработать более 4% долларовой доходности.</w:t>
            </w:r>
          </w:p>
          <w:p w14:paraId="2BFBAF84" w14:textId="77777777" w:rsidR="008A6DD3" w:rsidRPr="003B10E2" w:rsidRDefault="008A6DD3" w:rsidP="002D341E">
            <w:pPr>
              <w:widowControl w:val="0"/>
              <w:spacing w:after="0" w:line="240" w:lineRule="auto"/>
              <w:rPr>
                <w:rFonts w:ascii="Times New Roman" w:hAnsi="Times New Roman"/>
                <w:sz w:val="20"/>
                <w:szCs w:val="20"/>
              </w:rPr>
            </w:pPr>
          </w:p>
        </w:tc>
        <w:tc>
          <w:tcPr>
            <w:tcW w:w="2971" w:type="dxa"/>
            <w:shd w:val="clear" w:color="auto" w:fill="auto"/>
          </w:tcPr>
          <w:p w14:paraId="7189243B" w14:textId="77777777" w:rsidR="008A6DD3" w:rsidRPr="003B10E2" w:rsidRDefault="008A6DD3" w:rsidP="002D341E">
            <w:pPr>
              <w:widowControl w:val="0"/>
              <w:spacing w:after="0" w:line="240" w:lineRule="auto"/>
              <w:rPr>
                <w:rFonts w:ascii="Times New Roman" w:hAnsi="Times New Roman"/>
                <w:color w:val="000000"/>
                <w:sz w:val="20"/>
                <w:szCs w:val="20"/>
              </w:rPr>
            </w:pPr>
            <w:r w:rsidRPr="003B10E2">
              <w:rPr>
                <w:rFonts w:ascii="Times New Roman" w:hAnsi="Times New Roman"/>
                <w:color w:val="000000"/>
                <w:sz w:val="20"/>
                <w:szCs w:val="20"/>
              </w:rPr>
              <w:t>Снижение системных рисков и как следствие доходностей долговых инструментов. После скачка доходности 2014 года она стала повышенной по сравнению с доходностью на рынках развитых стран.</w:t>
            </w:r>
          </w:p>
          <w:p w14:paraId="353FDE00" w14:textId="77777777" w:rsidR="008A6DD3" w:rsidRPr="003B10E2" w:rsidRDefault="008A6DD3" w:rsidP="002D341E">
            <w:pPr>
              <w:widowControl w:val="0"/>
              <w:spacing w:after="0" w:line="240" w:lineRule="auto"/>
              <w:rPr>
                <w:rFonts w:ascii="Times New Roman" w:hAnsi="Times New Roman"/>
                <w:color w:val="000000"/>
                <w:sz w:val="20"/>
                <w:szCs w:val="20"/>
              </w:rPr>
            </w:pPr>
            <w:r w:rsidRPr="003B10E2">
              <w:rPr>
                <w:rFonts w:ascii="Times New Roman" w:hAnsi="Times New Roman"/>
                <w:color w:val="000000"/>
                <w:sz w:val="20"/>
                <w:szCs w:val="20"/>
              </w:rPr>
              <w:t>Она и до этого была повышенной.</w:t>
            </w:r>
          </w:p>
          <w:p w14:paraId="6E34757F" w14:textId="77777777" w:rsidR="008A6DD3" w:rsidRPr="003B10E2" w:rsidRDefault="008A6DD3" w:rsidP="002D341E">
            <w:pPr>
              <w:widowControl w:val="0"/>
              <w:spacing w:after="0" w:line="240" w:lineRule="auto"/>
              <w:rPr>
                <w:rFonts w:ascii="Times New Roman" w:hAnsi="Times New Roman"/>
                <w:color w:val="000000"/>
                <w:sz w:val="20"/>
                <w:szCs w:val="20"/>
              </w:rPr>
            </w:pPr>
            <w:r w:rsidRPr="003B10E2">
              <w:rPr>
                <w:rFonts w:ascii="Times New Roman" w:hAnsi="Times New Roman"/>
                <w:color w:val="000000"/>
                <w:sz w:val="20"/>
                <w:szCs w:val="20"/>
              </w:rPr>
              <w:t xml:space="preserve">При этом форма кривой </w:t>
            </w:r>
            <w:r w:rsidRPr="003B10E2">
              <w:rPr>
                <w:rFonts w:ascii="Times New Roman" w:hAnsi="Times New Roman"/>
                <w:sz w:val="20"/>
                <w:szCs w:val="20"/>
              </w:rPr>
              <w:t xml:space="preserve">становится более </w:t>
            </w:r>
            <w:r w:rsidRPr="003B10E2">
              <w:rPr>
                <w:rFonts w:ascii="Times New Roman" w:hAnsi="Times New Roman"/>
                <w:color w:val="000000"/>
                <w:sz w:val="20"/>
                <w:szCs w:val="20"/>
              </w:rPr>
              <w:t>пологой в посткризисное время из-за постепенного снижения инфляционных ожиданий.</w:t>
            </w:r>
          </w:p>
          <w:p w14:paraId="6D8C7E9F" w14:textId="77777777" w:rsidR="008A6DD3" w:rsidRPr="003B10E2" w:rsidRDefault="008A6DD3" w:rsidP="002D341E">
            <w:pPr>
              <w:widowControl w:val="0"/>
              <w:spacing w:after="0" w:line="240" w:lineRule="auto"/>
              <w:rPr>
                <w:rFonts w:ascii="Times New Roman" w:hAnsi="Times New Roman"/>
                <w:color w:val="000000"/>
                <w:sz w:val="20"/>
                <w:szCs w:val="20"/>
              </w:rPr>
            </w:pPr>
          </w:p>
        </w:tc>
      </w:tr>
      <w:tr w:rsidR="008A6DD3" w:rsidRPr="003B10E2" w14:paraId="29FDF586" w14:textId="77777777" w:rsidTr="002D341E">
        <w:trPr>
          <w:trHeight w:val="457"/>
        </w:trPr>
        <w:tc>
          <w:tcPr>
            <w:tcW w:w="1570" w:type="dxa"/>
            <w:vMerge/>
            <w:shd w:val="clear" w:color="auto" w:fill="auto"/>
          </w:tcPr>
          <w:p w14:paraId="2C2576E5" w14:textId="77777777" w:rsidR="008A6DD3" w:rsidRPr="003B10E2" w:rsidRDefault="008A6DD3" w:rsidP="002D341E">
            <w:pPr>
              <w:spacing w:after="0" w:line="240" w:lineRule="auto"/>
              <w:rPr>
                <w:rFonts w:ascii="Times New Roman" w:hAnsi="Times New Roman"/>
                <w:color w:val="000000"/>
                <w:sz w:val="20"/>
                <w:szCs w:val="20"/>
              </w:rPr>
            </w:pPr>
          </w:p>
        </w:tc>
        <w:tc>
          <w:tcPr>
            <w:tcW w:w="1544" w:type="dxa"/>
            <w:vMerge/>
            <w:shd w:val="clear" w:color="auto" w:fill="auto"/>
          </w:tcPr>
          <w:p w14:paraId="344EF52D" w14:textId="77777777" w:rsidR="008A6DD3" w:rsidRPr="003B10E2" w:rsidRDefault="008A6DD3" w:rsidP="002D341E">
            <w:pPr>
              <w:spacing w:after="0" w:line="240" w:lineRule="auto"/>
              <w:rPr>
                <w:rFonts w:ascii="Times New Roman" w:hAnsi="Times New Roman"/>
                <w:color w:val="000000"/>
                <w:sz w:val="20"/>
                <w:szCs w:val="20"/>
              </w:rPr>
            </w:pPr>
          </w:p>
        </w:tc>
        <w:tc>
          <w:tcPr>
            <w:tcW w:w="3260" w:type="dxa"/>
            <w:shd w:val="clear" w:color="auto" w:fill="auto"/>
          </w:tcPr>
          <w:p w14:paraId="54208BD9" w14:textId="77777777" w:rsidR="008A6DD3" w:rsidRPr="003B10E2" w:rsidRDefault="008A6DD3" w:rsidP="002D341E">
            <w:pPr>
              <w:widowControl w:val="0"/>
              <w:spacing w:after="0" w:line="240" w:lineRule="auto"/>
              <w:rPr>
                <w:rFonts w:ascii="Times New Roman" w:hAnsi="Times New Roman"/>
                <w:color w:val="000000"/>
                <w:sz w:val="20"/>
                <w:szCs w:val="20"/>
              </w:rPr>
            </w:pPr>
            <w:r w:rsidRPr="003B10E2">
              <w:rPr>
                <w:rFonts w:ascii="Times New Roman" w:hAnsi="Times New Roman"/>
                <w:sz w:val="20"/>
                <w:szCs w:val="20"/>
              </w:rPr>
              <w:t xml:space="preserve">Локальные эмитенты перемещают долги с международных рынков на внутренний </w:t>
            </w:r>
            <w:r w:rsidRPr="003B10E2">
              <w:rPr>
                <w:rFonts w:ascii="Times New Roman" w:hAnsi="Times New Roman"/>
                <w:color w:val="000000"/>
                <w:sz w:val="20"/>
                <w:szCs w:val="20"/>
              </w:rPr>
              <w:t>рынок из-за высокого риска новых международных санкций.</w:t>
            </w:r>
          </w:p>
          <w:p w14:paraId="7FA1EF20" w14:textId="77777777" w:rsidR="008A6DD3" w:rsidRPr="003B10E2" w:rsidRDefault="008A6DD3" w:rsidP="002D341E">
            <w:pPr>
              <w:widowControl w:val="0"/>
              <w:spacing w:after="0" w:line="240" w:lineRule="auto"/>
              <w:rPr>
                <w:rFonts w:ascii="Times New Roman" w:hAnsi="Times New Roman"/>
                <w:color w:val="000000"/>
                <w:sz w:val="20"/>
                <w:szCs w:val="20"/>
              </w:rPr>
            </w:pPr>
          </w:p>
        </w:tc>
        <w:tc>
          <w:tcPr>
            <w:tcW w:w="2971" w:type="dxa"/>
            <w:shd w:val="clear" w:color="auto" w:fill="auto"/>
          </w:tcPr>
          <w:p w14:paraId="025FA307" w14:textId="77777777" w:rsidR="008A6DD3" w:rsidRPr="003B10E2" w:rsidRDefault="008A6DD3" w:rsidP="002D341E">
            <w:pPr>
              <w:widowControl w:val="0"/>
              <w:spacing w:after="0" w:line="240" w:lineRule="auto"/>
              <w:rPr>
                <w:rFonts w:ascii="Times New Roman" w:hAnsi="Times New Roman"/>
                <w:color w:val="000000"/>
                <w:sz w:val="20"/>
                <w:szCs w:val="20"/>
              </w:rPr>
            </w:pPr>
            <w:r w:rsidRPr="003B10E2">
              <w:rPr>
                <w:rFonts w:ascii="Times New Roman" w:hAnsi="Times New Roman"/>
                <w:color w:val="000000"/>
                <w:sz w:val="20"/>
                <w:szCs w:val="20"/>
              </w:rPr>
              <w:t>С 2014 год заметен рост новых размещений по облигациям как следствие ограничения доступа к международным рынкам капитала и дедоларизации в России</w:t>
            </w:r>
          </w:p>
        </w:tc>
      </w:tr>
      <w:tr w:rsidR="008A6DD3" w:rsidRPr="003B10E2" w14:paraId="630F937C" w14:textId="77777777" w:rsidTr="002D341E">
        <w:tc>
          <w:tcPr>
            <w:tcW w:w="1570" w:type="dxa"/>
            <w:shd w:val="clear" w:color="auto" w:fill="auto"/>
          </w:tcPr>
          <w:p w14:paraId="0EC0CF15" w14:textId="77777777" w:rsidR="008A6DD3" w:rsidRPr="003B10E2" w:rsidRDefault="008A6DD3" w:rsidP="002D341E">
            <w:pPr>
              <w:widowControl w:val="0"/>
              <w:spacing w:after="0" w:line="240" w:lineRule="auto"/>
              <w:rPr>
                <w:rFonts w:ascii="Times New Roman" w:hAnsi="Times New Roman"/>
                <w:color w:val="000000"/>
                <w:sz w:val="20"/>
                <w:szCs w:val="20"/>
                <w:lang w:val="en-US"/>
              </w:rPr>
            </w:pPr>
            <w:r w:rsidRPr="003B10E2">
              <w:rPr>
                <w:rFonts w:ascii="Times New Roman" w:hAnsi="Times New Roman"/>
                <w:color w:val="000000"/>
                <w:sz w:val="20"/>
                <w:szCs w:val="20"/>
                <w:lang w:val="en-US"/>
              </w:rPr>
              <w:t>Пандемический кризис 2020 г.</w:t>
            </w:r>
          </w:p>
        </w:tc>
        <w:tc>
          <w:tcPr>
            <w:tcW w:w="1544" w:type="dxa"/>
            <w:shd w:val="clear" w:color="auto" w:fill="auto"/>
          </w:tcPr>
          <w:p w14:paraId="15D501FE" w14:textId="77777777" w:rsidR="008A6DD3" w:rsidRPr="003B10E2" w:rsidRDefault="008A6DD3" w:rsidP="002D341E">
            <w:pPr>
              <w:widowControl w:val="0"/>
              <w:spacing w:after="0" w:line="240" w:lineRule="auto"/>
              <w:rPr>
                <w:rFonts w:ascii="Times New Roman" w:hAnsi="Times New Roman"/>
                <w:color w:val="000000"/>
                <w:sz w:val="20"/>
                <w:szCs w:val="20"/>
              </w:rPr>
            </w:pPr>
            <w:r w:rsidRPr="003B10E2">
              <w:rPr>
                <w:rFonts w:ascii="Times New Roman" w:hAnsi="Times New Roman"/>
                <w:color w:val="000000"/>
                <w:sz w:val="20"/>
                <w:szCs w:val="20"/>
              </w:rPr>
              <w:t>Канал риск-аппетита глобальных инвесторов и регуляторный канал.</w:t>
            </w:r>
          </w:p>
          <w:p w14:paraId="27BA2AF1" w14:textId="77777777" w:rsidR="008A6DD3" w:rsidRPr="003B10E2" w:rsidRDefault="008A6DD3" w:rsidP="002D341E">
            <w:pPr>
              <w:widowControl w:val="0"/>
              <w:spacing w:after="0" w:line="240" w:lineRule="auto"/>
              <w:rPr>
                <w:rFonts w:ascii="Times New Roman" w:hAnsi="Times New Roman"/>
                <w:color w:val="000000"/>
                <w:sz w:val="20"/>
                <w:szCs w:val="20"/>
              </w:rPr>
            </w:pPr>
            <w:r w:rsidRPr="003B10E2">
              <w:rPr>
                <w:rFonts w:ascii="Times New Roman" w:hAnsi="Times New Roman"/>
                <w:color w:val="FF0000"/>
                <w:sz w:val="20"/>
                <w:szCs w:val="20"/>
              </w:rPr>
              <w:t xml:space="preserve"> </w:t>
            </w:r>
          </w:p>
        </w:tc>
        <w:tc>
          <w:tcPr>
            <w:tcW w:w="3260" w:type="dxa"/>
            <w:shd w:val="clear" w:color="auto" w:fill="auto"/>
          </w:tcPr>
          <w:p w14:paraId="2C0E25D6" w14:textId="77777777" w:rsidR="008A6DD3" w:rsidRPr="003B10E2" w:rsidRDefault="008A6DD3" w:rsidP="002D341E">
            <w:pPr>
              <w:widowControl w:val="0"/>
              <w:spacing w:after="0" w:line="240" w:lineRule="auto"/>
              <w:rPr>
                <w:rFonts w:ascii="Times New Roman" w:hAnsi="Times New Roman"/>
                <w:color w:val="000000"/>
                <w:sz w:val="20"/>
                <w:szCs w:val="20"/>
              </w:rPr>
            </w:pPr>
            <w:r w:rsidRPr="003B10E2">
              <w:rPr>
                <w:rFonts w:ascii="Times New Roman" w:hAnsi="Times New Roman"/>
                <w:color w:val="000000"/>
                <w:sz w:val="20"/>
                <w:szCs w:val="20"/>
              </w:rPr>
              <w:t>Перераспределение средств глобальных инвесторов из акций в долговые активы (таблица 2.5).</w:t>
            </w:r>
          </w:p>
          <w:p w14:paraId="35CE44C1" w14:textId="77777777" w:rsidR="008A6DD3" w:rsidRPr="003B10E2" w:rsidRDefault="008A6DD3" w:rsidP="002D341E">
            <w:pPr>
              <w:widowControl w:val="0"/>
              <w:spacing w:after="0" w:line="240" w:lineRule="auto"/>
              <w:rPr>
                <w:rFonts w:ascii="Times New Roman" w:hAnsi="Times New Roman"/>
                <w:color w:val="000000"/>
                <w:sz w:val="20"/>
                <w:szCs w:val="20"/>
              </w:rPr>
            </w:pPr>
          </w:p>
          <w:p w14:paraId="45307AED" w14:textId="77777777" w:rsidR="008A6DD3" w:rsidRPr="003B10E2" w:rsidRDefault="008A6DD3" w:rsidP="002D341E">
            <w:pPr>
              <w:widowControl w:val="0"/>
              <w:spacing w:after="0" w:line="240" w:lineRule="auto"/>
              <w:rPr>
                <w:rFonts w:ascii="Times New Roman" w:hAnsi="Times New Roman"/>
                <w:color w:val="000000"/>
                <w:sz w:val="20"/>
                <w:szCs w:val="20"/>
              </w:rPr>
            </w:pPr>
          </w:p>
        </w:tc>
        <w:tc>
          <w:tcPr>
            <w:tcW w:w="2971" w:type="dxa"/>
            <w:shd w:val="clear" w:color="auto" w:fill="auto"/>
          </w:tcPr>
          <w:p w14:paraId="6FE8B5A1" w14:textId="77777777" w:rsidR="008A6DD3" w:rsidRPr="003B10E2" w:rsidRDefault="008A6DD3" w:rsidP="002D341E">
            <w:pPr>
              <w:widowControl w:val="0"/>
              <w:spacing w:after="0" w:line="240" w:lineRule="auto"/>
              <w:rPr>
                <w:rFonts w:ascii="Times New Roman" w:hAnsi="Times New Roman"/>
                <w:color w:val="FF0000"/>
                <w:sz w:val="20"/>
                <w:szCs w:val="20"/>
              </w:rPr>
            </w:pPr>
            <w:r w:rsidRPr="003B10E2">
              <w:rPr>
                <w:rFonts w:ascii="Times New Roman" w:hAnsi="Times New Roman"/>
                <w:color w:val="000000"/>
                <w:sz w:val="20"/>
                <w:szCs w:val="20"/>
              </w:rPr>
              <w:t xml:space="preserve">На фоне пандемии глобальные владельцы акций и смешанных активов распродали существенные объемы своих вложений.  </w:t>
            </w:r>
          </w:p>
          <w:p w14:paraId="4D8CD208" w14:textId="77777777" w:rsidR="008A6DD3" w:rsidRPr="003B10E2" w:rsidRDefault="008A6DD3" w:rsidP="002D341E">
            <w:pPr>
              <w:widowControl w:val="0"/>
              <w:spacing w:after="0" w:line="240" w:lineRule="auto"/>
              <w:rPr>
                <w:rFonts w:ascii="Times New Roman" w:hAnsi="Times New Roman"/>
                <w:color w:val="000000"/>
                <w:sz w:val="20"/>
                <w:szCs w:val="20"/>
              </w:rPr>
            </w:pPr>
            <w:r w:rsidRPr="003B10E2">
              <w:rPr>
                <w:rFonts w:ascii="Times New Roman" w:hAnsi="Times New Roman"/>
                <w:color w:val="000000"/>
                <w:sz w:val="20"/>
                <w:szCs w:val="20"/>
              </w:rPr>
              <w:t>Номинальные объемы вторичных торгов незначительно снизились</w:t>
            </w:r>
          </w:p>
          <w:p w14:paraId="2E625027" w14:textId="77777777" w:rsidR="008A6DD3" w:rsidRPr="003B10E2" w:rsidRDefault="008A6DD3" w:rsidP="002D341E">
            <w:pPr>
              <w:widowControl w:val="0"/>
              <w:spacing w:after="0" w:line="240" w:lineRule="auto"/>
              <w:rPr>
                <w:rFonts w:ascii="Times New Roman" w:hAnsi="Times New Roman"/>
                <w:sz w:val="20"/>
                <w:szCs w:val="20"/>
              </w:rPr>
            </w:pPr>
            <w:r w:rsidRPr="003B10E2">
              <w:rPr>
                <w:rFonts w:ascii="Times New Roman" w:hAnsi="Times New Roman"/>
                <w:color w:val="000000"/>
                <w:sz w:val="20"/>
                <w:szCs w:val="20"/>
              </w:rPr>
              <w:t xml:space="preserve">В России эта тенденция началась сразу </w:t>
            </w:r>
            <w:r w:rsidRPr="003B10E2">
              <w:rPr>
                <w:rFonts w:ascii="Times New Roman" w:hAnsi="Times New Roman"/>
                <w:sz w:val="20"/>
                <w:szCs w:val="20"/>
              </w:rPr>
              <w:t>после кризиса 2008 г., но в 2020 году рост рублевого долга получил новый импульс</w:t>
            </w:r>
            <w:r w:rsidR="004E1575" w:rsidRPr="003B10E2">
              <w:rPr>
                <w:rFonts w:ascii="Times New Roman" w:hAnsi="Times New Roman"/>
                <w:sz w:val="20"/>
                <w:szCs w:val="20"/>
              </w:rPr>
              <w:t>.</w:t>
            </w:r>
          </w:p>
          <w:p w14:paraId="0CA9BA71" w14:textId="77777777" w:rsidR="008A6DD3" w:rsidRPr="003B10E2" w:rsidRDefault="008A6DD3" w:rsidP="002D341E">
            <w:pPr>
              <w:widowControl w:val="0"/>
              <w:spacing w:after="0" w:line="240" w:lineRule="auto"/>
              <w:rPr>
                <w:rFonts w:ascii="Times New Roman" w:hAnsi="Times New Roman"/>
                <w:sz w:val="20"/>
                <w:szCs w:val="20"/>
              </w:rPr>
            </w:pPr>
            <w:r w:rsidRPr="003B10E2">
              <w:rPr>
                <w:rFonts w:ascii="Times New Roman" w:hAnsi="Times New Roman"/>
                <w:sz w:val="20"/>
                <w:szCs w:val="20"/>
              </w:rPr>
              <w:t>С 2013 г. внешний долг России трансформируется во внутренний долг в связи санкциями и ограничениями доступа к международным рынкам капитала. Его объем снижается.</w:t>
            </w:r>
          </w:p>
          <w:p w14:paraId="66624575" w14:textId="77777777" w:rsidR="008A6DD3" w:rsidRPr="003B10E2" w:rsidRDefault="008A6DD3" w:rsidP="002D341E">
            <w:pPr>
              <w:widowControl w:val="0"/>
              <w:spacing w:after="0" w:line="240" w:lineRule="auto"/>
              <w:rPr>
                <w:rFonts w:ascii="Times New Roman" w:hAnsi="Times New Roman"/>
                <w:sz w:val="20"/>
                <w:szCs w:val="20"/>
              </w:rPr>
            </w:pPr>
            <w:r w:rsidRPr="003B10E2">
              <w:rPr>
                <w:rFonts w:ascii="Times New Roman" w:hAnsi="Times New Roman"/>
                <w:sz w:val="20"/>
                <w:szCs w:val="20"/>
              </w:rPr>
              <w:t>Рынок рублевого долга в течение последних семи лет служит механизмом получения относительно дешевых длинных денег крупными компаниями с государственным участием в капитале, что случилось благодаря усилению госрегулирования после 2007 г.</w:t>
            </w:r>
          </w:p>
        </w:tc>
      </w:tr>
    </w:tbl>
    <w:p w14:paraId="6799F128" w14:textId="77777777" w:rsidR="00651284" w:rsidRPr="003B10E2" w:rsidRDefault="00651284" w:rsidP="00C8369A">
      <w:pPr>
        <w:spacing w:after="0" w:line="360" w:lineRule="auto"/>
      </w:pPr>
      <w:r w:rsidRPr="003B10E2">
        <w:rPr>
          <w:rFonts w:ascii="Times New Roman" w:hAnsi="Times New Roman"/>
          <w:color w:val="000000"/>
          <w:sz w:val="24"/>
          <w:szCs w:val="24"/>
        </w:rPr>
        <w:t>Источник: составлено автором.</w:t>
      </w:r>
    </w:p>
    <w:bookmarkEnd w:id="195"/>
    <w:p w14:paraId="17C58811" w14:textId="77777777" w:rsidR="00651284" w:rsidRPr="003B10E2" w:rsidRDefault="00651284" w:rsidP="00651284">
      <w:pPr>
        <w:spacing w:after="0" w:line="360" w:lineRule="auto"/>
        <w:ind w:firstLine="851"/>
        <w:jc w:val="both"/>
        <w:rPr>
          <w:rFonts w:ascii="Times New Roman" w:hAnsi="Times New Roman"/>
          <w:color w:val="000000"/>
          <w:sz w:val="28"/>
          <w:szCs w:val="28"/>
        </w:rPr>
      </w:pPr>
    </w:p>
    <w:p w14:paraId="1001A34F" w14:textId="77777777" w:rsidR="00651284" w:rsidRPr="003B10E2" w:rsidRDefault="00651284" w:rsidP="00651284">
      <w:pPr>
        <w:spacing w:after="0" w:line="360" w:lineRule="auto"/>
        <w:ind w:firstLine="851"/>
        <w:jc w:val="both"/>
        <w:rPr>
          <w:bCs/>
        </w:rPr>
      </w:pPr>
      <w:r w:rsidRPr="003B10E2">
        <w:rPr>
          <w:rFonts w:ascii="Times New Roman" w:hAnsi="Times New Roman"/>
          <w:bCs/>
          <w:color w:val="000000"/>
          <w:sz w:val="28"/>
          <w:szCs w:val="28"/>
        </w:rPr>
        <w:t>1. Доля инвесторов-нерезидентов в 2008-2020 гг. стала больше.</w:t>
      </w:r>
    </w:p>
    <w:p w14:paraId="29E2CAD8" w14:textId="77777777" w:rsidR="00651284" w:rsidRPr="003B10E2" w:rsidRDefault="00651284" w:rsidP="00651284">
      <w:pPr>
        <w:spacing w:after="0" w:line="360" w:lineRule="auto"/>
        <w:ind w:firstLine="851"/>
        <w:jc w:val="both"/>
        <w:rPr>
          <w:rFonts w:ascii="Times New Roman" w:hAnsi="Times New Roman"/>
          <w:color w:val="FF0000"/>
          <w:sz w:val="28"/>
          <w:szCs w:val="28"/>
        </w:rPr>
      </w:pPr>
      <w:r w:rsidRPr="003B10E2">
        <w:rPr>
          <w:rFonts w:ascii="Times New Roman" w:hAnsi="Times New Roman"/>
          <w:color w:val="000000"/>
          <w:sz w:val="28"/>
          <w:szCs w:val="28"/>
        </w:rPr>
        <w:t>На рынке облигаций России важнейшую роль в передаче внешних шоков играет регуляторный канал. Регуляторный канал представляет собой воздействие на рынок капитала через нормативное регулирование. Пос</w:t>
      </w:r>
      <w:r w:rsidR="00CE6182" w:rsidRPr="003B10E2">
        <w:rPr>
          <w:rFonts w:ascii="Times New Roman" w:hAnsi="Times New Roman"/>
          <w:color w:val="000000"/>
          <w:sz w:val="28"/>
          <w:szCs w:val="28"/>
        </w:rPr>
        <w:t>кольку нормативное регулирование</w:t>
      </w:r>
      <w:r w:rsidRPr="003B10E2">
        <w:rPr>
          <w:rFonts w:ascii="Times New Roman" w:hAnsi="Times New Roman"/>
          <w:color w:val="000000"/>
          <w:sz w:val="28"/>
          <w:szCs w:val="28"/>
        </w:rPr>
        <w:t xml:space="preserve"> определяет минимальные доли вложений для российских институциональных инвесторов в облигации, оно может давать заметные преимущества для владельцев облигаций (например, налоговые льготы, использование в качестве залога, льготы для банков при резервировании).</w:t>
      </w:r>
    </w:p>
    <w:p w14:paraId="7C8C7C55" w14:textId="77777777" w:rsidR="00651284" w:rsidRPr="003B10E2" w:rsidRDefault="00651284" w:rsidP="00651284">
      <w:pPr>
        <w:spacing w:after="0" w:line="360" w:lineRule="auto"/>
        <w:ind w:firstLine="851"/>
        <w:jc w:val="both"/>
        <w:rPr>
          <w:rFonts w:ascii="Times New Roman" w:hAnsi="Times New Roman"/>
          <w:sz w:val="28"/>
          <w:szCs w:val="28"/>
        </w:rPr>
      </w:pPr>
      <w:r w:rsidRPr="003B10E2">
        <w:rPr>
          <w:rFonts w:ascii="Times New Roman" w:hAnsi="Times New Roman"/>
          <w:sz w:val="28"/>
          <w:szCs w:val="28"/>
        </w:rPr>
        <w:t>Российские инвесторы остаются на российском рынке, поскольку вложение во внутренний долг России рассматривается ими не только как инвестиция, но и как удобный инструмент для удовлетворения нормативных требований регуляторов.</w:t>
      </w:r>
    </w:p>
    <w:p w14:paraId="348ACE1A" w14:textId="77777777"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Как следствие шоков волатильности доля нерезидентов в объеме торгов на долговом рынке существенно не повышается на фоне секторальных санкций после 2014 г. (состав</w:t>
      </w:r>
      <w:r w:rsidR="004D2D0A" w:rsidRPr="003B10E2">
        <w:rPr>
          <w:rFonts w:ascii="Times New Roman" w:hAnsi="Times New Roman"/>
          <w:color w:val="000000"/>
          <w:sz w:val="28"/>
          <w:szCs w:val="28"/>
        </w:rPr>
        <w:t xml:space="preserve">ляет около 15-19%) (рисунок </w:t>
      </w:r>
      <w:r w:rsidR="008B6285" w:rsidRPr="003B10E2">
        <w:rPr>
          <w:rFonts w:ascii="Times New Roman" w:hAnsi="Times New Roman"/>
          <w:color w:val="000000"/>
          <w:sz w:val="28"/>
          <w:szCs w:val="28"/>
        </w:rPr>
        <w:t>6</w:t>
      </w:r>
      <w:r w:rsidR="00DF25DE" w:rsidRPr="003B10E2">
        <w:rPr>
          <w:rFonts w:ascii="Times New Roman" w:hAnsi="Times New Roman"/>
          <w:color w:val="000000"/>
          <w:sz w:val="28"/>
          <w:szCs w:val="28"/>
        </w:rPr>
        <w:t>1</w:t>
      </w:r>
      <w:r w:rsidR="002A2D89" w:rsidRPr="003B10E2">
        <w:rPr>
          <w:rFonts w:ascii="Times New Roman" w:hAnsi="Times New Roman"/>
          <w:color w:val="000000"/>
          <w:sz w:val="28"/>
          <w:szCs w:val="28"/>
        </w:rPr>
        <w:t xml:space="preserve">, </w:t>
      </w:r>
      <w:r w:rsidR="008B6285" w:rsidRPr="003B10E2">
        <w:rPr>
          <w:rFonts w:ascii="Times New Roman" w:hAnsi="Times New Roman"/>
          <w:color w:val="000000"/>
          <w:sz w:val="28"/>
          <w:szCs w:val="28"/>
        </w:rPr>
        <w:t>6</w:t>
      </w:r>
      <w:r w:rsidR="0007473C" w:rsidRPr="003B10E2">
        <w:rPr>
          <w:rFonts w:ascii="Times New Roman" w:hAnsi="Times New Roman"/>
          <w:color w:val="000000"/>
          <w:sz w:val="28"/>
          <w:szCs w:val="28"/>
        </w:rPr>
        <w:t>2</w:t>
      </w:r>
      <w:r w:rsidRPr="003B10E2">
        <w:rPr>
          <w:rFonts w:ascii="Times New Roman" w:hAnsi="Times New Roman"/>
          <w:color w:val="000000"/>
          <w:sz w:val="28"/>
          <w:szCs w:val="28"/>
        </w:rPr>
        <w:t xml:space="preserve">). </w:t>
      </w:r>
    </w:p>
    <w:p w14:paraId="4C1193C9" w14:textId="77777777" w:rsidR="00C8369A" w:rsidRPr="003B10E2" w:rsidRDefault="00C72198" w:rsidP="001B6E0F">
      <w:pPr>
        <w:spacing w:after="0" w:line="240" w:lineRule="auto"/>
        <w:jc w:val="center"/>
        <w:rPr>
          <w:rFonts w:ascii="Times New Roman" w:hAnsi="Times New Roman"/>
          <w:color w:val="FF0000"/>
          <w:sz w:val="28"/>
          <w:szCs w:val="28"/>
        </w:rPr>
      </w:pPr>
      <w:r w:rsidRPr="003B10E2">
        <w:rPr>
          <w:noProof/>
        </w:rPr>
        <w:drawing>
          <wp:inline distT="0" distB="0" distL="0" distR="0" wp14:anchorId="62DB3AB8" wp14:editId="0F689936">
            <wp:extent cx="5941060" cy="3208655"/>
            <wp:effectExtent l="0" t="0" r="0" b="0"/>
            <wp:docPr id="57" name="Рисунок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7"/>
                    <pic:cNvPicPr>
                      <a:picLocks/>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1060" cy="3208655"/>
                    </a:xfrm>
                    <a:prstGeom prst="rect">
                      <a:avLst/>
                    </a:prstGeom>
                    <a:noFill/>
                    <a:ln>
                      <a:noFill/>
                    </a:ln>
                  </pic:spPr>
                </pic:pic>
              </a:graphicData>
            </a:graphic>
          </wp:inline>
        </w:drawing>
      </w:r>
      <w:r w:rsidR="00C8369A" w:rsidRPr="003B10E2">
        <w:rPr>
          <w:rFonts w:ascii="Times New Roman" w:hAnsi="Times New Roman"/>
          <w:iCs/>
          <w:color w:val="000000"/>
          <w:sz w:val="24"/>
          <w:szCs w:val="24"/>
        </w:rPr>
        <w:t>Источник: Thomson Reuters.</w:t>
      </w:r>
    </w:p>
    <w:p w14:paraId="595F65C7" w14:textId="77777777" w:rsidR="00651284" w:rsidRPr="003B10E2" w:rsidRDefault="004D2D0A" w:rsidP="001B6E0F">
      <w:pPr>
        <w:spacing w:after="0" w:line="240" w:lineRule="auto"/>
        <w:jc w:val="center"/>
        <w:rPr>
          <w:rFonts w:ascii="Times New Roman" w:hAnsi="Times New Roman"/>
          <w:color w:val="000000"/>
          <w:sz w:val="24"/>
          <w:szCs w:val="24"/>
        </w:rPr>
      </w:pPr>
      <w:r w:rsidRPr="003B10E2">
        <w:rPr>
          <w:rFonts w:ascii="Times New Roman" w:hAnsi="Times New Roman"/>
          <w:iCs/>
          <w:color w:val="000000"/>
          <w:sz w:val="24"/>
          <w:szCs w:val="24"/>
        </w:rPr>
        <w:t xml:space="preserve">Рисунок </w:t>
      </w:r>
      <w:r w:rsidR="008B6285" w:rsidRPr="003B10E2">
        <w:rPr>
          <w:rFonts w:ascii="Times New Roman" w:hAnsi="Times New Roman"/>
          <w:iCs/>
          <w:color w:val="000000"/>
          <w:sz w:val="24"/>
          <w:szCs w:val="24"/>
        </w:rPr>
        <w:t>6</w:t>
      </w:r>
      <w:r w:rsidR="00DF25DE" w:rsidRPr="003B10E2">
        <w:rPr>
          <w:rFonts w:ascii="Times New Roman" w:hAnsi="Times New Roman"/>
          <w:iCs/>
          <w:color w:val="000000"/>
          <w:sz w:val="24"/>
          <w:szCs w:val="24"/>
        </w:rPr>
        <w:t>1</w:t>
      </w:r>
      <w:r w:rsidR="00651284" w:rsidRPr="003B10E2">
        <w:rPr>
          <w:rFonts w:ascii="Times New Roman" w:hAnsi="Times New Roman"/>
          <w:iCs/>
          <w:color w:val="000000"/>
          <w:sz w:val="24"/>
          <w:szCs w:val="24"/>
        </w:rPr>
        <w:t xml:space="preserve"> </w:t>
      </w:r>
      <w:r w:rsidR="00C8369A" w:rsidRPr="003B10E2">
        <w:rPr>
          <w:rFonts w:ascii="Times New Roman" w:hAnsi="Times New Roman"/>
          <w:iCs/>
          <w:color w:val="000000"/>
          <w:sz w:val="24"/>
          <w:szCs w:val="24"/>
        </w:rPr>
        <w:t xml:space="preserve">– </w:t>
      </w:r>
      <w:r w:rsidR="00651284" w:rsidRPr="003B10E2">
        <w:rPr>
          <w:rFonts w:ascii="Times New Roman" w:hAnsi="Times New Roman"/>
          <w:color w:val="000000"/>
          <w:sz w:val="24"/>
          <w:szCs w:val="24"/>
        </w:rPr>
        <w:t xml:space="preserve">Доля нерезидентов в объемах торгов на рынке облигаций </w:t>
      </w:r>
      <w:r w:rsidR="00C8369A" w:rsidRPr="003B10E2">
        <w:rPr>
          <w:rFonts w:ascii="Times New Roman" w:hAnsi="Times New Roman"/>
          <w:color w:val="000000"/>
          <w:sz w:val="24"/>
          <w:szCs w:val="24"/>
        </w:rPr>
        <w:t>на Московской бирже, %</w:t>
      </w:r>
    </w:p>
    <w:p w14:paraId="3BD06261" w14:textId="77777777" w:rsidR="001B6E0F" w:rsidRPr="003B10E2" w:rsidRDefault="001B6E0F" w:rsidP="001B6E0F">
      <w:pPr>
        <w:spacing w:after="0" w:line="240" w:lineRule="auto"/>
        <w:rPr>
          <w:rFonts w:ascii="Times New Roman" w:hAnsi="Times New Roman"/>
          <w:iCs/>
          <w:color w:val="000000"/>
          <w:sz w:val="24"/>
          <w:szCs w:val="24"/>
        </w:rPr>
      </w:pPr>
    </w:p>
    <w:p w14:paraId="445AE9F8" w14:textId="77777777" w:rsidR="00177D27" w:rsidRPr="003B10E2" w:rsidRDefault="00C72198" w:rsidP="00177D27">
      <w:pPr>
        <w:spacing w:after="0" w:line="240" w:lineRule="auto"/>
        <w:jc w:val="center"/>
        <w:rPr>
          <w:rFonts w:ascii="Times New Roman" w:hAnsi="Times New Roman"/>
          <w:iCs/>
          <w:color w:val="000000"/>
          <w:sz w:val="24"/>
          <w:szCs w:val="24"/>
        </w:rPr>
      </w:pPr>
      <w:r w:rsidRPr="003B10E2">
        <w:rPr>
          <w:noProof/>
        </w:rPr>
        <w:drawing>
          <wp:inline distT="0" distB="0" distL="0" distR="0" wp14:anchorId="3ACA6377" wp14:editId="0156A493">
            <wp:extent cx="5941060" cy="3635375"/>
            <wp:effectExtent l="0" t="0" r="0" b="0"/>
            <wp:docPr id="58" name="Рисунок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8"/>
                    <pic:cNvPicPr>
                      <a:picLocks/>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1060" cy="3635375"/>
                    </a:xfrm>
                    <a:prstGeom prst="rect">
                      <a:avLst/>
                    </a:prstGeom>
                    <a:noFill/>
                    <a:ln>
                      <a:noFill/>
                    </a:ln>
                  </pic:spPr>
                </pic:pic>
              </a:graphicData>
            </a:graphic>
          </wp:inline>
        </w:drawing>
      </w:r>
      <w:r w:rsidR="00177D27" w:rsidRPr="003B10E2">
        <w:rPr>
          <w:rFonts w:ascii="Times New Roman" w:hAnsi="Times New Roman"/>
          <w:iCs/>
          <w:color w:val="000000"/>
          <w:sz w:val="24"/>
          <w:szCs w:val="24"/>
        </w:rPr>
        <w:t>Источник: Thomson Reuters, Банк России.</w:t>
      </w:r>
    </w:p>
    <w:p w14:paraId="6ECEBAEA" w14:textId="77777777" w:rsidR="00651284" w:rsidRPr="003B10E2" w:rsidRDefault="004D2D0A" w:rsidP="00177D27">
      <w:pPr>
        <w:spacing w:after="0" w:line="240" w:lineRule="auto"/>
        <w:jc w:val="center"/>
        <w:rPr>
          <w:rFonts w:ascii="Times New Roman" w:hAnsi="Times New Roman"/>
          <w:iCs/>
          <w:color w:val="000000"/>
          <w:sz w:val="24"/>
          <w:szCs w:val="24"/>
        </w:rPr>
      </w:pPr>
      <w:r w:rsidRPr="003B10E2">
        <w:rPr>
          <w:rFonts w:ascii="Times New Roman" w:hAnsi="Times New Roman"/>
          <w:iCs/>
          <w:color w:val="000000"/>
          <w:sz w:val="24"/>
          <w:szCs w:val="24"/>
        </w:rPr>
        <w:t xml:space="preserve">Рисунок </w:t>
      </w:r>
      <w:r w:rsidR="008B6285" w:rsidRPr="003B10E2">
        <w:rPr>
          <w:rFonts w:ascii="Times New Roman" w:hAnsi="Times New Roman"/>
          <w:iCs/>
          <w:color w:val="000000"/>
          <w:sz w:val="24"/>
          <w:szCs w:val="24"/>
        </w:rPr>
        <w:t>6</w:t>
      </w:r>
      <w:r w:rsidR="0007473C" w:rsidRPr="003B10E2">
        <w:rPr>
          <w:rFonts w:ascii="Times New Roman" w:hAnsi="Times New Roman"/>
          <w:iCs/>
          <w:color w:val="000000"/>
          <w:sz w:val="24"/>
          <w:szCs w:val="24"/>
        </w:rPr>
        <w:t>2</w:t>
      </w:r>
      <w:r w:rsidR="00177D27" w:rsidRPr="003B10E2">
        <w:rPr>
          <w:rFonts w:ascii="Times New Roman" w:hAnsi="Times New Roman"/>
          <w:iCs/>
          <w:color w:val="000000"/>
          <w:sz w:val="24"/>
          <w:szCs w:val="24"/>
        </w:rPr>
        <w:t xml:space="preserve"> –</w:t>
      </w:r>
      <w:r w:rsidR="00651284" w:rsidRPr="003B10E2">
        <w:rPr>
          <w:rFonts w:ascii="Times New Roman" w:hAnsi="Times New Roman"/>
          <w:iCs/>
          <w:color w:val="000000"/>
          <w:sz w:val="24"/>
          <w:szCs w:val="24"/>
        </w:rPr>
        <w:t xml:space="preserve"> </w:t>
      </w:r>
      <w:r w:rsidR="00651284" w:rsidRPr="003B10E2">
        <w:rPr>
          <w:rFonts w:ascii="Times New Roman" w:hAnsi="Times New Roman"/>
          <w:color w:val="000000"/>
          <w:sz w:val="24"/>
          <w:szCs w:val="24"/>
        </w:rPr>
        <w:t xml:space="preserve">Доля нерезидентов в объеме </w:t>
      </w:r>
      <w:r w:rsidR="006248AA" w:rsidRPr="003B10E2">
        <w:rPr>
          <w:rFonts w:ascii="Times New Roman" w:hAnsi="Times New Roman"/>
          <w:color w:val="000000"/>
          <w:sz w:val="24"/>
          <w:szCs w:val="24"/>
        </w:rPr>
        <w:t xml:space="preserve">покупок новых </w:t>
      </w:r>
      <w:r w:rsidR="00651284" w:rsidRPr="003B10E2">
        <w:rPr>
          <w:rFonts w:ascii="Times New Roman" w:hAnsi="Times New Roman"/>
          <w:color w:val="000000"/>
          <w:sz w:val="24"/>
          <w:szCs w:val="24"/>
        </w:rPr>
        <w:t xml:space="preserve">выпусков облигаций </w:t>
      </w:r>
      <w:r w:rsidR="00177D27" w:rsidRPr="003B10E2">
        <w:rPr>
          <w:rFonts w:ascii="Times New Roman" w:hAnsi="Times New Roman"/>
          <w:color w:val="000000"/>
          <w:sz w:val="24"/>
          <w:szCs w:val="24"/>
        </w:rPr>
        <w:t>федерального займа, %</w:t>
      </w:r>
    </w:p>
    <w:p w14:paraId="0BE58B76" w14:textId="77777777" w:rsidR="00651284" w:rsidRPr="003B10E2" w:rsidRDefault="00651284" w:rsidP="00651284">
      <w:pPr>
        <w:spacing w:after="0" w:line="240" w:lineRule="auto"/>
        <w:ind w:firstLine="851"/>
        <w:jc w:val="center"/>
        <w:rPr>
          <w:rFonts w:ascii="Times New Roman" w:hAnsi="Times New Roman"/>
          <w:color w:val="000000"/>
          <w:sz w:val="24"/>
          <w:szCs w:val="24"/>
        </w:rPr>
      </w:pPr>
    </w:p>
    <w:p w14:paraId="0023E970" w14:textId="77777777" w:rsidR="00117B62" w:rsidRPr="003B10E2" w:rsidRDefault="00C72198" w:rsidP="00117B62">
      <w:pPr>
        <w:spacing w:after="0" w:line="360" w:lineRule="auto"/>
        <w:jc w:val="both"/>
        <w:rPr>
          <w:rFonts w:ascii="Times New Roman" w:eastAsia="Times New Roman" w:hAnsi="Times New Roman"/>
          <w:color w:val="000000"/>
          <w:sz w:val="28"/>
          <w:szCs w:val="26"/>
        </w:rPr>
      </w:pPr>
      <w:bookmarkStart w:id="196" w:name="_Hlk138268548"/>
      <w:r w:rsidRPr="003B10E2">
        <w:rPr>
          <w:noProof/>
        </w:rPr>
        <w:drawing>
          <wp:inline distT="0" distB="0" distL="0" distR="0" wp14:anchorId="73F454CB" wp14:editId="7F65F531">
            <wp:extent cx="5628640" cy="3201670"/>
            <wp:effectExtent l="0" t="0" r="0" b="0"/>
            <wp:docPr id="59"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7CBF30AC" w14:textId="77777777" w:rsidR="00117B62" w:rsidRPr="003B10E2" w:rsidRDefault="00117B62" w:rsidP="00117B62">
      <w:pPr>
        <w:spacing w:after="0" w:line="240" w:lineRule="auto"/>
        <w:ind w:firstLine="851"/>
        <w:jc w:val="center"/>
        <w:rPr>
          <w:rFonts w:ascii="Times New Roman" w:hAnsi="Times New Roman"/>
          <w:color w:val="000000"/>
          <w:sz w:val="24"/>
          <w:szCs w:val="24"/>
        </w:rPr>
      </w:pPr>
      <w:r w:rsidRPr="003B10E2">
        <w:rPr>
          <w:rFonts w:ascii="Times New Roman" w:hAnsi="Times New Roman"/>
          <w:bCs/>
          <w:color w:val="000000"/>
          <w:sz w:val="24"/>
          <w:szCs w:val="24"/>
        </w:rPr>
        <w:t>Источник: Thomson Reuters.</w:t>
      </w:r>
    </w:p>
    <w:p w14:paraId="4DBB1F29" w14:textId="77777777" w:rsidR="00117B62" w:rsidRPr="003B10E2" w:rsidRDefault="00117B62" w:rsidP="00117B62">
      <w:pPr>
        <w:spacing w:after="0" w:line="240" w:lineRule="auto"/>
        <w:ind w:firstLine="851"/>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8B6285" w:rsidRPr="003B10E2">
        <w:rPr>
          <w:rFonts w:ascii="Times New Roman" w:hAnsi="Times New Roman"/>
          <w:color w:val="000000"/>
          <w:sz w:val="24"/>
          <w:szCs w:val="24"/>
        </w:rPr>
        <w:t>6</w:t>
      </w:r>
      <w:r w:rsidR="0007473C" w:rsidRPr="003B10E2">
        <w:rPr>
          <w:rFonts w:ascii="Times New Roman" w:hAnsi="Times New Roman"/>
          <w:color w:val="000000"/>
          <w:sz w:val="24"/>
          <w:szCs w:val="24"/>
        </w:rPr>
        <w:t>3</w:t>
      </w:r>
      <w:r w:rsidRPr="003B10E2">
        <w:rPr>
          <w:rFonts w:ascii="Times New Roman" w:hAnsi="Times New Roman"/>
          <w:color w:val="000000"/>
          <w:sz w:val="24"/>
          <w:szCs w:val="24"/>
        </w:rPr>
        <w:t xml:space="preserve"> – Объемы торгов облигациями на Шанхайской фондовой бирже, 100 млн юаней.</w:t>
      </w:r>
    </w:p>
    <w:bookmarkEnd w:id="196"/>
    <w:p w14:paraId="1EA746AE" w14:textId="77777777" w:rsidR="00117B62" w:rsidRPr="003B10E2" w:rsidRDefault="00117B62" w:rsidP="00117B62">
      <w:pPr>
        <w:spacing w:after="0" w:line="240" w:lineRule="auto"/>
        <w:ind w:firstLine="851"/>
        <w:jc w:val="center"/>
        <w:rPr>
          <w:rFonts w:ascii="Times New Roman" w:hAnsi="Times New Roman"/>
          <w:bCs/>
          <w:color w:val="000000"/>
          <w:sz w:val="24"/>
          <w:szCs w:val="24"/>
        </w:rPr>
      </w:pPr>
    </w:p>
    <w:p w14:paraId="124F5270" w14:textId="77777777" w:rsidR="00117B62" w:rsidRPr="003B10E2" w:rsidRDefault="00117B62" w:rsidP="00117B62">
      <w:pPr>
        <w:spacing w:after="0" w:line="360" w:lineRule="auto"/>
        <w:ind w:firstLine="851"/>
        <w:jc w:val="both"/>
        <w:rPr>
          <w:rFonts w:ascii="Times New Roman" w:hAnsi="Times New Roman"/>
          <w:sz w:val="28"/>
          <w:szCs w:val="28"/>
        </w:rPr>
      </w:pPr>
      <w:r w:rsidRPr="003B10E2">
        <w:rPr>
          <w:rFonts w:ascii="Times New Roman" w:hAnsi="Times New Roman"/>
          <w:sz w:val="28"/>
          <w:szCs w:val="28"/>
        </w:rPr>
        <w:t xml:space="preserve">Спекулятивные инвесторы на китайском рынке породили пузырь, который лопнул в 2017 году. После чего объемы торгов облигациями вернулись на уровень 2008 года (рисунок </w:t>
      </w:r>
      <w:r w:rsidR="008B6285" w:rsidRPr="003B10E2">
        <w:rPr>
          <w:rFonts w:ascii="Times New Roman" w:hAnsi="Times New Roman"/>
          <w:sz w:val="28"/>
          <w:szCs w:val="28"/>
        </w:rPr>
        <w:t>6</w:t>
      </w:r>
      <w:r w:rsidR="0007473C" w:rsidRPr="003B10E2">
        <w:rPr>
          <w:rFonts w:ascii="Times New Roman" w:hAnsi="Times New Roman"/>
          <w:sz w:val="28"/>
          <w:szCs w:val="28"/>
        </w:rPr>
        <w:t>3</w:t>
      </w:r>
      <w:r w:rsidRPr="003B10E2">
        <w:rPr>
          <w:rFonts w:ascii="Times New Roman" w:hAnsi="Times New Roman"/>
          <w:sz w:val="28"/>
          <w:szCs w:val="28"/>
        </w:rPr>
        <w:t>).</w:t>
      </w:r>
    </w:p>
    <w:p w14:paraId="081A4245" w14:textId="77777777" w:rsidR="00117B62" w:rsidRPr="003B10E2" w:rsidRDefault="00117B62" w:rsidP="00651284">
      <w:pPr>
        <w:spacing w:after="0" w:line="240" w:lineRule="auto"/>
        <w:ind w:firstLine="851"/>
        <w:jc w:val="center"/>
        <w:rPr>
          <w:rFonts w:ascii="Times New Roman" w:hAnsi="Times New Roman"/>
          <w:color w:val="000000"/>
          <w:sz w:val="24"/>
          <w:szCs w:val="24"/>
        </w:rPr>
      </w:pPr>
    </w:p>
    <w:p w14:paraId="726D11A7" w14:textId="77777777" w:rsidR="00BD4CB0" w:rsidRPr="003B10E2" w:rsidRDefault="00BD4CB0" w:rsidP="00651284">
      <w:pPr>
        <w:spacing w:after="0" w:line="360" w:lineRule="auto"/>
        <w:ind w:firstLine="851"/>
        <w:jc w:val="both"/>
        <w:rPr>
          <w:rFonts w:ascii="Times New Roman" w:hAnsi="Times New Roman"/>
          <w:bCs/>
          <w:color w:val="000000"/>
          <w:sz w:val="28"/>
          <w:szCs w:val="28"/>
        </w:rPr>
      </w:pPr>
    </w:p>
    <w:p w14:paraId="5D4B2389" w14:textId="77777777" w:rsidR="00651284" w:rsidRPr="003B10E2" w:rsidRDefault="00651284" w:rsidP="00651284">
      <w:pPr>
        <w:spacing w:after="0" w:line="360" w:lineRule="auto"/>
        <w:ind w:firstLine="851"/>
        <w:jc w:val="both"/>
        <w:rPr>
          <w:bCs/>
        </w:rPr>
      </w:pPr>
      <w:r w:rsidRPr="003B10E2">
        <w:rPr>
          <w:rFonts w:ascii="Times New Roman" w:hAnsi="Times New Roman"/>
          <w:bCs/>
          <w:color w:val="000000"/>
          <w:sz w:val="28"/>
          <w:szCs w:val="28"/>
        </w:rPr>
        <w:t>2. Рост объемов торгов и новых размещений на рынке облигаций в период после мирового финансового кризиса 2008 г. и до валютного кризиса 2014 г.</w:t>
      </w:r>
    </w:p>
    <w:p w14:paraId="269F1FF4" w14:textId="77777777" w:rsidR="00651284" w:rsidRPr="003B10E2" w:rsidRDefault="00651284" w:rsidP="00651284">
      <w:pPr>
        <w:spacing w:after="0" w:line="360" w:lineRule="auto"/>
        <w:ind w:firstLine="851"/>
        <w:jc w:val="both"/>
        <w:rPr>
          <w:rFonts w:ascii="Times New Roman" w:hAnsi="Times New Roman"/>
          <w:sz w:val="28"/>
          <w:szCs w:val="28"/>
        </w:rPr>
      </w:pPr>
      <w:r w:rsidRPr="003B10E2">
        <w:rPr>
          <w:rFonts w:ascii="Times New Roman" w:hAnsi="Times New Roman"/>
          <w:color w:val="000000"/>
          <w:sz w:val="28"/>
          <w:szCs w:val="28"/>
        </w:rPr>
        <w:t xml:space="preserve">Структурные изменения, вызываемые ценовыми шоками и переносом волатильности, превратили в 2014 г. заимствования в виде эмиссии облигаций в основной источник финансирования крупных проектов на фоне антироссийских </w:t>
      </w:r>
      <w:r w:rsidR="004D2D0A" w:rsidRPr="003B10E2">
        <w:rPr>
          <w:rFonts w:ascii="Times New Roman" w:hAnsi="Times New Roman"/>
          <w:sz w:val="28"/>
          <w:szCs w:val="28"/>
        </w:rPr>
        <w:t xml:space="preserve">санкций (рисунок </w:t>
      </w:r>
      <w:r w:rsidR="008B6285" w:rsidRPr="003B10E2">
        <w:rPr>
          <w:rFonts w:ascii="Times New Roman" w:hAnsi="Times New Roman"/>
          <w:sz w:val="28"/>
          <w:szCs w:val="28"/>
        </w:rPr>
        <w:t>6</w:t>
      </w:r>
      <w:r w:rsidR="0007473C" w:rsidRPr="003B10E2">
        <w:rPr>
          <w:rFonts w:ascii="Times New Roman" w:hAnsi="Times New Roman"/>
          <w:sz w:val="28"/>
          <w:szCs w:val="28"/>
        </w:rPr>
        <w:t>4</w:t>
      </w:r>
      <w:r w:rsidR="002A2D89" w:rsidRPr="003B10E2">
        <w:rPr>
          <w:rFonts w:ascii="Times New Roman" w:hAnsi="Times New Roman"/>
          <w:sz w:val="28"/>
          <w:szCs w:val="28"/>
        </w:rPr>
        <w:t xml:space="preserve">, </w:t>
      </w:r>
      <w:r w:rsidR="008B6285" w:rsidRPr="003B10E2">
        <w:rPr>
          <w:rFonts w:ascii="Times New Roman" w:hAnsi="Times New Roman"/>
          <w:sz w:val="28"/>
          <w:szCs w:val="28"/>
        </w:rPr>
        <w:t>6</w:t>
      </w:r>
      <w:r w:rsidR="0007473C" w:rsidRPr="003B10E2">
        <w:rPr>
          <w:rFonts w:ascii="Times New Roman" w:hAnsi="Times New Roman"/>
          <w:sz w:val="28"/>
          <w:szCs w:val="28"/>
        </w:rPr>
        <w:t>5</w:t>
      </w:r>
      <w:r w:rsidRPr="003B10E2">
        <w:rPr>
          <w:rFonts w:ascii="Times New Roman" w:hAnsi="Times New Roman"/>
          <w:sz w:val="28"/>
          <w:szCs w:val="28"/>
        </w:rPr>
        <w:t xml:space="preserve">). </w:t>
      </w:r>
    </w:p>
    <w:p w14:paraId="41999DAC" w14:textId="77777777" w:rsidR="00DE402F" w:rsidRPr="003B10E2" w:rsidRDefault="00C72198" w:rsidP="004D2D0A">
      <w:pPr>
        <w:spacing w:after="0" w:line="240" w:lineRule="auto"/>
        <w:jc w:val="center"/>
        <w:rPr>
          <w:rFonts w:ascii="Times New Roman" w:hAnsi="Times New Roman"/>
          <w:color w:val="000000"/>
          <w:sz w:val="24"/>
          <w:szCs w:val="24"/>
        </w:rPr>
      </w:pPr>
      <w:r w:rsidRPr="003B10E2">
        <w:rPr>
          <w:rFonts w:ascii="Times New Roman" w:hAnsi="Times New Roman"/>
          <w:noProof/>
          <w:color w:val="000000"/>
          <w:sz w:val="24"/>
          <w:szCs w:val="24"/>
        </w:rPr>
        <w:drawing>
          <wp:inline distT="0" distB="0" distL="0" distR="0" wp14:anchorId="057C5184" wp14:editId="0D4FDA0C">
            <wp:extent cx="5974715" cy="3213100"/>
            <wp:effectExtent l="0" t="0" r="0" b="0"/>
            <wp:docPr id="927017204" name="Рисунок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9"/>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74715" cy="3213100"/>
                    </a:xfrm>
                    <a:prstGeom prst="rect">
                      <a:avLst/>
                    </a:prstGeom>
                    <a:noFill/>
                  </pic:spPr>
                </pic:pic>
              </a:graphicData>
            </a:graphic>
          </wp:inline>
        </w:drawing>
      </w:r>
    </w:p>
    <w:p w14:paraId="3D4294A5" w14:textId="77777777" w:rsidR="004D2D0A" w:rsidRPr="003B10E2" w:rsidRDefault="00177D27" w:rsidP="004D2D0A">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Источник: Thomson Reuters.</w:t>
      </w:r>
    </w:p>
    <w:p w14:paraId="3E4D4A85" w14:textId="77777777" w:rsidR="004D2D0A" w:rsidRPr="003B10E2" w:rsidRDefault="004D2D0A" w:rsidP="004D2D0A">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8B6285" w:rsidRPr="003B10E2">
        <w:rPr>
          <w:rFonts w:ascii="Times New Roman" w:hAnsi="Times New Roman"/>
          <w:color w:val="000000"/>
          <w:sz w:val="24"/>
          <w:szCs w:val="24"/>
        </w:rPr>
        <w:t>6</w:t>
      </w:r>
      <w:r w:rsidR="0007473C" w:rsidRPr="003B10E2">
        <w:rPr>
          <w:rFonts w:ascii="Times New Roman" w:hAnsi="Times New Roman"/>
          <w:color w:val="000000"/>
          <w:sz w:val="24"/>
          <w:szCs w:val="24"/>
        </w:rPr>
        <w:t>4</w:t>
      </w:r>
      <w:r w:rsidRPr="003B10E2">
        <w:rPr>
          <w:rFonts w:ascii="Times New Roman" w:hAnsi="Times New Roman"/>
          <w:color w:val="000000"/>
          <w:sz w:val="24"/>
          <w:szCs w:val="24"/>
        </w:rPr>
        <w:t xml:space="preserve"> – Объем долга на российском рынке облигаций, млрд. долл.</w:t>
      </w:r>
    </w:p>
    <w:p w14:paraId="36309C38" w14:textId="77777777" w:rsidR="002A2D89" w:rsidRPr="003B10E2" w:rsidRDefault="00C72198" w:rsidP="004D2D0A">
      <w:pPr>
        <w:spacing w:after="0" w:line="240" w:lineRule="auto"/>
        <w:jc w:val="center"/>
        <w:rPr>
          <w:rFonts w:ascii="Times New Roman" w:hAnsi="Times New Roman"/>
          <w:color w:val="FF0000"/>
          <w:sz w:val="24"/>
          <w:szCs w:val="24"/>
        </w:rPr>
      </w:pPr>
      <w:r w:rsidRPr="003B10E2">
        <w:rPr>
          <w:rFonts w:ascii="Times New Roman" w:hAnsi="Times New Roman"/>
          <w:noProof/>
          <w:color w:val="FF0000"/>
          <w:sz w:val="24"/>
          <w:szCs w:val="24"/>
        </w:rPr>
        <w:drawing>
          <wp:inline distT="0" distB="0" distL="0" distR="0" wp14:anchorId="4B6CAE77" wp14:editId="236DD63C">
            <wp:extent cx="5803900" cy="3127375"/>
            <wp:effectExtent l="0" t="0" r="0" b="0"/>
            <wp:docPr id="1995000234" name="Рисунок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0"/>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03900" cy="3127375"/>
                    </a:xfrm>
                    <a:prstGeom prst="rect">
                      <a:avLst/>
                    </a:prstGeom>
                    <a:noFill/>
                  </pic:spPr>
                </pic:pic>
              </a:graphicData>
            </a:graphic>
          </wp:inline>
        </w:drawing>
      </w:r>
    </w:p>
    <w:p w14:paraId="01E5EA43" w14:textId="77777777" w:rsidR="002A2D89" w:rsidRPr="003B10E2" w:rsidRDefault="002A2D89" w:rsidP="004D2D0A">
      <w:pPr>
        <w:spacing w:after="0" w:line="240" w:lineRule="auto"/>
        <w:jc w:val="center"/>
        <w:rPr>
          <w:rFonts w:ascii="Times New Roman" w:hAnsi="Times New Roman"/>
          <w:color w:val="FF0000"/>
          <w:sz w:val="24"/>
          <w:szCs w:val="24"/>
        </w:rPr>
      </w:pPr>
    </w:p>
    <w:p w14:paraId="6C58BE9D" w14:textId="77777777" w:rsidR="00651284" w:rsidRPr="003B10E2" w:rsidRDefault="00177D27" w:rsidP="004D2D0A">
      <w:pPr>
        <w:spacing w:after="0" w:line="240" w:lineRule="auto"/>
        <w:jc w:val="center"/>
        <w:rPr>
          <w:rFonts w:ascii="Times New Roman" w:hAnsi="Times New Roman"/>
          <w:color w:val="FF0000"/>
          <w:sz w:val="24"/>
          <w:szCs w:val="24"/>
        </w:rPr>
      </w:pPr>
      <w:r w:rsidRPr="003B10E2">
        <w:rPr>
          <w:rFonts w:ascii="Times New Roman" w:hAnsi="Times New Roman"/>
          <w:iCs/>
          <w:color w:val="000000"/>
          <w:sz w:val="24"/>
          <w:szCs w:val="24"/>
        </w:rPr>
        <w:t>Источник: Thomson Reuters.</w:t>
      </w:r>
    </w:p>
    <w:p w14:paraId="239588AC" w14:textId="77777777" w:rsidR="00651284" w:rsidRPr="003B10E2" w:rsidRDefault="004D2D0A" w:rsidP="00243FAC">
      <w:pPr>
        <w:spacing w:after="0" w:line="240" w:lineRule="auto"/>
        <w:jc w:val="center"/>
        <w:rPr>
          <w:rFonts w:ascii="Times New Roman" w:hAnsi="Times New Roman"/>
          <w:iCs/>
          <w:color w:val="000000"/>
          <w:sz w:val="24"/>
          <w:szCs w:val="24"/>
        </w:rPr>
      </w:pPr>
      <w:r w:rsidRPr="003B10E2">
        <w:rPr>
          <w:rFonts w:ascii="Times New Roman" w:hAnsi="Times New Roman"/>
          <w:iCs/>
          <w:color w:val="000000"/>
          <w:sz w:val="24"/>
          <w:szCs w:val="24"/>
        </w:rPr>
        <w:t xml:space="preserve">Рисунок </w:t>
      </w:r>
      <w:r w:rsidR="008B6285" w:rsidRPr="003B10E2">
        <w:rPr>
          <w:rFonts w:ascii="Times New Roman" w:hAnsi="Times New Roman"/>
          <w:iCs/>
          <w:color w:val="000000"/>
          <w:sz w:val="24"/>
          <w:szCs w:val="24"/>
        </w:rPr>
        <w:t>6</w:t>
      </w:r>
      <w:r w:rsidR="0007473C" w:rsidRPr="003B10E2">
        <w:rPr>
          <w:rFonts w:ascii="Times New Roman" w:hAnsi="Times New Roman"/>
          <w:iCs/>
          <w:color w:val="000000"/>
          <w:sz w:val="24"/>
          <w:szCs w:val="24"/>
        </w:rPr>
        <w:t>5</w:t>
      </w:r>
      <w:r w:rsidR="00177D27" w:rsidRPr="003B10E2">
        <w:rPr>
          <w:rFonts w:ascii="Times New Roman" w:hAnsi="Times New Roman"/>
          <w:iCs/>
          <w:color w:val="000000"/>
          <w:sz w:val="24"/>
          <w:szCs w:val="24"/>
        </w:rPr>
        <w:t xml:space="preserve"> –</w:t>
      </w:r>
      <w:r w:rsidR="00651284" w:rsidRPr="003B10E2">
        <w:rPr>
          <w:rFonts w:ascii="Times New Roman" w:hAnsi="Times New Roman"/>
          <w:color w:val="000000"/>
          <w:sz w:val="24"/>
          <w:szCs w:val="24"/>
        </w:rPr>
        <w:t xml:space="preserve"> Совокупный объем торгов облигациями на Московской бирже, млрд долл.</w:t>
      </w:r>
    </w:p>
    <w:p w14:paraId="3AA8EDCD" w14:textId="77777777" w:rsidR="002A2D89" w:rsidRPr="003B10E2" w:rsidRDefault="002A2D89" w:rsidP="00651284">
      <w:pPr>
        <w:spacing w:after="0" w:line="360" w:lineRule="auto"/>
        <w:ind w:firstLine="851"/>
        <w:jc w:val="both"/>
        <w:rPr>
          <w:rFonts w:ascii="Times New Roman" w:hAnsi="Times New Roman"/>
          <w:sz w:val="28"/>
          <w:szCs w:val="28"/>
        </w:rPr>
      </w:pPr>
    </w:p>
    <w:p w14:paraId="7DB7979A" w14:textId="77777777" w:rsidR="00651284" w:rsidRPr="003B10E2" w:rsidRDefault="00651284" w:rsidP="00651284">
      <w:pPr>
        <w:spacing w:after="0" w:line="360" w:lineRule="auto"/>
        <w:ind w:firstLine="851"/>
        <w:jc w:val="both"/>
        <w:rPr>
          <w:rFonts w:ascii="Times New Roman" w:hAnsi="Times New Roman"/>
          <w:sz w:val="28"/>
          <w:szCs w:val="28"/>
        </w:rPr>
      </w:pPr>
      <w:r w:rsidRPr="003B10E2">
        <w:rPr>
          <w:rFonts w:ascii="Times New Roman" w:hAnsi="Times New Roman"/>
          <w:sz w:val="28"/>
          <w:szCs w:val="28"/>
        </w:rPr>
        <w:t xml:space="preserve">Объем размещаемых рублевых облигаций в 2017-2020 гг. находился на </w:t>
      </w:r>
      <w:r w:rsidR="006248AA" w:rsidRPr="003B10E2">
        <w:rPr>
          <w:rFonts w:ascii="Times New Roman" w:hAnsi="Times New Roman"/>
          <w:sz w:val="28"/>
          <w:szCs w:val="28"/>
        </w:rPr>
        <w:t xml:space="preserve">стабильном </w:t>
      </w:r>
      <w:r w:rsidRPr="003B10E2">
        <w:rPr>
          <w:rFonts w:ascii="Times New Roman" w:hAnsi="Times New Roman"/>
          <w:sz w:val="28"/>
          <w:szCs w:val="28"/>
        </w:rPr>
        <w:t xml:space="preserve">уровне </w:t>
      </w:r>
      <w:r w:rsidR="004D2D0A" w:rsidRPr="003B10E2">
        <w:rPr>
          <w:rFonts w:ascii="Times New Roman" w:hAnsi="Times New Roman"/>
          <w:color w:val="000000"/>
          <w:sz w:val="28"/>
          <w:szCs w:val="28"/>
        </w:rPr>
        <w:t>(рисун</w:t>
      </w:r>
      <w:r w:rsidR="004E1575" w:rsidRPr="003B10E2">
        <w:rPr>
          <w:rFonts w:ascii="Times New Roman" w:hAnsi="Times New Roman"/>
          <w:color w:val="000000"/>
          <w:sz w:val="28"/>
          <w:szCs w:val="28"/>
        </w:rPr>
        <w:t>ок</w:t>
      </w:r>
      <w:r w:rsidR="004D2D0A" w:rsidRPr="003B10E2">
        <w:rPr>
          <w:rFonts w:ascii="Times New Roman" w:hAnsi="Times New Roman"/>
          <w:color w:val="000000"/>
          <w:sz w:val="28"/>
          <w:szCs w:val="28"/>
        </w:rPr>
        <w:t xml:space="preserve"> </w:t>
      </w:r>
      <w:r w:rsidR="008B6285" w:rsidRPr="003B10E2">
        <w:rPr>
          <w:rFonts w:ascii="Times New Roman" w:hAnsi="Times New Roman"/>
          <w:color w:val="000000"/>
          <w:sz w:val="28"/>
          <w:szCs w:val="28"/>
        </w:rPr>
        <w:t>6</w:t>
      </w:r>
      <w:r w:rsidR="0007473C" w:rsidRPr="003B10E2">
        <w:rPr>
          <w:rFonts w:ascii="Times New Roman" w:hAnsi="Times New Roman"/>
          <w:color w:val="000000"/>
          <w:sz w:val="28"/>
          <w:szCs w:val="28"/>
        </w:rPr>
        <w:t>5</w:t>
      </w:r>
      <w:r w:rsidRPr="003B10E2">
        <w:rPr>
          <w:rFonts w:ascii="Times New Roman" w:hAnsi="Times New Roman"/>
          <w:color w:val="000000"/>
          <w:sz w:val="28"/>
          <w:szCs w:val="28"/>
        </w:rPr>
        <w:t xml:space="preserve">). </w:t>
      </w:r>
      <w:r w:rsidRPr="003B10E2">
        <w:rPr>
          <w:rFonts w:ascii="Times New Roman" w:hAnsi="Times New Roman"/>
          <w:sz w:val="28"/>
          <w:szCs w:val="28"/>
        </w:rPr>
        <w:t xml:space="preserve">Шоки были связаны с потенциальными санкциями и экономическим кризисом, а также с падением цен на сырье. На графиках хорошо видно сжатие рынка в 2014-2016 гг. и его восстановление, видимо, с ростом опоры рынка на внутренние ресурсы при заметном участии нерезидентов. </w:t>
      </w:r>
    </w:p>
    <w:p w14:paraId="073FEFC0" w14:textId="77777777" w:rsidR="004D2D0A" w:rsidRPr="003B10E2" w:rsidRDefault="004D2D0A" w:rsidP="00651284">
      <w:pPr>
        <w:spacing w:after="0" w:line="360" w:lineRule="auto"/>
        <w:ind w:firstLine="851"/>
        <w:jc w:val="both"/>
        <w:rPr>
          <w:rFonts w:ascii="Times New Roman" w:hAnsi="Times New Roman"/>
          <w:sz w:val="28"/>
          <w:szCs w:val="28"/>
        </w:rPr>
      </w:pPr>
      <w:r w:rsidRPr="003B10E2">
        <w:rPr>
          <w:rFonts w:ascii="Times New Roman" w:hAnsi="Times New Roman"/>
          <w:color w:val="000000"/>
          <w:sz w:val="28"/>
          <w:szCs w:val="28"/>
        </w:rPr>
        <w:t>Волатильный рост внутреннего долгового рынка, испытывающий крупные колебания под воздействием внешних шоков (2008, 2014, 2020 гг.)</w:t>
      </w:r>
      <w:r w:rsidR="006248AA" w:rsidRPr="003B10E2">
        <w:rPr>
          <w:rFonts w:ascii="Times New Roman" w:hAnsi="Times New Roman"/>
          <w:color w:val="000000"/>
          <w:sz w:val="28"/>
          <w:szCs w:val="28"/>
        </w:rPr>
        <w:t xml:space="preserve"> был заметен.</w:t>
      </w:r>
      <w:r w:rsidR="006248AA" w:rsidRPr="003B10E2">
        <w:rPr>
          <w:noProof/>
        </w:rPr>
        <w:t xml:space="preserve"> </w:t>
      </w:r>
    </w:p>
    <w:p w14:paraId="3ADD5584" w14:textId="77777777" w:rsidR="008334DC" w:rsidRPr="003B10E2" w:rsidRDefault="00F276E9" w:rsidP="00645E91">
      <w:pPr>
        <w:spacing w:after="0" w:line="240" w:lineRule="auto"/>
        <w:jc w:val="center"/>
        <w:rPr>
          <w:rFonts w:ascii="Times New Roman" w:hAnsi="Times New Roman"/>
          <w:sz w:val="24"/>
          <w:szCs w:val="24"/>
        </w:rPr>
      </w:pPr>
      <w:bookmarkStart w:id="197" w:name="_Hlk138268853"/>
      <w:r w:rsidRPr="003B10E2">
        <w:rPr>
          <w:noProof/>
        </w:rPr>
      </w:r>
      <w:bookmarkStart w:id="198" w:name="_Hlk138268853"/>
      <w:r w:rsidR="003D16B6" w:rsidRPr="003B10E2">
        <w:rPr>
          <w:noProof/>
        </w:rPr>
        <w:object w:dxaOrig="8746" w:dyaOrig="5559" w14:anchorId="47C08ED1">
          <v:shape id="Диаграмма 12" o:spid="_x0000_i1037" type="#_x0000_t75" style="width:437.3pt;height:278.3pt;visibility:visible" o:ole="">
            <v:imagedata r:id="rId87" o:title=""/>
            <o:lock v:ext="edit" aspectratio="f"/>
          </v:shape>
          <o:OLEObject Type="Embed" ProgID="Excel.Sheet.8" ShapeID="Диаграмма 12" DrawAspect="Content" ObjectID="_1790070519" r:id="rId88">
            <o:FieldCodes>\s</o:FieldCodes>
          </o:OLEObject>
        </w:object>
      </w:r>
    </w:p>
    <w:p w14:paraId="58268EB4" w14:textId="77777777" w:rsidR="00651284" w:rsidRPr="003B10E2" w:rsidRDefault="00177D27" w:rsidP="00645E91">
      <w:pPr>
        <w:spacing w:after="0" w:line="240" w:lineRule="auto"/>
        <w:jc w:val="center"/>
        <w:rPr>
          <w:rFonts w:ascii="Times New Roman" w:hAnsi="Times New Roman"/>
          <w:color w:val="000000"/>
          <w:sz w:val="28"/>
          <w:szCs w:val="28"/>
        </w:rPr>
      </w:pPr>
      <w:r w:rsidRPr="003B10E2">
        <w:rPr>
          <w:rFonts w:ascii="Times New Roman" w:hAnsi="Times New Roman"/>
          <w:sz w:val="24"/>
          <w:szCs w:val="24"/>
        </w:rPr>
        <w:t>Источник: Thomson Reuters, Московская биржа.</w:t>
      </w:r>
    </w:p>
    <w:p w14:paraId="5A3D82DB" w14:textId="77777777" w:rsidR="0082133C" w:rsidRPr="003B10E2" w:rsidRDefault="0082133C" w:rsidP="0082133C">
      <w:pPr>
        <w:spacing w:after="0" w:line="240" w:lineRule="auto"/>
        <w:jc w:val="center"/>
        <w:rPr>
          <w:rFonts w:ascii="Times New Roman" w:hAnsi="Times New Roman"/>
          <w:bCs/>
          <w:color w:val="000000"/>
          <w:sz w:val="24"/>
          <w:szCs w:val="24"/>
        </w:rPr>
      </w:pPr>
      <w:r w:rsidRPr="003B10E2">
        <w:rPr>
          <w:rFonts w:ascii="Times New Roman" w:hAnsi="Times New Roman"/>
          <w:bCs/>
          <w:color w:val="000000"/>
          <w:sz w:val="24"/>
          <w:szCs w:val="24"/>
        </w:rPr>
        <w:t xml:space="preserve">Рисунок </w:t>
      </w:r>
      <w:r w:rsidR="008B6285" w:rsidRPr="003B10E2">
        <w:rPr>
          <w:rFonts w:ascii="Times New Roman" w:hAnsi="Times New Roman"/>
          <w:bCs/>
          <w:color w:val="000000"/>
          <w:sz w:val="24"/>
          <w:szCs w:val="24"/>
        </w:rPr>
        <w:t>6</w:t>
      </w:r>
      <w:r w:rsidR="0007473C" w:rsidRPr="003B10E2">
        <w:rPr>
          <w:rFonts w:ascii="Times New Roman" w:hAnsi="Times New Roman"/>
          <w:bCs/>
          <w:color w:val="000000"/>
          <w:sz w:val="24"/>
          <w:szCs w:val="24"/>
        </w:rPr>
        <w:t>6</w:t>
      </w:r>
      <w:r w:rsidRPr="003B10E2">
        <w:rPr>
          <w:rFonts w:ascii="Times New Roman" w:hAnsi="Times New Roman"/>
          <w:bCs/>
          <w:color w:val="000000"/>
          <w:sz w:val="24"/>
          <w:szCs w:val="24"/>
        </w:rPr>
        <w:t xml:space="preserve"> – Объем новых размещений на рублевом рынке российских облигаций в долларовом эквиваленте, млрд. долл.</w:t>
      </w:r>
    </w:p>
    <w:bookmarkEnd w:id="197"/>
    <w:p w14:paraId="04D1E1E1" w14:textId="77777777" w:rsidR="00177D27" w:rsidRPr="003B10E2" w:rsidRDefault="00177D27" w:rsidP="00651284">
      <w:pPr>
        <w:spacing w:after="0" w:line="360" w:lineRule="auto"/>
        <w:ind w:firstLine="851"/>
        <w:jc w:val="both"/>
        <w:rPr>
          <w:rFonts w:ascii="Times New Roman" w:hAnsi="Times New Roman"/>
          <w:b/>
          <w:bCs/>
          <w:color w:val="000000"/>
          <w:sz w:val="28"/>
          <w:szCs w:val="28"/>
        </w:rPr>
      </w:pPr>
    </w:p>
    <w:p w14:paraId="02D331CF" w14:textId="77777777" w:rsidR="00651284" w:rsidRPr="003B10E2" w:rsidRDefault="00651284" w:rsidP="00651284">
      <w:pPr>
        <w:spacing w:after="0" w:line="360" w:lineRule="auto"/>
        <w:ind w:firstLine="851"/>
        <w:jc w:val="both"/>
        <w:rPr>
          <w:bCs/>
        </w:rPr>
      </w:pPr>
      <w:r w:rsidRPr="003B10E2">
        <w:rPr>
          <w:rFonts w:ascii="Times New Roman" w:hAnsi="Times New Roman"/>
          <w:bCs/>
          <w:color w:val="000000"/>
          <w:sz w:val="28"/>
          <w:szCs w:val="28"/>
        </w:rPr>
        <w:t xml:space="preserve">3. Доля нерезидентов в объемах торгов росла до 2014 г., а с 2014 по 2020 гг. находилась на стабильном уровне. </w:t>
      </w:r>
    </w:p>
    <w:p w14:paraId="7B2A8718" w14:textId="77777777"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После кризиса 2008 года заметную роль на рынке стал играть сам Банк России и крупные банки с госучастием. Доля нерезидентов существенно не повыша</w:t>
      </w:r>
      <w:r w:rsidR="008334DC" w:rsidRPr="003B10E2">
        <w:rPr>
          <w:rFonts w:ascii="Times New Roman" w:hAnsi="Times New Roman"/>
          <w:color w:val="000000"/>
          <w:sz w:val="28"/>
          <w:szCs w:val="28"/>
        </w:rPr>
        <w:t>лась</w:t>
      </w:r>
      <w:r w:rsidRPr="003B10E2">
        <w:rPr>
          <w:rFonts w:ascii="Times New Roman" w:hAnsi="Times New Roman"/>
          <w:color w:val="000000"/>
          <w:sz w:val="28"/>
          <w:szCs w:val="28"/>
        </w:rPr>
        <w:t xml:space="preserve"> на фоне секторальных санкций, и составля</w:t>
      </w:r>
      <w:r w:rsidR="008334DC" w:rsidRPr="003B10E2">
        <w:rPr>
          <w:rFonts w:ascii="Times New Roman" w:hAnsi="Times New Roman"/>
          <w:color w:val="000000"/>
          <w:sz w:val="28"/>
          <w:szCs w:val="28"/>
        </w:rPr>
        <w:t>ла</w:t>
      </w:r>
      <w:r w:rsidRPr="003B10E2">
        <w:rPr>
          <w:rFonts w:ascii="Times New Roman" w:hAnsi="Times New Roman"/>
          <w:color w:val="000000"/>
          <w:sz w:val="28"/>
          <w:szCs w:val="28"/>
        </w:rPr>
        <w:t xml:space="preserve"> около 15 – 19%. </w:t>
      </w:r>
      <w:r w:rsidR="008334DC" w:rsidRPr="003B10E2">
        <w:rPr>
          <w:rFonts w:ascii="Times New Roman" w:hAnsi="Times New Roman"/>
          <w:color w:val="000000"/>
          <w:sz w:val="28"/>
          <w:szCs w:val="28"/>
        </w:rPr>
        <w:t>Р</w:t>
      </w:r>
      <w:r w:rsidRPr="003B10E2">
        <w:rPr>
          <w:rFonts w:ascii="Times New Roman" w:hAnsi="Times New Roman"/>
          <w:color w:val="000000"/>
          <w:sz w:val="28"/>
          <w:szCs w:val="28"/>
        </w:rPr>
        <w:t>ост доли инвесторов остановился в период 2014 – 2021 гг. При этом доля нерезидентов в объеме выпусков облигаций федерального займа выросла до 30 – 35%, несмотря на снижение доходности после</w:t>
      </w:r>
      <w:r w:rsidR="00645E91" w:rsidRPr="003B10E2">
        <w:rPr>
          <w:rFonts w:ascii="Times New Roman" w:hAnsi="Times New Roman"/>
          <w:color w:val="000000"/>
          <w:sz w:val="28"/>
          <w:szCs w:val="28"/>
        </w:rPr>
        <w:t xml:space="preserve"> 2014 г. (рисунок </w:t>
      </w:r>
      <w:r w:rsidR="0007473C" w:rsidRPr="003B10E2">
        <w:rPr>
          <w:rFonts w:ascii="Times New Roman" w:hAnsi="Times New Roman"/>
          <w:color w:val="000000"/>
          <w:sz w:val="28"/>
          <w:szCs w:val="28"/>
        </w:rPr>
        <w:t>66</w:t>
      </w:r>
      <w:r w:rsidRPr="003B10E2">
        <w:rPr>
          <w:rFonts w:ascii="Times New Roman" w:hAnsi="Times New Roman"/>
          <w:color w:val="000000"/>
          <w:sz w:val="28"/>
          <w:szCs w:val="28"/>
        </w:rPr>
        <w:t xml:space="preserve">). При этом доля нерезидентов на рынке корпоративных бумаг оставалась низкой в диапазоне 13 – 19%. </w:t>
      </w:r>
    </w:p>
    <w:p w14:paraId="298DAD11" w14:textId="77777777"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Стимулирующие меры центробанков в развитых странах [247, 249] привели к повышению уровня ликвидности и перенаправлению огромной доли кредитных средств на рынок облигаций. Кроме того,</w:t>
      </w:r>
      <w:r w:rsidRPr="003B10E2">
        <w:t xml:space="preserve"> </w:t>
      </w:r>
      <w:r w:rsidRPr="003B10E2">
        <w:rPr>
          <w:rFonts w:ascii="Times New Roman" w:hAnsi="Times New Roman"/>
          <w:color w:val="000000"/>
          <w:sz w:val="28"/>
          <w:szCs w:val="28"/>
        </w:rPr>
        <w:t>доля российских</w:t>
      </w:r>
      <w:r w:rsidR="00243FAC" w:rsidRPr="003B10E2">
        <w:rPr>
          <w:rFonts w:ascii="Times New Roman" w:hAnsi="Times New Roman"/>
          <w:color w:val="000000"/>
          <w:sz w:val="28"/>
          <w:szCs w:val="28"/>
        </w:rPr>
        <w:t xml:space="preserve"> </w:t>
      </w:r>
      <w:r w:rsidRPr="003B10E2">
        <w:rPr>
          <w:rFonts w:ascii="Times New Roman" w:hAnsi="Times New Roman"/>
          <w:color w:val="000000"/>
          <w:sz w:val="28"/>
          <w:szCs w:val="28"/>
        </w:rPr>
        <w:t>институциональных инвесторов в объеме торгов на рынке облигаций России начала расти после 2014 г. до 2</w:t>
      </w:r>
      <w:r w:rsidR="00645E91" w:rsidRPr="003B10E2">
        <w:rPr>
          <w:rFonts w:ascii="Times New Roman" w:hAnsi="Times New Roman"/>
          <w:color w:val="000000"/>
          <w:sz w:val="28"/>
          <w:szCs w:val="28"/>
        </w:rPr>
        <w:t xml:space="preserve">020 г. с 63 до 70% (рисунок </w:t>
      </w:r>
      <w:r w:rsidR="0007473C" w:rsidRPr="003B10E2">
        <w:rPr>
          <w:rFonts w:ascii="Times New Roman" w:hAnsi="Times New Roman"/>
          <w:color w:val="000000"/>
          <w:sz w:val="28"/>
          <w:szCs w:val="28"/>
        </w:rPr>
        <w:t>67</w:t>
      </w:r>
      <w:r w:rsidRPr="003B10E2">
        <w:rPr>
          <w:rFonts w:ascii="Times New Roman" w:hAnsi="Times New Roman"/>
          <w:color w:val="000000"/>
          <w:sz w:val="28"/>
          <w:szCs w:val="28"/>
        </w:rPr>
        <w:t>).</w:t>
      </w:r>
    </w:p>
    <w:p w14:paraId="3B352DA2" w14:textId="77777777" w:rsidR="00EA6951" w:rsidRPr="003B10E2" w:rsidRDefault="00EA6951" w:rsidP="00EA6951">
      <w:pPr>
        <w:spacing w:after="0" w:line="360" w:lineRule="auto"/>
        <w:jc w:val="both"/>
        <w:rPr>
          <w:rFonts w:ascii="Times New Roman" w:hAnsi="Times New Roman"/>
          <w:color w:val="000000"/>
          <w:sz w:val="28"/>
          <w:szCs w:val="28"/>
        </w:rPr>
      </w:pPr>
    </w:p>
    <w:p w14:paraId="02246C22" w14:textId="77777777" w:rsidR="00243FAC" w:rsidRPr="003B10E2" w:rsidRDefault="00C72198" w:rsidP="00DE402F">
      <w:pPr>
        <w:spacing w:after="0" w:line="360" w:lineRule="auto"/>
        <w:ind w:firstLine="851"/>
        <w:jc w:val="both"/>
        <w:rPr>
          <w:rFonts w:ascii="Times New Roman" w:hAnsi="Times New Roman"/>
          <w:color w:val="000000"/>
          <w:sz w:val="28"/>
          <w:szCs w:val="28"/>
        </w:rPr>
      </w:pPr>
      <w:r w:rsidRPr="003B10E2">
        <w:rPr>
          <w:rFonts w:ascii="Times New Roman" w:hAnsi="Times New Roman"/>
          <w:noProof/>
          <w:color w:val="000000"/>
          <w:sz w:val="28"/>
          <w:szCs w:val="28"/>
        </w:rPr>
        <w:drawing>
          <wp:inline distT="0" distB="0" distL="0" distR="0" wp14:anchorId="4133CBA8" wp14:editId="7B18BCCD">
            <wp:extent cx="5888990" cy="3091180"/>
            <wp:effectExtent l="0" t="0" r="0" b="0"/>
            <wp:docPr id="956413343" name="Рисунок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1"/>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88990" cy="3091180"/>
                    </a:xfrm>
                    <a:prstGeom prst="rect">
                      <a:avLst/>
                    </a:prstGeom>
                    <a:noFill/>
                  </pic:spPr>
                </pic:pic>
              </a:graphicData>
            </a:graphic>
          </wp:inline>
        </w:drawing>
      </w:r>
    </w:p>
    <w:p w14:paraId="4A550461" w14:textId="77777777" w:rsidR="00243FAC" w:rsidRPr="003B10E2" w:rsidRDefault="00243FAC" w:rsidP="00243FAC">
      <w:pPr>
        <w:spacing w:after="0" w:line="240" w:lineRule="auto"/>
        <w:contextualSpacing/>
        <w:jc w:val="center"/>
        <w:rPr>
          <w:rFonts w:ascii="Times New Roman" w:hAnsi="Times New Roman"/>
          <w:sz w:val="24"/>
          <w:szCs w:val="24"/>
        </w:rPr>
      </w:pPr>
      <w:r w:rsidRPr="003B10E2">
        <w:rPr>
          <w:rFonts w:ascii="Times New Roman" w:hAnsi="Times New Roman"/>
          <w:sz w:val="24"/>
          <w:szCs w:val="24"/>
        </w:rPr>
        <w:t xml:space="preserve"> Источник: Мосбиржа, Thomson Reuters</w:t>
      </w:r>
    </w:p>
    <w:p w14:paraId="3A95E7A4" w14:textId="77777777" w:rsidR="00243FAC" w:rsidRPr="003B10E2" w:rsidRDefault="00243FAC" w:rsidP="00243FAC">
      <w:pPr>
        <w:spacing w:after="0" w:line="240" w:lineRule="auto"/>
        <w:contextualSpacing/>
        <w:jc w:val="center"/>
        <w:rPr>
          <w:rFonts w:ascii="Times New Roman" w:hAnsi="Times New Roman"/>
          <w:sz w:val="24"/>
          <w:szCs w:val="24"/>
        </w:rPr>
      </w:pPr>
      <w:r w:rsidRPr="003B10E2">
        <w:rPr>
          <w:rFonts w:ascii="Times New Roman" w:hAnsi="Times New Roman"/>
          <w:sz w:val="24"/>
          <w:szCs w:val="24"/>
        </w:rPr>
        <w:t xml:space="preserve">Рисунок </w:t>
      </w:r>
      <w:r w:rsidR="0007473C" w:rsidRPr="003B10E2">
        <w:rPr>
          <w:rFonts w:ascii="Times New Roman" w:hAnsi="Times New Roman"/>
          <w:sz w:val="24"/>
          <w:szCs w:val="24"/>
        </w:rPr>
        <w:t>67</w:t>
      </w:r>
      <w:r w:rsidRPr="003B10E2">
        <w:rPr>
          <w:rFonts w:ascii="Times New Roman" w:hAnsi="Times New Roman"/>
          <w:sz w:val="24"/>
          <w:szCs w:val="24"/>
        </w:rPr>
        <w:t xml:space="preserve"> – Доля российских институциональных инвесторов в объеме торгов на рынке облигаций России, рассчитанная по методике Мосбиржи, %</w:t>
      </w:r>
    </w:p>
    <w:p w14:paraId="23E4465D" w14:textId="77777777" w:rsidR="00243FAC" w:rsidRPr="003B10E2" w:rsidRDefault="00243FAC" w:rsidP="00651284">
      <w:pPr>
        <w:spacing w:after="0" w:line="360" w:lineRule="auto"/>
        <w:ind w:firstLine="851"/>
        <w:jc w:val="both"/>
        <w:rPr>
          <w:rFonts w:ascii="Times New Roman" w:hAnsi="Times New Roman"/>
          <w:bCs/>
          <w:color w:val="000000"/>
          <w:sz w:val="28"/>
          <w:szCs w:val="28"/>
        </w:rPr>
      </w:pPr>
    </w:p>
    <w:p w14:paraId="076C11B7" w14:textId="77777777" w:rsidR="00243FAC" w:rsidRPr="003B10E2" w:rsidRDefault="008334DC" w:rsidP="00243FAC">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Р</w:t>
      </w:r>
      <w:r w:rsidR="00243FAC" w:rsidRPr="003B10E2">
        <w:rPr>
          <w:rFonts w:ascii="Times New Roman" w:hAnsi="Times New Roman"/>
          <w:color w:val="000000"/>
          <w:sz w:val="28"/>
          <w:szCs w:val="28"/>
        </w:rPr>
        <w:t>ост доли нерезидентов в объемах торгов до 2014 г. под воздействием внешних шоков (2008, 2014 гг.) также происходил за счет роста монетизации экономики России.</w:t>
      </w:r>
    </w:p>
    <w:p w14:paraId="57F0483C" w14:textId="77777777" w:rsidR="00651284" w:rsidRPr="003B10E2" w:rsidRDefault="00651284" w:rsidP="00651284">
      <w:pPr>
        <w:spacing w:after="0" w:line="360" w:lineRule="auto"/>
        <w:ind w:firstLine="851"/>
        <w:jc w:val="both"/>
        <w:rPr>
          <w:bCs/>
        </w:rPr>
      </w:pPr>
      <w:r w:rsidRPr="003B10E2">
        <w:rPr>
          <w:rFonts w:ascii="Times New Roman" w:hAnsi="Times New Roman"/>
          <w:bCs/>
          <w:color w:val="000000"/>
          <w:sz w:val="28"/>
          <w:szCs w:val="28"/>
        </w:rPr>
        <w:t>4. Снижение системных рисков рынка облигаций и как следствие доходностей по ОФЗ.</w:t>
      </w:r>
    </w:p>
    <w:p w14:paraId="38100CD3" w14:textId="77777777" w:rsidR="00651284" w:rsidRPr="003B10E2" w:rsidRDefault="00651284" w:rsidP="008671C0">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Доходность 15-летней ОФЗ росла в моменты шоков в 2009, </w:t>
      </w:r>
      <w:r w:rsidR="00645E91" w:rsidRPr="003B10E2">
        <w:rPr>
          <w:rFonts w:ascii="Times New Roman" w:hAnsi="Times New Roman"/>
          <w:color w:val="000000"/>
          <w:sz w:val="28"/>
          <w:szCs w:val="28"/>
        </w:rPr>
        <w:t>2015 и 2022 гг</w:t>
      </w:r>
      <w:r w:rsidRPr="003B10E2">
        <w:rPr>
          <w:rFonts w:ascii="Times New Roman" w:hAnsi="Times New Roman"/>
          <w:color w:val="000000"/>
          <w:sz w:val="28"/>
          <w:szCs w:val="28"/>
        </w:rPr>
        <w:t>. Наиболее важным каналом после 2014 г. стал канал риск-аппетита глобальных инвесторов, который особенно чувствителен к изменению системных рисков рынка облигаций. Рынок облигаций стал более совершенным с точки зрения инфраструктуры.</w:t>
      </w:r>
      <w:r w:rsidRPr="003B10E2">
        <w:rPr>
          <w:color w:val="000000"/>
        </w:rPr>
        <w:t xml:space="preserve"> </w:t>
      </w:r>
      <w:r w:rsidRPr="003B10E2">
        <w:rPr>
          <w:rFonts w:ascii="Times New Roman" w:hAnsi="Times New Roman"/>
          <w:color w:val="000000"/>
          <w:sz w:val="28"/>
          <w:szCs w:val="28"/>
        </w:rPr>
        <w:t xml:space="preserve">Позитивные данные Росстата о снижении инфляции, наблюдаемые с 2016 г., способствовали выходу портфеля ОФЗ Cbonds-GBI на позитивную реальную доходность. Основную роль в структуре ОФЗ играют ОФЗ с постоянным купоном, что позволяет инвесторам получать реальную положительную доходность к погашению. </w:t>
      </w:r>
    </w:p>
    <w:p w14:paraId="5AC8CB20" w14:textId="77777777" w:rsidR="00651284" w:rsidRPr="003B10E2" w:rsidRDefault="00651284" w:rsidP="008671C0">
      <w:pPr>
        <w:spacing w:after="0" w:line="360" w:lineRule="auto"/>
        <w:ind w:firstLine="851"/>
        <w:jc w:val="both"/>
        <w:rPr>
          <w:rFonts w:ascii="Times New Roman" w:hAnsi="Times New Roman"/>
          <w:iCs/>
          <w:color w:val="000000"/>
          <w:sz w:val="24"/>
          <w:szCs w:val="24"/>
        </w:rPr>
      </w:pPr>
      <w:r w:rsidRPr="003B10E2">
        <w:rPr>
          <w:rFonts w:ascii="Times New Roman" w:hAnsi="Times New Roman"/>
          <w:color w:val="000000"/>
          <w:sz w:val="28"/>
          <w:szCs w:val="28"/>
        </w:rPr>
        <w:t>Структурные изменения, вызванные шоком кризисов 2008 и 2014 гг., сделали рынок</w:t>
      </w:r>
      <w:r w:rsidR="008671C0" w:rsidRPr="003B10E2">
        <w:rPr>
          <w:rFonts w:ascii="Times New Roman" w:hAnsi="Times New Roman"/>
          <w:color w:val="000000"/>
          <w:sz w:val="28"/>
          <w:szCs w:val="28"/>
        </w:rPr>
        <w:t xml:space="preserve"> рублевого</w:t>
      </w:r>
      <w:r w:rsidRPr="003B10E2">
        <w:rPr>
          <w:rFonts w:ascii="Times New Roman" w:hAnsi="Times New Roman"/>
          <w:color w:val="000000"/>
          <w:sz w:val="28"/>
          <w:szCs w:val="28"/>
        </w:rPr>
        <w:t xml:space="preserve"> госдолга существенным источником для </w:t>
      </w:r>
      <w:r w:rsidR="008671C0" w:rsidRPr="003B10E2">
        <w:rPr>
          <w:rFonts w:ascii="Times New Roman" w:hAnsi="Times New Roman"/>
          <w:color w:val="000000"/>
          <w:sz w:val="28"/>
          <w:szCs w:val="28"/>
        </w:rPr>
        <w:t>госзамстований</w:t>
      </w:r>
      <w:r w:rsidRPr="003B10E2">
        <w:rPr>
          <w:rFonts w:ascii="Times New Roman" w:hAnsi="Times New Roman"/>
          <w:color w:val="000000"/>
          <w:sz w:val="28"/>
          <w:szCs w:val="28"/>
        </w:rPr>
        <w:t>. В то же время, как и рынок корпоративных облигаций, рынок ОФЗ представляет собой механизм для краткосрочных заимствований. Основная цель покупки — это возможность использования госбумаг в качестве залога</w:t>
      </w:r>
      <w:bookmarkEnd w:id="194"/>
      <w:r w:rsidR="00645E91" w:rsidRPr="003B10E2">
        <w:rPr>
          <w:rFonts w:ascii="Times New Roman" w:hAnsi="Times New Roman"/>
          <w:color w:val="000000"/>
          <w:sz w:val="28"/>
          <w:szCs w:val="28"/>
        </w:rPr>
        <w:t xml:space="preserve"> [10,11,12]. </w:t>
      </w:r>
      <w:r w:rsidRPr="003B10E2">
        <w:rPr>
          <w:rFonts w:ascii="Times New Roman" w:hAnsi="Times New Roman"/>
          <w:color w:val="000000"/>
          <w:sz w:val="28"/>
          <w:szCs w:val="28"/>
        </w:rPr>
        <w:t xml:space="preserve"> </w:t>
      </w:r>
    </w:p>
    <w:p w14:paraId="6425679C" w14:textId="77777777"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Ниже приведена теоретическая модель для прогнозирования временной структуры доходностей государственных облигаций для инвестора, который имеет оценки инфляционных ожиданий со стороны центрального банка и профессионального сообщества. Структурные изменения на рынке облигаций можно обнаружить с помощью модели кривых доходности ОФЗ. Эта модель не новая, впервые идея была описана в работах Бём-Баверка и Фишера в конце </w:t>
      </w:r>
      <w:r w:rsidR="00645E91" w:rsidRPr="003B10E2">
        <w:rPr>
          <w:rFonts w:ascii="Times New Roman" w:hAnsi="Times New Roman"/>
          <w:color w:val="000000"/>
          <w:sz w:val="28"/>
          <w:szCs w:val="28"/>
          <w:lang w:val="en-US"/>
        </w:rPr>
        <w:t>XIX</w:t>
      </w:r>
      <w:r w:rsidRPr="003B10E2">
        <w:rPr>
          <w:rFonts w:ascii="Times New Roman" w:hAnsi="Times New Roman"/>
          <w:color w:val="000000"/>
          <w:sz w:val="28"/>
          <w:szCs w:val="28"/>
        </w:rPr>
        <w:t xml:space="preserve"> века [231, 254]. Но данная модель удобна для демонстрации структурных сдвигов и является дополнительным пунктом новизны в рамках этой части диссертации.</w:t>
      </w:r>
    </w:p>
    <w:p w14:paraId="0A04B579" w14:textId="77777777"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Целесообразно рассматривать форму кривой бескупонной доходности как индикатор оценки шоков волатильности, а также текущего состояния структуры рынка ОФЗ и в целом долгов</w:t>
      </w:r>
      <w:r w:rsidR="00584C53" w:rsidRPr="003B10E2">
        <w:rPr>
          <w:rFonts w:ascii="Times New Roman" w:hAnsi="Times New Roman"/>
          <w:color w:val="000000"/>
          <w:sz w:val="28"/>
          <w:szCs w:val="28"/>
        </w:rPr>
        <w:t>ых</w:t>
      </w:r>
      <w:r w:rsidRPr="003B10E2">
        <w:rPr>
          <w:rFonts w:ascii="Times New Roman" w:hAnsi="Times New Roman"/>
          <w:color w:val="000000"/>
          <w:sz w:val="28"/>
          <w:szCs w:val="28"/>
        </w:rPr>
        <w:t xml:space="preserve"> рынк</w:t>
      </w:r>
      <w:r w:rsidR="00584C53" w:rsidRPr="003B10E2">
        <w:rPr>
          <w:rFonts w:ascii="Times New Roman" w:hAnsi="Times New Roman"/>
          <w:color w:val="000000"/>
          <w:sz w:val="28"/>
          <w:szCs w:val="28"/>
        </w:rPr>
        <w:t>ов</w:t>
      </w:r>
      <w:r w:rsidRPr="003B10E2">
        <w:rPr>
          <w:rFonts w:ascii="Times New Roman" w:hAnsi="Times New Roman"/>
          <w:color w:val="000000"/>
          <w:sz w:val="28"/>
          <w:szCs w:val="28"/>
        </w:rPr>
        <w:t xml:space="preserve"> России</w:t>
      </w:r>
      <w:r w:rsidR="00584C53" w:rsidRPr="003B10E2">
        <w:rPr>
          <w:rFonts w:ascii="Times New Roman" w:hAnsi="Times New Roman"/>
          <w:color w:val="000000"/>
          <w:sz w:val="28"/>
          <w:szCs w:val="28"/>
        </w:rPr>
        <w:t xml:space="preserve"> и Китая</w:t>
      </w:r>
      <w:r w:rsidRPr="003B10E2">
        <w:rPr>
          <w:rFonts w:ascii="Times New Roman" w:hAnsi="Times New Roman"/>
          <w:color w:val="000000"/>
          <w:sz w:val="28"/>
          <w:szCs w:val="28"/>
        </w:rPr>
        <w:t xml:space="preserve"> [53, 54].</w:t>
      </w:r>
    </w:p>
    <w:p w14:paraId="71B2A8B6" w14:textId="77777777"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Периоды повышенной дисперсии прогнозируемых ставок доходности совпадают с периодами макроэкономической нестабильности (1998, 2008, 2014 гг.) и характеризуются обострением недоверия институциональных инвесторов к использовавшимся ранее моделям.</w:t>
      </w:r>
    </w:p>
    <w:p w14:paraId="6DFF5270" w14:textId="77777777"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Эта модель обнаружила структурные изменения на рынке облигаций и изменения в поведении инвесторов в результате ценовых шоков в 2008, 2014 и 2020 гг. Результаты моделирования достаточно точны как для моделирования в будущем (обнаружение новых структурных изменений на рынке облигаций), так и для ретроспективного тестирования (обнаружение уже состоявшихся структурных изменений на рынке облигаций).</w:t>
      </w:r>
    </w:p>
    <w:p w14:paraId="770A8A7F" w14:textId="77777777" w:rsidR="00645E91" w:rsidRPr="003B10E2" w:rsidRDefault="00651284" w:rsidP="008B6285">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настоящее время существует несколько гипотез, описывающих временную структуру процентных ставок государственных облигаций. Наиболее ранняя основана на том, что долгосрочные процентные ставки формируются на основе ожиданий краткосрочных ставок [213]. Она получила название </w:t>
      </w:r>
      <w:r w:rsidRPr="003B10E2">
        <w:rPr>
          <w:rFonts w:ascii="Times New Roman" w:hAnsi="Times New Roman"/>
          <w:i/>
          <w:color w:val="000000"/>
          <w:sz w:val="28"/>
          <w:szCs w:val="28"/>
        </w:rPr>
        <w:t xml:space="preserve">гипотезы ожиданий. </w:t>
      </w:r>
      <w:r w:rsidRPr="003B10E2">
        <w:rPr>
          <w:rFonts w:ascii="Times New Roman" w:hAnsi="Times New Roman"/>
          <w:color w:val="000000"/>
          <w:sz w:val="28"/>
          <w:szCs w:val="28"/>
        </w:rPr>
        <w:t xml:space="preserve">Моделированию структуры кривой ставок по государственным облигациям на основе этой гипотезы посвящены фундаментальные работы [301-304]. Гипотеза предполагает, что премия за срок — это величина, равная для всех государственных облигаций с одинаковыми сроками до погашения. </w:t>
      </w:r>
    </w:p>
    <w:p w14:paraId="6A70150F" w14:textId="77777777"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Гипотеза ожиданий позволяет объяснять и прогнозировать изменение формы кривых бескупонной доходности государственных облигаций, исходя из трех предпосылок [267]: </w:t>
      </w:r>
    </w:p>
    <w:p w14:paraId="68E4C214" w14:textId="77777777" w:rsidR="00651284" w:rsidRPr="003B10E2" w:rsidRDefault="00EA6951" w:rsidP="00EA6951">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xml:space="preserve">- </w:t>
      </w:r>
      <w:r w:rsidR="00651284" w:rsidRPr="003B10E2">
        <w:rPr>
          <w:rFonts w:ascii="Times New Roman" w:hAnsi="Times New Roman"/>
          <w:color w:val="000000"/>
          <w:sz w:val="28"/>
          <w:szCs w:val="28"/>
        </w:rPr>
        <w:t xml:space="preserve">доходности облигаций с различными сроками до погашения изменяются однонаправленно; </w:t>
      </w:r>
    </w:p>
    <w:p w14:paraId="2AF66D1B" w14:textId="77777777" w:rsidR="00651284" w:rsidRPr="003B10E2" w:rsidRDefault="00EA6951" w:rsidP="00EA6951">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xml:space="preserve">- </w:t>
      </w:r>
      <w:r w:rsidR="00651284" w:rsidRPr="003B10E2">
        <w:rPr>
          <w:rFonts w:ascii="Times New Roman" w:hAnsi="Times New Roman"/>
          <w:color w:val="000000"/>
          <w:sz w:val="28"/>
          <w:szCs w:val="28"/>
        </w:rPr>
        <w:t xml:space="preserve">кривая доходности может иметь положительный наклон, если краткосрочные процентные ставки находятся ниже долгосрочных, и отрицательный наклон, когда краткосрочные процентные ставки находятся выше; </w:t>
      </w:r>
    </w:p>
    <w:p w14:paraId="4AC4779B" w14:textId="77777777" w:rsidR="00651284" w:rsidRPr="003B10E2" w:rsidRDefault="00EA6951" w:rsidP="00EA6951">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xml:space="preserve">- </w:t>
      </w:r>
      <w:r w:rsidR="00651284" w:rsidRPr="003B10E2">
        <w:rPr>
          <w:rFonts w:ascii="Times New Roman" w:hAnsi="Times New Roman"/>
          <w:color w:val="000000"/>
          <w:sz w:val="28"/>
          <w:szCs w:val="28"/>
        </w:rPr>
        <w:t xml:space="preserve">поскольку процентные ставки имеют склонность возвращаться к среднему значению премии, среднее значение краткосрочных процентных ставок должно иметь меньшую волатильность. </w:t>
      </w:r>
    </w:p>
    <w:p w14:paraId="6E2D4421" w14:textId="77777777" w:rsidR="00402449" w:rsidRPr="003B10E2" w:rsidRDefault="00651284" w:rsidP="008B6285">
      <w:pPr>
        <w:spacing w:after="0" w:line="360" w:lineRule="auto"/>
        <w:ind w:firstLine="851"/>
        <w:jc w:val="both"/>
        <w:rPr>
          <w:rFonts w:ascii="Times New Roman" w:hAnsi="Times New Roman"/>
          <w:color w:val="000000"/>
          <w:sz w:val="28"/>
          <w:szCs w:val="28"/>
        </w:rPr>
      </w:pPr>
      <w:r w:rsidRPr="003B10E2">
        <w:rPr>
          <w:rFonts w:ascii="Times New Roman" w:hAnsi="Times New Roman"/>
          <w:i/>
          <w:color w:val="000000"/>
          <w:sz w:val="28"/>
          <w:szCs w:val="28"/>
        </w:rPr>
        <w:t>Гипотеза предпочтения ликвидности</w:t>
      </w:r>
      <w:r w:rsidRPr="003B10E2">
        <w:rPr>
          <w:rFonts w:ascii="Times New Roman" w:hAnsi="Times New Roman"/>
          <w:color w:val="000000"/>
          <w:sz w:val="28"/>
          <w:szCs w:val="28"/>
        </w:rPr>
        <w:t xml:space="preserve"> предполагает, что процентная премия за срок постоянна во времени, но зависит от срока до погашения облигации</w:t>
      </w:r>
      <w:r w:rsidR="008B6285" w:rsidRPr="003B10E2">
        <w:rPr>
          <w:rFonts w:ascii="Times New Roman" w:hAnsi="Times New Roman"/>
          <w:color w:val="000000"/>
          <w:sz w:val="28"/>
          <w:szCs w:val="28"/>
        </w:rPr>
        <w:t>.</w:t>
      </w:r>
    </w:p>
    <w:p w14:paraId="599BA97C" w14:textId="77777777" w:rsidR="00402449" w:rsidRPr="003B10E2" w:rsidRDefault="00651284" w:rsidP="008B6285">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Можно рассматривать неопределенность инфляционных ожиданий как результат непонимания участниками рынка денежно-кредитной политики центробанка. Месячный прогноз инфляционных ожиданий профессионального сообщества можно использовать для моделирования инфляционной неопределенности [238]. </w:t>
      </w:r>
    </w:p>
    <w:p w14:paraId="43C1F1DB" w14:textId="77777777"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Структурные изменения, вызываемые ценовыми шоками и переносом волатильности, изменили инфляционные ожидания и крутизну кривой премии за инфляционную неопределенность. В стабильной экономической системе инфляционная премия имеет две составляющие: инфляционные ожидания (временная структура имеет отрицательный наклон) и инфляционный риск (временная структура имеет положительный наклон). В случае шоков в экономике премия за инфляционную неопределенность для долгосрочных облигаций меньше, чем для краткосрочных, что приводит к отрицательному наклону кривой временной структуры ставок. В состоянии равновесия неожиданный рост инфляционных ожиданий может привести к трем последствиям:</w:t>
      </w:r>
    </w:p>
    <w:p w14:paraId="02684969" w14:textId="77777777" w:rsidR="00651284" w:rsidRPr="003B10E2" w:rsidRDefault="00EA6951" w:rsidP="00EA6951">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xml:space="preserve">- </w:t>
      </w:r>
      <w:r w:rsidR="00651284" w:rsidRPr="003B10E2">
        <w:rPr>
          <w:rFonts w:ascii="Times New Roman" w:hAnsi="Times New Roman"/>
          <w:color w:val="000000"/>
          <w:sz w:val="28"/>
          <w:szCs w:val="28"/>
        </w:rPr>
        <w:t xml:space="preserve">неожиданному падению реальной номинальной стоимости облигаций; </w:t>
      </w:r>
    </w:p>
    <w:p w14:paraId="75D4F55E" w14:textId="77777777" w:rsidR="00651284" w:rsidRPr="003B10E2" w:rsidRDefault="00EA6951" w:rsidP="00EA6951">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xml:space="preserve">- </w:t>
      </w:r>
      <w:r w:rsidR="00651284" w:rsidRPr="003B10E2">
        <w:rPr>
          <w:rFonts w:ascii="Times New Roman" w:hAnsi="Times New Roman"/>
          <w:color w:val="000000"/>
          <w:sz w:val="28"/>
          <w:szCs w:val="28"/>
        </w:rPr>
        <w:t xml:space="preserve">снижению точности прогнозной модели инфляционных ожиданий; </w:t>
      </w:r>
    </w:p>
    <w:p w14:paraId="05D60826" w14:textId="77777777" w:rsidR="00651284" w:rsidRPr="003B10E2" w:rsidRDefault="00EA6951" w:rsidP="00EA6951">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xml:space="preserve">- </w:t>
      </w:r>
      <w:r w:rsidR="00651284" w:rsidRPr="003B10E2">
        <w:rPr>
          <w:rFonts w:ascii="Times New Roman" w:hAnsi="Times New Roman"/>
          <w:color w:val="000000"/>
          <w:sz w:val="28"/>
          <w:szCs w:val="28"/>
        </w:rPr>
        <w:t xml:space="preserve">пересмотру прогноза ожиданий роста потребления. </w:t>
      </w:r>
    </w:p>
    <w:p w14:paraId="7F033AB2" w14:textId="77777777"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Совокупность факторов (1) и (2) приводит к росту премии за инфляционный риск. В доходности облигаций федерального займа ОФЗ можно различить премию за инфляционные ожидания и премию за инфляционную неопределенность. </w:t>
      </w:r>
    </w:p>
    <w:p w14:paraId="39EFB4E7" w14:textId="77777777" w:rsidR="00651284" w:rsidRPr="003B10E2" w:rsidRDefault="00651284" w:rsidP="00651284">
      <w:pPr>
        <w:spacing w:after="0" w:line="360" w:lineRule="auto"/>
        <w:ind w:firstLine="851"/>
        <w:jc w:val="both"/>
        <w:rPr>
          <w:rFonts w:ascii="Times New Roman" w:hAnsi="Times New Roman"/>
          <w:color w:val="FF0000"/>
          <w:sz w:val="28"/>
          <w:szCs w:val="28"/>
        </w:rPr>
      </w:pPr>
      <w:r w:rsidRPr="003B10E2">
        <w:rPr>
          <w:rFonts w:ascii="Times New Roman" w:hAnsi="Times New Roman"/>
          <w:color w:val="000000"/>
          <w:sz w:val="28"/>
          <w:szCs w:val="28"/>
        </w:rPr>
        <w:t xml:space="preserve">Инфляционные ожидания основаны на информации Банка России и опросов профессионального сообщества. На среднесрочный горизонт прогнозирования инфляционные ожидания публикуются в информационных системах </w:t>
      </w:r>
      <w:r w:rsidRPr="003B10E2">
        <w:rPr>
          <w:rFonts w:ascii="Times New Roman" w:hAnsi="Times New Roman"/>
          <w:color w:val="000000"/>
          <w:sz w:val="28"/>
          <w:szCs w:val="28"/>
          <w:lang w:val="en-US"/>
        </w:rPr>
        <w:t>Reuters</w:t>
      </w:r>
      <w:r w:rsidRPr="003B10E2">
        <w:rPr>
          <w:rFonts w:ascii="Times New Roman" w:hAnsi="Times New Roman"/>
          <w:color w:val="000000"/>
          <w:sz w:val="28"/>
          <w:szCs w:val="28"/>
        </w:rPr>
        <w:t xml:space="preserve"> (команда </w:t>
      </w:r>
      <w:r w:rsidRPr="003B10E2">
        <w:rPr>
          <w:rFonts w:ascii="Times New Roman" w:hAnsi="Times New Roman"/>
          <w:color w:val="000000"/>
          <w:sz w:val="28"/>
          <w:szCs w:val="28"/>
          <w:lang w:val="en-US"/>
        </w:rPr>
        <w:t>POLLS</w:t>
      </w:r>
      <w:r w:rsidRPr="003B10E2">
        <w:rPr>
          <w:rFonts w:ascii="Times New Roman" w:hAnsi="Times New Roman"/>
          <w:color w:val="000000"/>
          <w:sz w:val="28"/>
          <w:szCs w:val="28"/>
        </w:rPr>
        <w:t>).</w:t>
      </w:r>
    </w:p>
    <w:p w14:paraId="3BFBCDAC" w14:textId="77777777"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Ответы участников консенсус-прогнозов относительно инфляционных ожиданий указывают на то, что временная структура дисперсии этих прогнозов совпадает с изменением временной структуры премии за инфляционную неопределенность [6,8,9]. </w:t>
      </w:r>
    </w:p>
    <w:p w14:paraId="460E0B76" w14:textId="77777777" w:rsidR="00651284" w:rsidRPr="003B10E2" w:rsidRDefault="00C72198" w:rsidP="00EA6951">
      <w:pPr>
        <w:spacing w:after="0" w:line="360" w:lineRule="auto"/>
        <w:ind w:firstLine="851"/>
        <w:jc w:val="both"/>
        <w:rPr>
          <w:rFonts w:ascii="Times New Roman" w:hAnsi="Times New Roman"/>
          <w:color w:val="000000"/>
          <w:sz w:val="28"/>
          <w:szCs w:val="28"/>
        </w:rPr>
      </w:pPr>
      <w:r w:rsidRPr="003B10E2">
        <w:rPr>
          <w:noProof/>
        </w:rPr>
        <w:drawing>
          <wp:anchor distT="0" distB="0" distL="114300" distR="114300" simplePos="0" relativeHeight="251641344" behindDoc="0" locked="0" layoutInCell="1" allowOverlap="1" wp14:anchorId="7F0FFD54" wp14:editId="23767F45">
            <wp:simplePos x="0" y="0"/>
            <wp:positionH relativeFrom="column">
              <wp:posOffset>15240</wp:posOffset>
            </wp:positionH>
            <wp:positionV relativeFrom="paragraph">
              <wp:posOffset>956945</wp:posOffset>
            </wp:positionV>
            <wp:extent cx="5962650" cy="3581400"/>
            <wp:effectExtent l="0" t="0" r="0" b="0"/>
            <wp:wrapTopAndBottom/>
            <wp:docPr id="111835485" name="Рисунок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27625" cy="307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1284" w:rsidRPr="003B10E2">
        <w:rPr>
          <w:rFonts w:ascii="Times New Roman" w:hAnsi="Times New Roman"/>
          <w:color w:val="000000"/>
          <w:sz w:val="28"/>
          <w:szCs w:val="28"/>
        </w:rPr>
        <w:t>Временная структура доходностей рынка ОФЗ до начала кризисных явлений, связанных с конфликтом на Украине и снижением цен на н</w:t>
      </w:r>
      <w:r w:rsidR="00402449" w:rsidRPr="003B10E2">
        <w:rPr>
          <w:rFonts w:ascii="Times New Roman" w:hAnsi="Times New Roman"/>
          <w:color w:val="000000"/>
          <w:sz w:val="28"/>
          <w:szCs w:val="28"/>
        </w:rPr>
        <w:t>ефть показана ниже (рисунок </w:t>
      </w:r>
      <w:r w:rsidR="0007473C" w:rsidRPr="003B10E2">
        <w:rPr>
          <w:rFonts w:ascii="Times New Roman" w:hAnsi="Times New Roman"/>
          <w:color w:val="000000"/>
          <w:sz w:val="28"/>
          <w:szCs w:val="28"/>
        </w:rPr>
        <w:t>68</w:t>
      </w:r>
      <w:r w:rsidR="00651284" w:rsidRPr="003B10E2">
        <w:rPr>
          <w:rFonts w:ascii="Times New Roman" w:hAnsi="Times New Roman"/>
          <w:color w:val="000000"/>
          <w:sz w:val="28"/>
          <w:szCs w:val="28"/>
        </w:rPr>
        <w:t xml:space="preserve">, формула 2.10). </w:t>
      </w:r>
      <w:r w:rsidR="0009290D" w:rsidRPr="003B10E2" w:rsidDel="0009290D">
        <w:rPr>
          <w:rFonts w:ascii="Times New Roman" w:hAnsi="Times New Roman"/>
          <w:color w:val="000000"/>
          <w:sz w:val="28"/>
          <w:szCs w:val="28"/>
        </w:rPr>
        <w:t xml:space="preserve"> </w:t>
      </w:r>
      <w:r w:rsidR="00EA6951" w:rsidRPr="003B10E2">
        <w:rPr>
          <w:rFonts w:ascii="Times New Roman" w:hAnsi="Times New Roman"/>
          <w:color w:val="000000"/>
          <w:sz w:val="28"/>
          <w:szCs w:val="28"/>
        </w:rPr>
        <w:t xml:space="preserve">[10,11,12]. </w:t>
      </w:r>
    </w:p>
    <w:p w14:paraId="23DA8EC0" w14:textId="77777777" w:rsidR="00651284" w:rsidRPr="003B10E2" w:rsidRDefault="00EA6951" w:rsidP="00EA6951">
      <w:pPr>
        <w:spacing w:after="0" w:line="240" w:lineRule="auto"/>
        <w:ind w:firstLine="851"/>
        <w:contextualSpacing/>
        <w:jc w:val="center"/>
        <w:rPr>
          <w:rFonts w:ascii="Times New Roman" w:hAnsi="Times New Roman"/>
          <w:color w:val="000000"/>
          <w:sz w:val="24"/>
          <w:szCs w:val="24"/>
        </w:rPr>
      </w:pPr>
      <w:r w:rsidRPr="003B10E2">
        <w:rPr>
          <w:rFonts w:ascii="Times New Roman" w:hAnsi="Times New Roman"/>
          <w:color w:val="000000"/>
          <w:sz w:val="24"/>
          <w:szCs w:val="24"/>
        </w:rPr>
        <w:t>Источник: составлено автором по данным Московской биржи, Банка России [23].</w:t>
      </w:r>
    </w:p>
    <w:p w14:paraId="12A33046" w14:textId="77777777" w:rsidR="00651284" w:rsidRPr="003B10E2" w:rsidRDefault="00402449" w:rsidP="00243FAC">
      <w:pPr>
        <w:spacing w:after="0" w:line="240" w:lineRule="auto"/>
        <w:ind w:firstLine="851"/>
        <w:contextualSpacing/>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07473C" w:rsidRPr="003B10E2">
        <w:rPr>
          <w:rFonts w:ascii="Times New Roman" w:hAnsi="Times New Roman"/>
          <w:color w:val="000000"/>
          <w:sz w:val="24"/>
          <w:szCs w:val="24"/>
        </w:rPr>
        <w:t>68</w:t>
      </w:r>
      <w:r w:rsidR="00651284" w:rsidRPr="003B10E2">
        <w:rPr>
          <w:rFonts w:ascii="Times New Roman" w:hAnsi="Times New Roman"/>
          <w:color w:val="000000"/>
          <w:sz w:val="24"/>
          <w:szCs w:val="24"/>
        </w:rPr>
        <w:t xml:space="preserve"> </w:t>
      </w:r>
      <w:r w:rsidR="00EA6951" w:rsidRPr="003B10E2">
        <w:rPr>
          <w:rFonts w:ascii="Times New Roman" w:hAnsi="Times New Roman"/>
          <w:color w:val="000000"/>
          <w:sz w:val="24"/>
          <w:szCs w:val="24"/>
        </w:rPr>
        <w:t xml:space="preserve">– </w:t>
      </w:r>
      <w:r w:rsidR="00651284" w:rsidRPr="003B10E2">
        <w:rPr>
          <w:rFonts w:ascii="Times New Roman" w:hAnsi="Times New Roman"/>
          <w:color w:val="000000"/>
          <w:sz w:val="24"/>
          <w:szCs w:val="24"/>
        </w:rPr>
        <w:t>Прогноз бескупонной доходности российского рынка государственных облигаций, кривая ставок ОФЗ, инфляционные ожидания и инфляционная неопределенн</w:t>
      </w:r>
      <w:r w:rsidRPr="003B10E2">
        <w:rPr>
          <w:rFonts w:ascii="Times New Roman" w:hAnsi="Times New Roman"/>
          <w:color w:val="000000"/>
          <w:sz w:val="24"/>
          <w:szCs w:val="24"/>
        </w:rPr>
        <w:t>ость по состоянию на 13.02.2014</w:t>
      </w:r>
    </w:p>
    <w:p w14:paraId="197F9CB6" w14:textId="77777777" w:rsidR="004E1575" w:rsidRPr="003B10E2" w:rsidRDefault="004E1575" w:rsidP="00243FAC">
      <w:pPr>
        <w:spacing w:after="0" w:line="240" w:lineRule="auto"/>
        <w:ind w:firstLine="851"/>
        <w:contextualSpacing/>
        <w:jc w:val="center"/>
        <w:rPr>
          <w:rFonts w:ascii="Times New Roman" w:hAnsi="Times New Roman"/>
          <w:color w:val="000000"/>
          <w:sz w:val="24"/>
          <w:szCs w:val="24"/>
        </w:rPr>
      </w:pPr>
    </w:p>
    <w:p w14:paraId="4FABBD32" w14:textId="77777777" w:rsidR="006E3123" w:rsidRPr="003B10E2" w:rsidRDefault="00651284" w:rsidP="00243FAC">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Периоды повышенной дисперсии прогнозируемых ставок доходности совпадают с периодами макроэкономической нестабильности (1998, 2008, 2014 гг.) [8,13]. Инфляционные ожидания обычно достигают пика неопределенности в нача</w:t>
      </w:r>
      <w:r w:rsidR="00402449" w:rsidRPr="003B10E2">
        <w:rPr>
          <w:rFonts w:ascii="Times New Roman" w:hAnsi="Times New Roman"/>
          <w:color w:val="000000"/>
          <w:sz w:val="28"/>
          <w:szCs w:val="28"/>
        </w:rPr>
        <w:t>ле рецессии [9,14] (рисунок </w:t>
      </w:r>
      <w:r w:rsidR="0007473C" w:rsidRPr="003B10E2">
        <w:rPr>
          <w:rFonts w:ascii="Times New Roman" w:hAnsi="Times New Roman"/>
          <w:color w:val="000000"/>
          <w:sz w:val="28"/>
          <w:szCs w:val="28"/>
        </w:rPr>
        <w:t>69</w:t>
      </w:r>
      <w:r w:rsidRPr="003B10E2">
        <w:rPr>
          <w:rFonts w:ascii="Times New Roman" w:hAnsi="Times New Roman"/>
          <w:color w:val="000000"/>
          <w:sz w:val="28"/>
          <w:szCs w:val="28"/>
        </w:rPr>
        <w:t>), где изображен отрицательный наклон кривой бескупонной доходности 17.12.2014 из-за резкого снижения курса рубля.</w:t>
      </w:r>
      <w:r w:rsidR="00243FAC" w:rsidRPr="003B10E2">
        <w:rPr>
          <w:rFonts w:ascii="Times New Roman" w:hAnsi="Times New Roman"/>
          <w:color w:val="000000"/>
          <w:sz w:val="28"/>
          <w:szCs w:val="28"/>
        </w:rPr>
        <w:t xml:space="preserve"> </w:t>
      </w:r>
    </w:p>
    <w:p w14:paraId="0A860128" w14:textId="77777777" w:rsidR="00651284" w:rsidRPr="003B10E2" w:rsidRDefault="00C72198" w:rsidP="00402449">
      <w:pPr>
        <w:spacing w:after="0" w:line="240" w:lineRule="auto"/>
        <w:contextualSpacing/>
        <w:jc w:val="center"/>
        <w:rPr>
          <w:rFonts w:ascii="Times New Roman" w:hAnsi="Times New Roman"/>
          <w:color w:val="000000"/>
          <w:sz w:val="24"/>
          <w:szCs w:val="24"/>
        </w:rPr>
      </w:pPr>
      <w:r w:rsidRPr="003B10E2">
        <w:rPr>
          <w:noProof/>
        </w:rPr>
        <w:drawing>
          <wp:anchor distT="0" distB="0" distL="114300" distR="114300" simplePos="0" relativeHeight="251642368" behindDoc="0" locked="0" layoutInCell="1" allowOverlap="1" wp14:anchorId="13FD485F" wp14:editId="76CE10DE">
            <wp:simplePos x="0" y="0"/>
            <wp:positionH relativeFrom="column">
              <wp:posOffset>43180</wp:posOffset>
            </wp:positionH>
            <wp:positionV relativeFrom="paragraph">
              <wp:posOffset>52070</wp:posOffset>
            </wp:positionV>
            <wp:extent cx="5934075" cy="3352800"/>
            <wp:effectExtent l="0" t="0" r="0" b="0"/>
            <wp:wrapTopAndBottom/>
            <wp:docPr id="12" name="Рисунок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02860" cy="288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3123" w:rsidRPr="003B10E2">
        <w:rPr>
          <w:rFonts w:ascii="Times New Roman" w:hAnsi="Times New Roman"/>
          <w:color w:val="000000"/>
          <w:sz w:val="24"/>
          <w:szCs w:val="24"/>
        </w:rPr>
        <w:t>Источник: составлено автором по данным Московской биржи, Банка России [23].</w:t>
      </w:r>
      <w:r w:rsidR="00651284" w:rsidRPr="003B10E2">
        <w:rPr>
          <w:rFonts w:ascii="Times New Roman" w:hAnsi="Times New Roman"/>
          <w:color w:val="000000"/>
          <w:sz w:val="24"/>
          <w:szCs w:val="24"/>
        </w:rPr>
        <w:br w:type="textWrapping" w:clear="all"/>
        <w:t xml:space="preserve">Рисунок </w:t>
      </w:r>
      <w:r w:rsidR="0007473C" w:rsidRPr="003B10E2">
        <w:rPr>
          <w:rFonts w:ascii="Times New Roman" w:hAnsi="Times New Roman"/>
          <w:color w:val="000000"/>
          <w:sz w:val="24"/>
          <w:szCs w:val="24"/>
        </w:rPr>
        <w:t>69</w:t>
      </w:r>
      <w:r w:rsidR="00651284" w:rsidRPr="003B10E2">
        <w:rPr>
          <w:rFonts w:ascii="Times New Roman" w:hAnsi="Times New Roman"/>
          <w:color w:val="000000"/>
          <w:sz w:val="24"/>
          <w:szCs w:val="24"/>
        </w:rPr>
        <w:t xml:space="preserve"> </w:t>
      </w:r>
      <w:r w:rsidR="006E3123" w:rsidRPr="003B10E2">
        <w:rPr>
          <w:rFonts w:ascii="Times New Roman" w:hAnsi="Times New Roman"/>
          <w:color w:val="000000"/>
          <w:sz w:val="24"/>
          <w:szCs w:val="24"/>
        </w:rPr>
        <w:t xml:space="preserve">– </w:t>
      </w:r>
      <w:r w:rsidR="00651284" w:rsidRPr="003B10E2">
        <w:rPr>
          <w:rFonts w:ascii="Times New Roman" w:hAnsi="Times New Roman"/>
          <w:color w:val="000000"/>
          <w:sz w:val="24"/>
          <w:szCs w:val="24"/>
        </w:rPr>
        <w:t>Прогноз бескупонной доходности российского рынка государственных облигаций, кривая ставок ОФЗ, инфляционные ожидания и инфляционная неопределенность по состоянию на 17.12.2014</w:t>
      </w:r>
    </w:p>
    <w:p w14:paraId="51E714C7" w14:textId="77777777" w:rsidR="00651284" w:rsidRPr="003B10E2" w:rsidRDefault="00651284" w:rsidP="00651284">
      <w:pPr>
        <w:spacing w:after="0" w:line="360" w:lineRule="auto"/>
        <w:ind w:firstLine="851"/>
        <w:jc w:val="both"/>
        <w:rPr>
          <w:rFonts w:ascii="Times New Roman" w:hAnsi="Times New Roman"/>
          <w:color w:val="000000"/>
          <w:sz w:val="28"/>
          <w:szCs w:val="28"/>
        </w:rPr>
      </w:pPr>
    </w:p>
    <w:p w14:paraId="2914E771" w14:textId="77777777" w:rsidR="00651284" w:rsidRPr="003B10E2" w:rsidRDefault="008671C0"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Инфляционная неопределенность – это риск колебаний значений инфляции [</w:t>
      </w:r>
      <w:r w:rsidR="002A2D89" w:rsidRPr="003B10E2">
        <w:rPr>
          <w:rFonts w:ascii="Times New Roman" w:hAnsi="Times New Roman"/>
          <w:color w:val="000000"/>
          <w:sz w:val="28"/>
          <w:szCs w:val="28"/>
        </w:rPr>
        <w:t>29</w:t>
      </w:r>
      <w:r w:rsidRPr="003B10E2">
        <w:rPr>
          <w:rFonts w:ascii="Times New Roman" w:hAnsi="Times New Roman"/>
          <w:color w:val="000000"/>
          <w:sz w:val="28"/>
          <w:szCs w:val="28"/>
        </w:rPr>
        <w:t xml:space="preserve">]. </w:t>
      </w:r>
      <w:r w:rsidR="00651284" w:rsidRPr="003B10E2">
        <w:rPr>
          <w:rFonts w:ascii="Times New Roman" w:hAnsi="Times New Roman"/>
          <w:color w:val="000000"/>
          <w:sz w:val="28"/>
          <w:szCs w:val="28"/>
        </w:rPr>
        <w:t>Если посмотреть, как происходило изменение кривой доходности ОФЗ после некоторой стабилизации курса российского рубля в феврале 2015</w:t>
      </w:r>
      <w:r w:rsidR="00651284" w:rsidRPr="003B10E2">
        <w:rPr>
          <w:rFonts w:ascii="Times New Roman" w:hAnsi="Times New Roman"/>
          <w:color w:val="000000"/>
          <w:sz w:val="28"/>
          <w:szCs w:val="28"/>
          <w:lang w:val="en-US"/>
        </w:rPr>
        <w:t> </w:t>
      </w:r>
      <w:r w:rsidR="00651284" w:rsidRPr="003B10E2">
        <w:rPr>
          <w:rFonts w:ascii="Times New Roman" w:hAnsi="Times New Roman"/>
          <w:color w:val="000000"/>
          <w:sz w:val="28"/>
          <w:szCs w:val="28"/>
        </w:rPr>
        <w:t xml:space="preserve">г., то заметен эффект снижения риска инфляционной неопределенности после начала периода снижения ключевой ставки Банка России [31]. </w:t>
      </w:r>
    </w:p>
    <w:p w14:paraId="21FFA907" w14:textId="77777777" w:rsidR="00651284" w:rsidRPr="003B10E2" w:rsidRDefault="00C72198" w:rsidP="00651284">
      <w:pPr>
        <w:spacing w:after="0" w:line="360" w:lineRule="auto"/>
        <w:ind w:firstLine="708"/>
        <w:jc w:val="both"/>
        <w:rPr>
          <w:rFonts w:ascii="Times New Roman" w:hAnsi="Times New Roman"/>
          <w:sz w:val="28"/>
          <w:szCs w:val="28"/>
        </w:rPr>
      </w:pPr>
      <w:r w:rsidRPr="003B10E2">
        <w:rPr>
          <w:noProof/>
        </w:rPr>
        <w:drawing>
          <wp:anchor distT="0" distB="0" distL="114300" distR="114300" simplePos="0" relativeHeight="251643392" behindDoc="0" locked="0" layoutInCell="1" allowOverlap="1" wp14:anchorId="5A6A02DE" wp14:editId="2FFCDFFB">
            <wp:simplePos x="0" y="0"/>
            <wp:positionH relativeFrom="column">
              <wp:posOffset>34290</wp:posOffset>
            </wp:positionH>
            <wp:positionV relativeFrom="paragraph">
              <wp:posOffset>427990</wp:posOffset>
            </wp:positionV>
            <wp:extent cx="5943600" cy="3333750"/>
            <wp:effectExtent l="0" t="0" r="0" b="0"/>
            <wp:wrapTopAndBottom/>
            <wp:docPr id="11" name="Рисунок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111115" cy="2867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043640" w14:textId="77777777" w:rsidR="00651284" w:rsidRPr="003B10E2" w:rsidRDefault="006E3123" w:rsidP="00402449">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Источник: составлено автором по данным Московской биржи, Банка России [23].</w:t>
      </w:r>
    </w:p>
    <w:p w14:paraId="04A224BF" w14:textId="77777777" w:rsidR="00651284" w:rsidRPr="003B10E2" w:rsidRDefault="00402449" w:rsidP="00402449">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8B6285" w:rsidRPr="003B10E2">
        <w:rPr>
          <w:rFonts w:ascii="Times New Roman" w:hAnsi="Times New Roman"/>
          <w:color w:val="000000"/>
          <w:sz w:val="24"/>
          <w:szCs w:val="24"/>
        </w:rPr>
        <w:t>7</w:t>
      </w:r>
      <w:r w:rsidR="0007473C" w:rsidRPr="003B10E2">
        <w:rPr>
          <w:rFonts w:ascii="Times New Roman" w:hAnsi="Times New Roman"/>
          <w:color w:val="000000"/>
          <w:sz w:val="24"/>
          <w:szCs w:val="24"/>
        </w:rPr>
        <w:t>0</w:t>
      </w:r>
      <w:r w:rsidR="006E3123" w:rsidRPr="003B10E2">
        <w:rPr>
          <w:rFonts w:ascii="Times New Roman" w:hAnsi="Times New Roman"/>
          <w:color w:val="000000"/>
          <w:sz w:val="24"/>
          <w:szCs w:val="24"/>
        </w:rPr>
        <w:t xml:space="preserve"> –</w:t>
      </w:r>
      <w:r w:rsidR="00651284" w:rsidRPr="003B10E2">
        <w:rPr>
          <w:rFonts w:ascii="Times New Roman" w:hAnsi="Times New Roman"/>
          <w:color w:val="000000"/>
          <w:sz w:val="24"/>
          <w:szCs w:val="24"/>
        </w:rPr>
        <w:t xml:space="preserve"> Прогноз бескупонной доходности российского рынка государственных облигаций, кривая ставок ОФЗ, инфляционные ожидания и инфляционная неопределенность по состоянию на 13.02.2015</w:t>
      </w:r>
    </w:p>
    <w:p w14:paraId="5B6871A7" w14:textId="77777777" w:rsidR="006E3123" w:rsidRPr="003B10E2" w:rsidRDefault="006E3123" w:rsidP="00651284">
      <w:pPr>
        <w:spacing w:after="0" w:line="360" w:lineRule="auto"/>
        <w:ind w:firstLine="851"/>
        <w:jc w:val="both"/>
        <w:rPr>
          <w:rFonts w:ascii="Times New Roman" w:hAnsi="Times New Roman"/>
          <w:color w:val="000000"/>
          <w:sz w:val="28"/>
          <w:szCs w:val="28"/>
        </w:rPr>
      </w:pPr>
    </w:p>
    <w:p w14:paraId="50DCEB55" w14:textId="77777777" w:rsidR="00651284" w:rsidRPr="003B10E2" w:rsidRDefault="00C72198" w:rsidP="00651284">
      <w:pPr>
        <w:spacing w:after="0" w:line="360" w:lineRule="auto"/>
        <w:ind w:firstLine="851"/>
        <w:jc w:val="both"/>
        <w:rPr>
          <w:rFonts w:ascii="Times New Roman" w:hAnsi="Times New Roman"/>
          <w:color w:val="000000"/>
          <w:sz w:val="28"/>
          <w:szCs w:val="28"/>
        </w:rPr>
      </w:pPr>
      <w:r w:rsidRPr="003B10E2">
        <w:rPr>
          <w:noProof/>
        </w:rPr>
        <w:drawing>
          <wp:anchor distT="0" distB="0" distL="114300" distR="114300" simplePos="0" relativeHeight="251644416" behindDoc="0" locked="0" layoutInCell="1" allowOverlap="1" wp14:anchorId="13297827" wp14:editId="38F32D16">
            <wp:simplePos x="0" y="0"/>
            <wp:positionH relativeFrom="column">
              <wp:posOffset>15240</wp:posOffset>
            </wp:positionH>
            <wp:positionV relativeFrom="paragraph">
              <wp:posOffset>1233170</wp:posOffset>
            </wp:positionV>
            <wp:extent cx="5953125" cy="3048000"/>
            <wp:effectExtent l="0" t="0" r="0" b="0"/>
            <wp:wrapTopAndBottom/>
            <wp:docPr id="10" name="Рисунок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19370" cy="2621280"/>
                    </a:xfrm>
                    <a:prstGeom prst="rect">
                      <a:avLst/>
                    </a:prstGeom>
                    <a:noFill/>
                    <a:ln>
                      <a:noFill/>
                    </a:ln>
                  </pic:spPr>
                </pic:pic>
              </a:graphicData>
            </a:graphic>
            <wp14:sizeRelH relativeFrom="page">
              <wp14:pctWidth>0</wp14:pctWidth>
            </wp14:sizeRelH>
            <wp14:sizeRelV relativeFrom="page">
              <wp14:pctHeight>0</wp14:pctHeight>
            </wp14:sizeRelV>
          </wp:anchor>
        </w:drawing>
      </w:r>
      <w:r w:rsidR="00651284" w:rsidRPr="003B10E2">
        <w:rPr>
          <w:rFonts w:ascii="Times New Roman" w:hAnsi="Times New Roman"/>
          <w:color w:val="000000"/>
          <w:sz w:val="28"/>
          <w:szCs w:val="28"/>
        </w:rPr>
        <w:t>Кривая бескупонной доходности приобретает все более плоскую форму в 2015 г., находясь под давлением ожиданий дальнейшего снижения ключевой ставки Банка России и инфляционных ожиданий профессион</w:t>
      </w:r>
      <w:r w:rsidR="00B81DAB" w:rsidRPr="003B10E2">
        <w:rPr>
          <w:rFonts w:ascii="Times New Roman" w:hAnsi="Times New Roman"/>
          <w:color w:val="000000"/>
          <w:sz w:val="28"/>
          <w:szCs w:val="28"/>
        </w:rPr>
        <w:t xml:space="preserve">ального сообщества (рисунки </w:t>
      </w:r>
      <w:r w:rsidR="008B6285" w:rsidRPr="003B10E2">
        <w:rPr>
          <w:rFonts w:ascii="Times New Roman" w:hAnsi="Times New Roman"/>
          <w:color w:val="000000"/>
          <w:sz w:val="28"/>
          <w:szCs w:val="28"/>
        </w:rPr>
        <w:t>7</w:t>
      </w:r>
      <w:r w:rsidR="0007473C" w:rsidRPr="003B10E2">
        <w:rPr>
          <w:rFonts w:ascii="Times New Roman" w:hAnsi="Times New Roman"/>
          <w:color w:val="000000"/>
          <w:sz w:val="28"/>
          <w:szCs w:val="28"/>
        </w:rPr>
        <w:t>0</w:t>
      </w:r>
      <w:r w:rsidR="00B81DAB" w:rsidRPr="003B10E2">
        <w:rPr>
          <w:rFonts w:ascii="Times New Roman" w:hAnsi="Times New Roman"/>
          <w:color w:val="000000"/>
          <w:sz w:val="28"/>
          <w:szCs w:val="28"/>
        </w:rPr>
        <w:t xml:space="preserve">, </w:t>
      </w:r>
      <w:r w:rsidR="008B6285" w:rsidRPr="003B10E2">
        <w:rPr>
          <w:rFonts w:ascii="Times New Roman" w:hAnsi="Times New Roman"/>
          <w:color w:val="000000"/>
          <w:sz w:val="28"/>
          <w:szCs w:val="28"/>
        </w:rPr>
        <w:t>7</w:t>
      </w:r>
      <w:r w:rsidR="0007473C" w:rsidRPr="003B10E2">
        <w:rPr>
          <w:rFonts w:ascii="Times New Roman" w:hAnsi="Times New Roman"/>
          <w:color w:val="000000"/>
          <w:sz w:val="28"/>
          <w:szCs w:val="28"/>
        </w:rPr>
        <w:t>1</w:t>
      </w:r>
      <w:r w:rsidR="00651284" w:rsidRPr="003B10E2">
        <w:rPr>
          <w:rFonts w:ascii="Times New Roman" w:hAnsi="Times New Roman"/>
          <w:color w:val="000000"/>
          <w:sz w:val="28"/>
          <w:szCs w:val="28"/>
        </w:rPr>
        <w:t>).</w:t>
      </w:r>
    </w:p>
    <w:p w14:paraId="463D09A6" w14:textId="77777777" w:rsidR="005A4F7F" w:rsidRPr="003B10E2" w:rsidRDefault="005A4F7F" w:rsidP="00B81DAB">
      <w:pPr>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Источник: составлено автором по данным Московской биржи, Банка России [23].</w:t>
      </w:r>
    </w:p>
    <w:p w14:paraId="2EA8031E" w14:textId="77777777" w:rsidR="00651284" w:rsidRPr="003B10E2" w:rsidRDefault="00B81DAB" w:rsidP="00B81DAB">
      <w:pPr>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8B6285" w:rsidRPr="003B10E2">
        <w:rPr>
          <w:rFonts w:ascii="Times New Roman" w:hAnsi="Times New Roman"/>
          <w:color w:val="000000"/>
          <w:sz w:val="24"/>
          <w:szCs w:val="24"/>
        </w:rPr>
        <w:t>7</w:t>
      </w:r>
      <w:r w:rsidR="0007473C" w:rsidRPr="003B10E2">
        <w:rPr>
          <w:rFonts w:ascii="Times New Roman" w:hAnsi="Times New Roman"/>
          <w:color w:val="000000"/>
          <w:sz w:val="24"/>
          <w:szCs w:val="24"/>
        </w:rPr>
        <w:t>1</w:t>
      </w:r>
      <w:r w:rsidR="005A4F7F" w:rsidRPr="003B10E2">
        <w:rPr>
          <w:rFonts w:ascii="Times New Roman" w:hAnsi="Times New Roman"/>
          <w:color w:val="000000"/>
          <w:sz w:val="24"/>
          <w:szCs w:val="24"/>
        </w:rPr>
        <w:t xml:space="preserve"> – </w:t>
      </w:r>
      <w:r w:rsidR="00651284" w:rsidRPr="003B10E2">
        <w:rPr>
          <w:rFonts w:ascii="Times New Roman" w:hAnsi="Times New Roman"/>
          <w:color w:val="000000"/>
          <w:sz w:val="24"/>
          <w:szCs w:val="24"/>
        </w:rPr>
        <w:t>Прогноз бескупонной доходности российского рынка государственных облигаций, кривая ставок ОФЗ, инфляционные ожидания и инфляционная неопределенн</w:t>
      </w:r>
      <w:r w:rsidRPr="003B10E2">
        <w:rPr>
          <w:rFonts w:ascii="Times New Roman" w:hAnsi="Times New Roman"/>
          <w:color w:val="000000"/>
          <w:sz w:val="24"/>
          <w:szCs w:val="24"/>
        </w:rPr>
        <w:t>ость по состоянию на 13.05.2015</w:t>
      </w:r>
    </w:p>
    <w:p w14:paraId="7E8C5941" w14:textId="77777777" w:rsidR="005A4F7F" w:rsidRPr="003B10E2" w:rsidRDefault="005A4F7F" w:rsidP="00651284">
      <w:pPr>
        <w:spacing w:after="0" w:line="360" w:lineRule="auto"/>
        <w:ind w:firstLine="851"/>
        <w:jc w:val="both"/>
        <w:rPr>
          <w:rFonts w:ascii="Times New Roman" w:hAnsi="Times New Roman"/>
          <w:color w:val="000000"/>
          <w:sz w:val="28"/>
          <w:szCs w:val="28"/>
        </w:rPr>
      </w:pPr>
    </w:p>
    <w:p w14:paraId="69491E21" w14:textId="77777777"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Только в феврале 2016 г. рынок вернулся в «нор</w:t>
      </w:r>
      <w:r w:rsidR="00B81DAB" w:rsidRPr="003B10E2">
        <w:rPr>
          <w:rFonts w:ascii="Times New Roman" w:hAnsi="Times New Roman"/>
          <w:color w:val="000000"/>
          <w:sz w:val="28"/>
          <w:szCs w:val="28"/>
        </w:rPr>
        <w:t xml:space="preserve">мальное» состояние (рисунок </w:t>
      </w:r>
      <w:r w:rsidR="008B6285" w:rsidRPr="003B10E2">
        <w:rPr>
          <w:rFonts w:ascii="Times New Roman" w:hAnsi="Times New Roman"/>
          <w:color w:val="000000"/>
          <w:sz w:val="28"/>
          <w:szCs w:val="28"/>
        </w:rPr>
        <w:t>7</w:t>
      </w:r>
      <w:r w:rsidR="0007473C" w:rsidRPr="003B10E2">
        <w:rPr>
          <w:rFonts w:ascii="Times New Roman" w:hAnsi="Times New Roman"/>
          <w:color w:val="000000"/>
          <w:sz w:val="28"/>
          <w:szCs w:val="28"/>
        </w:rPr>
        <w:t>2</w:t>
      </w:r>
      <w:r w:rsidRPr="003B10E2">
        <w:rPr>
          <w:rFonts w:ascii="Times New Roman" w:hAnsi="Times New Roman"/>
          <w:color w:val="000000"/>
          <w:sz w:val="28"/>
          <w:szCs w:val="28"/>
        </w:rPr>
        <w:t xml:space="preserve">), что отражает кривая бескупонной доходности. Такое состояние рынка продлилось достаточно долго. </w:t>
      </w:r>
    </w:p>
    <w:p w14:paraId="3515BA38" w14:textId="77777777" w:rsidR="00F55523" w:rsidRPr="003B10E2" w:rsidRDefault="00C72198"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noProof/>
          <w:color w:val="000000"/>
          <w:sz w:val="28"/>
          <w:szCs w:val="28"/>
        </w:rPr>
        <w:drawing>
          <wp:inline distT="0" distB="0" distL="0" distR="0" wp14:anchorId="64157251" wp14:editId="25CF78A6">
            <wp:extent cx="5888990" cy="2346960"/>
            <wp:effectExtent l="0" t="0" r="0" b="0"/>
            <wp:docPr id="1148886912" name="Рисунок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2"/>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88990" cy="2346960"/>
                    </a:xfrm>
                    <a:prstGeom prst="rect">
                      <a:avLst/>
                    </a:prstGeom>
                    <a:noFill/>
                  </pic:spPr>
                </pic:pic>
              </a:graphicData>
            </a:graphic>
          </wp:inline>
        </w:drawing>
      </w:r>
    </w:p>
    <w:p w14:paraId="1D95D535" w14:textId="77777777" w:rsidR="00651284" w:rsidRPr="003B10E2" w:rsidRDefault="001651A3" w:rsidP="00B81DAB">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Источник: составлено автором по данным Московской биржи, Банка России [23].</w:t>
      </w:r>
    </w:p>
    <w:p w14:paraId="18210415" w14:textId="77777777" w:rsidR="00B81DAB" w:rsidRPr="003B10E2" w:rsidRDefault="00B81DAB" w:rsidP="00243FAC">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8B6285" w:rsidRPr="003B10E2">
        <w:rPr>
          <w:rFonts w:ascii="Times New Roman" w:hAnsi="Times New Roman"/>
          <w:color w:val="000000"/>
          <w:sz w:val="24"/>
          <w:szCs w:val="24"/>
        </w:rPr>
        <w:t>7</w:t>
      </w:r>
      <w:r w:rsidR="0007473C" w:rsidRPr="003B10E2">
        <w:rPr>
          <w:rFonts w:ascii="Times New Roman" w:hAnsi="Times New Roman"/>
          <w:color w:val="000000"/>
          <w:sz w:val="24"/>
          <w:szCs w:val="24"/>
        </w:rPr>
        <w:t>2</w:t>
      </w:r>
      <w:r w:rsidR="00651284" w:rsidRPr="003B10E2">
        <w:rPr>
          <w:rFonts w:ascii="Times New Roman" w:hAnsi="Times New Roman"/>
          <w:color w:val="000000"/>
          <w:sz w:val="24"/>
          <w:szCs w:val="24"/>
        </w:rPr>
        <w:t xml:space="preserve"> </w:t>
      </w:r>
      <w:r w:rsidRPr="003B10E2">
        <w:rPr>
          <w:rFonts w:ascii="Times New Roman" w:hAnsi="Times New Roman"/>
          <w:color w:val="000000"/>
          <w:sz w:val="24"/>
          <w:szCs w:val="24"/>
        </w:rPr>
        <w:t xml:space="preserve">– </w:t>
      </w:r>
      <w:r w:rsidR="00651284" w:rsidRPr="003B10E2">
        <w:rPr>
          <w:rFonts w:ascii="Times New Roman" w:hAnsi="Times New Roman"/>
          <w:color w:val="000000"/>
          <w:sz w:val="24"/>
          <w:szCs w:val="24"/>
        </w:rPr>
        <w:t>Кривая бескупонной доходности российского рынка государственных облиг</w:t>
      </w:r>
      <w:r w:rsidR="001651A3" w:rsidRPr="003B10E2">
        <w:rPr>
          <w:rFonts w:ascii="Times New Roman" w:hAnsi="Times New Roman"/>
          <w:color w:val="000000"/>
          <w:sz w:val="24"/>
          <w:szCs w:val="24"/>
        </w:rPr>
        <w:t>аций по состоянию на 01.02.2016</w:t>
      </w:r>
    </w:p>
    <w:p w14:paraId="45A66B73" w14:textId="77777777"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Рост инфляционной неопределенности объясняет форму кривой доходности государственных облигаций в течение периода изменения условий денежно-кредитной политики [84]. Временная структура инфляционных ожиданий в такие моменты приобретает отрицательный наклон, а кривая номинальной доходности облигаций имеет плоскую форму. Нисходящая форма кривой инфляционных ожиданий компенсируется восходящей формой кривой инфляционной неопределенности [75]. Это означает, что облигации включают в свою цену большую премию за инфляционную неопределенность. Так, рост ежеквартальных темпов потребления при росте инфляционной неопределенности остается незначительным. Получается, что инфляционная неопределенность заметно влияет на временную структуру рынка государственных облигаций [15]. </w:t>
      </w:r>
    </w:p>
    <w:p w14:paraId="1C75021B" w14:textId="77777777" w:rsidR="00651284" w:rsidRPr="003B10E2" w:rsidRDefault="00651284" w:rsidP="001651A3">
      <w:pPr>
        <w:spacing w:after="0" w:line="360" w:lineRule="auto"/>
        <w:ind w:firstLine="708"/>
        <w:jc w:val="both"/>
        <w:rPr>
          <w:rFonts w:ascii="Times New Roman" w:hAnsi="Times New Roman"/>
          <w:sz w:val="28"/>
          <w:szCs w:val="28"/>
        </w:rPr>
      </w:pPr>
      <w:r w:rsidRPr="003B10E2">
        <w:rPr>
          <w:rFonts w:ascii="Times New Roman" w:hAnsi="Times New Roman"/>
          <w:sz w:val="28"/>
          <w:szCs w:val="28"/>
        </w:rPr>
        <w:t>Можно сделать вывод по результатам моделирования, что кривая доходности в моменты шоков резко меняет свою форму и приобретает обратную инверсию, что может служить индикатором нового структурного изменения рынка капитало</w:t>
      </w:r>
      <w:r w:rsidR="001651A3" w:rsidRPr="003B10E2">
        <w:rPr>
          <w:rFonts w:ascii="Times New Roman" w:hAnsi="Times New Roman"/>
          <w:sz w:val="28"/>
          <w:szCs w:val="28"/>
        </w:rPr>
        <w:t>в.</w:t>
      </w:r>
    </w:p>
    <w:p w14:paraId="4FDE8BCA" w14:textId="77777777" w:rsidR="0040151F" w:rsidRPr="003B10E2" w:rsidRDefault="00651284" w:rsidP="001651A3">
      <w:pPr>
        <w:spacing w:after="0" w:line="360" w:lineRule="auto"/>
        <w:ind w:firstLine="851"/>
        <w:jc w:val="both"/>
        <w:rPr>
          <w:rFonts w:ascii="Times New Roman" w:hAnsi="Times New Roman"/>
          <w:bCs/>
          <w:color w:val="000000"/>
          <w:sz w:val="28"/>
          <w:szCs w:val="28"/>
        </w:rPr>
      </w:pPr>
      <w:r w:rsidRPr="003B10E2">
        <w:rPr>
          <w:rFonts w:ascii="Times New Roman" w:hAnsi="Times New Roman"/>
          <w:bCs/>
          <w:color w:val="000000"/>
          <w:sz w:val="28"/>
          <w:szCs w:val="28"/>
        </w:rPr>
        <w:t>5. Рост размещений как следствие санкций (следствие ограничения доступа к</w:t>
      </w:r>
      <w:r w:rsidR="0040151F" w:rsidRPr="003B10E2">
        <w:rPr>
          <w:rFonts w:ascii="Times New Roman" w:hAnsi="Times New Roman"/>
          <w:bCs/>
          <w:color w:val="000000"/>
          <w:sz w:val="28"/>
          <w:szCs w:val="28"/>
        </w:rPr>
        <w:t xml:space="preserve"> международным рынкам капитала)</w:t>
      </w:r>
      <w:r w:rsidR="001651A3" w:rsidRPr="003B10E2">
        <w:rPr>
          <w:rFonts w:ascii="Times New Roman" w:hAnsi="Times New Roman"/>
          <w:bCs/>
          <w:color w:val="000000"/>
          <w:sz w:val="28"/>
          <w:szCs w:val="28"/>
        </w:rPr>
        <w:t>.</w:t>
      </w:r>
    </w:p>
    <w:p w14:paraId="27A5B740" w14:textId="77777777"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Правительство России существенно снизило объем федеральных займов, а также займов субъектов Российской Федерации и муниципальных образований на фоне секторальных санкций.</w:t>
      </w:r>
    </w:p>
    <w:p w14:paraId="1B73D730" w14:textId="77777777"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Основными драйверами роста являлись потребности бизнеса и государства в финансировании текущих расходов и инвестиционных проектов в условиях секторальных санкций.</w:t>
      </w:r>
      <w:r w:rsidRPr="003B10E2">
        <w:t xml:space="preserve"> </w:t>
      </w:r>
      <w:r w:rsidRPr="003B10E2">
        <w:rPr>
          <w:rFonts w:ascii="Times New Roman" w:hAnsi="Times New Roman"/>
          <w:color w:val="000000"/>
          <w:sz w:val="28"/>
          <w:szCs w:val="28"/>
        </w:rPr>
        <w:t>В настоящее время успех размещения новых выпусков корпоративных облигаций, а также волатильность на вторичном рынке зависят от ликвидности банковского сектора.</w:t>
      </w:r>
    </w:p>
    <w:p w14:paraId="4613041C" w14:textId="77777777" w:rsidR="00651284" w:rsidRPr="003B10E2" w:rsidRDefault="00651284" w:rsidP="001651A3">
      <w:pPr>
        <w:spacing w:after="0" w:line="360" w:lineRule="auto"/>
        <w:ind w:firstLine="851"/>
        <w:jc w:val="both"/>
        <w:rPr>
          <w:lang w:eastAsia="en-US"/>
        </w:rPr>
      </w:pPr>
      <w:r w:rsidRPr="003B10E2">
        <w:rPr>
          <w:rFonts w:ascii="Times New Roman" w:hAnsi="Times New Roman"/>
          <w:color w:val="000000"/>
          <w:sz w:val="28"/>
          <w:szCs w:val="28"/>
        </w:rPr>
        <w:t xml:space="preserve">На долю наиболее крупных эмитентов за период с 2014 по 2021 гг. приходилась большая часть (более 65%) эмиссии корпоративных облигаций. Получается, что рынок рублевого долга в течение последних семи лет служит механизмом получения относительно дешевых длинных денег крупными компаниями с государственным участием в капитале, что случилось благодаря усилению госрегулирования после </w:t>
      </w:r>
      <w:r w:rsidR="00B81DAB" w:rsidRPr="003B10E2">
        <w:rPr>
          <w:rFonts w:ascii="Times New Roman" w:hAnsi="Times New Roman"/>
          <w:color w:val="000000"/>
          <w:sz w:val="28"/>
          <w:szCs w:val="28"/>
        </w:rPr>
        <w:t xml:space="preserve">2007 г. (рисунки </w:t>
      </w:r>
      <w:r w:rsidR="008B6285" w:rsidRPr="003B10E2">
        <w:rPr>
          <w:rFonts w:ascii="Times New Roman" w:hAnsi="Times New Roman"/>
          <w:color w:val="000000"/>
          <w:sz w:val="28"/>
          <w:szCs w:val="28"/>
        </w:rPr>
        <w:t>7</w:t>
      </w:r>
      <w:r w:rsidR="0007473C" w:rsidRPr="003B10E2">
        <w:rPr>
          <w:rFonts w:ascii="Times New Roman" w:hAnsi="Times New Roman"/>
          <w:color w:val="000000"/>
          <w:sz w:val="28"/>
          <w:szCs w:val="28"/>
        </w:rPr>
        <w:t>3</w:t>
      </w:r>
      <w:r w:rsidRPr="003B10E2">
        <w:rPr>
          <w:rFonts w:ascii="Times New Roman" w:hAnsi="Times New Roman"/>
          <w:color w:val="000000"/>
          <w:sz w:val="28"/>
          <w:szCs w:val="28"/>
        </w:rPr>
        <w:t xml:space="preserve">, </w:t>
      </w:r>
      <w:r w:rsidR="008B6285" w:rsidRPr="003B10E2">
        <w:rPr>
          <w:rFonts w:ascii="Times New Roman" w:hAnsi="Times New Roman"/>
          <w:color w:val="000000"/>
          <w:sz w:val="28"/>
          <w:szCs w:val="28"/>
        </w:rPr>
        <w:t>7</w:t>
      </w:r>
      <w:r w:rsidR="0007473C" w:rsidRPr="003B10E2">
        <w:rPr>
          <w:rFonts w:ascii="Times New Roman" w:hAnsi="Times New Roman"/>
          <w:color w:val="000000"/>
          <w:sz w:val="28"/>
          <w:szCs w:val="28"/>
        </w:rPr>
        <w:t>4</w:t>
      </w:r>
      <w:r w:rsidRPr="003B10E2">
        <w:rPr>
          <w:rFonts w:ascii="Times New Roman" w:hAnsi="Times New Roman"/>
          <w:color w:val="000000"/>
          <w:sz w:val="28"/>
          <w:szCs w:val="28"/>
        </w:rPr>
        <w:t xml:space="preserve">). </w:t>
      </w:r>
      <w:r w:rsidR="00130CBF" w:rsidRPr="003B10E2">
        <w:rPr>
          <w:rFonts w:ascii="Times New Roman" w:hAnsi="Times New Roman"/>
          <w:color w:val="000000"/>
          <w:sz w:val="28"/>
          <w:szCs w:val="28"/>
        </w:rPr>
        <w:t>При этом, Использование монетарных инструментов и развитие менее подверженной санкциям экономической активности за рубежом предлагаются в качестве потенциальных стратегий обеспечения устойчивого роста и привлечения длинных денег в экономику. Это можно сделать за асчет стабилизации обменного курса рубля для эффективного и устойчивого перехода к более широкому использованию валюты во внешней торговле.</w:t>
      </w:r>
    </w:p>
    <w:p w14:paraId="62917E70" w14:textId="77777777" w:rsidR="00651284" w:rsidRPr="003B10E2" w:rsidRDefault="00C72198" w:rsidP="00B81DAB">
      <w:pPr>
        <w:spacing w:after="0" w:line="240" w:lineRule="auto"/>
        <w:jc w:val="center"/>
        <w:rPr>
          <w:rFonts w:ascii="Times New Roman" w:hAnsi="Times New Roman"/>
          <w:iCs/>
          <w:color w:val="000000"/>
          <w:sz w:val="24"/>
          <w:szCs w:val="24"/>
        </w:rPr>
      </w:pPr>
      <w:r w:rsidRPr="003B10E2">
        <w:rPr>
          <w:rFonts w:ascii="Times New Roman" w:hAnsi="Times New Roman"/>
          <w:iCs/>
          <w:noProof/>
          <w:color w:val="000000"/>
          <w:sz w:val="24"/>
          <w:szCs w:val="24"/>
        </w:rPr>
        <w:drawing>
          <wp:inline distT="0" distB="0" distL="0" distR="0" wp14:anchorId="23544F60" wp14:editId="7475CBE5">
            <wp:extent cx="5968365" cy="3298190"/>
            <wp:effectExtent l="0" t="0" r="0" b="0"/>
            <wp:docPr id="921977000" name="Рисунок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3"/>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68365" cy="3298190"/>
                    </a:xfrm>
                    <a:prstGeom prst="rect">
                      <a:avLst/>
                    </a:prstGeom>
                    <a:noFill/>
                  </pic:spPr>
                </pic:pic>
              </a:graphicData>
            </a:graphic>
          </wp:inline>
        </w:drawing>
      </w:r>
      <w:r w:rsidR="001651A3" w:rsidRPr="003B10E2">
        <w:rPr>
          <w:rFonts w:ascii="Times New Roman" w:hAnsi="Times New Roman"/>
          <w:iCs/>
          <w:color w:val="000000"/>
          <w:sz w:val="24"/>
          <w:szCs w:val="24"/>
        </w:rPr>
        <w:t>Источник: Thomson Reuters.</w:t>
      </w:r>
    </w:p>
    <w:p w14:paraId="02AC677B" w14:textId="77777777" w:rsidR="00651284" w:rsidRPr="003B10E2" w:rsidRDefault="00B81DAB" w:rsidP="00B81DAB">
      <w:pPr>
        <w:spacing w:after="0" w:line="240" w:lineRule="auto"/>
        <w:jc w:val="center"/>
        <w:rPr>
          <w:rFonts w:ascii="Times New Roman" w:hAnsi="Times New Roman"/>
          <w:color w:val="000000"/>
          <w:sz w:val="24"/>
          <w:szCs w:val="24"/>
        </w:rPr>
      </w:pPr>
      <w:r w:rsidRPr="003B10E2">
        <w:rPr>
          <w:rFonts w:ascii="Times New Roman" w:hAnsi="Times New Roman"/>
          <w:iCs/>
          <w:color w:val="000000"/>
          <w:sz w:val="24"/>
          <w:szCs w:val="24"/>
        </w:rPr>
        <w:t xml:space="preserve">Рисунок </w:t>
      </w:r>
      <w:r w:rsidR="008B6285" w:rsidRPr="003B10E2">
        <w:rPr>
          <w:rFonts w:ascii="Times New Roman" w:hAnsi="Times New Roman"/>
          <w:iCs/>
          <w:color w:val="000000"/>
          <w:sz w:val="24"/>
          <w:szCs w:val="24"/>
        </w:rPr>
        <w:t>7</w:t>
      </w:r>
      <w:r w:rsidR="0007473C" w:rsidRPr="003B10E2">
        <w:rPr>
          <w:rFonts w:ascii="Times New Roman" w:hAnsi="Times New Roman"/>
          <w:iCs/>
          <w:color w:val="000000"/>
          <w:sz w:val="24"/>
          <w:szCs w:val="24"/>
        </w:rPr>
        <w:t>3</w:t>
      </w:r>
      <w:r w:rsidR="00651284" w:rsidRPr="003B10E2">
        <w:rPr>
          <w:rFonts w:ascii="Times New Roman" w:hAnsi="Times New Roman"/>
          <w:color w:val="000000"/>
          <w:sz w:val="24"/>
          <w:szCs w:val="24"/>
        </w:rPr>
        <w:t xml:space="preserve"> </w:t>
      </w:r>
      <w:r w:rsidR="001651A3" w:rsidRPr="003B10E2">
        <w:rPr>
          <w:rFonts w:ascii="Times New Roman" w:hAnsi="Times New Roman"/>
          <w:color w:val="000000"/>
          <w:sz w:val="24"/>
          <w:szCs w:val="24"/>
        </w:rPr>
        <w:t xml:space="preserve">– </w:t>
      </w:r>
      <w:r w:rsidR="00651284" w:rsidRPr="003B10E2">
        <w:rPr>
          <w:rFonts w:ascii="Times New Roman" w:hAnsi="Times New Roman"/>
          <w:color w:val="000000"/>
          <w:sz w:val="24"/>
          <w:szCs w:val="24"/>
        </w:rPr>
        <w:t>Объем вторичных торгов об</w:t>
      </w:r>
      <w:r w:rsidR="001651A3" w:rsidRPr="003B10E2">
        <w:rPr>
          <w:rFonts w:ascii="Times New Roman" w:hAnsi="Times New Roman"/>
          <w:color w:val="000000"/>
          <w:sz w:val="24"/>
          <w:szCs w:val="24"/>
        </w:rPr>
        <w:t xml:space="preserve">лигациями на Московской бирже, </w:t>
      </w:r>
      <w:r w:rsidR="00651284" w:rsidRPr="003B10E2">
        <w:rPr>
          <w:rFonts w:ascii="Times New Roman" w:hAnsi="Times New Roman"/>
          <w:color w:val="000000"/>
          <w:sz w:val="24"/>
          <w:szCs w:val="24"/>
        </w:rPr>
        <w:t>млрд долл.</w:t>
      </w:r>
    </w:p>
    <w:p w14:paraId="2B0A9687" w14:textId="77777777" w:rsidR="00651284" w:rsidRPr="003B10E2" w:rsidRDefault="00651284" w:rsidP="00651284">
      <w:pPr>
        <w:spacing w:after="0" w:line="240" w:lineRule="auto"/>
        <w:ind w:firstLine="851"/>
        <w:jc w:val="center"/>
        <w:rPr>
          <w:rFonts w:ascii="Times New Roman" w:hAnsi="Times New Roman"/>
          <w:iCs/>
          <w:color w:val="00B050"/>
          <w:sz w:val="24"/>
          <w:szCs w:val="24"/>
        </w:rPr>
      </w:pPr>
    </w:p>
    <w:p w14:paraId="503D7F67" w14:textId="77777777" w:rsidR="00651284" w:rsidRPr="003B10E2" w:rsidRDefault="00F276E9" w:rsidP="001651A3">
      <w:pPr>
        <w:spacing w:after="0" w:line="240" w:lineRule="auto"/>
        <w:jc w:val="center"/>
        <w:rPr>
          <w:rFonts w:ascii="Times New Roman" w:hAnsi="Times New Roman"/>
          <w:iCs/>
          <w:color w:val="00B050"/>
          <w:sz w:val="24"/>
          <w:szCs w:val="24"/>
        </w:rPr>
      </w:pPr>
      <w:r w:rsidRPr="003B10E2">
        <w:rPr>
          <w:noProof/>
        </w:rPr>
      </w:r>
      <w:r w:rsidR="003D16B6" w:rsidRPr="003B10E2">
        <w:rPr>
          <w:noProof/>
        </w:rPr>
        <w:object w:dxaOrig="9294" w:dyaOrig="4983" w14:anchorId="661C0EF8">
          <v:shape id="Объект57" o:spid="_x0000_i1038" type="#_x0000_t75" style="width:465.15pt;height:248.7pt;visibility:visible" o:ole="">
            <v:imagedata r:id="rId95" o:title=""/>
            <o:lock v:ext="edit" aspectratio="f"/>
          </v:shape>
          <o:OLEObject Type="Embed" ProgID="Excel.Sheet.8" ShapeID="Объект57" DrawAspect="Content" ObjectID="_1790070520" r:id="rId96">
            <o:FieldCodes>\s</o:FieldCodes>
          </o:OLEObject>
        </w:object>
      </w:r>
    </w:p>
    <w:p w14:paraId="624D7266" w14:textId="77777777" w:rsidR="00651284" w:rsidRPr="003B10E2" w:rsidRDefault="009671D0" w:rsidP="00B81DAB">
      <w:pPr>
        <w:spacing w:after="0" w:line="240" w:lineRule="auto"/>
        <w:jc w:val="center"/>
        <w:rPr>
          <w:rFonts w:ascii="Times New Roman" w:hAnsi="Times New Roman"/>
          <w:iCs/>
          <w:sz w:val="24"/>
          <w:szCs w:val="24"/>
        </w:rPr>
      </w:pPr>
      <w:r w:rsidRPr="003B10E2">
        <w:rPr>
          <w:rFonts w:ascii="Times New Roman" w:hAnsi="Times New Roman"/>
          <w:iCs/>
          <w:sz w:val="24"/>
          <w:szCs w:val="24"/>
        </w:rPr>
        <w:t>Источник: Thomson Reuters.</w:t>
      </w:r>
    </w:p>
    <w:p w14:paraId="502AA70B" w14:textId="77777777" w:rsidR="00651284" w:rsidRPr="003B10E2" w:rsidRDefault="00B81DAB" w:rsidP="00B81DAB">
      <w:pPr>
        <w:spacing w:after="0" w:line="240" w:lineRule="auto"/>
        <w:jc w:val="center"/>
        <w:rPr>
          <w:rFonts w:ascii="Times New Roman" w:hAnsi="Times New Roman"/>
          <w:sz w:val="24"/>
          <w:szCs w:val="24"/>
        </w:rPr>
      </w:pPr>
      <w:r w:rsidRPr="003B10E2">
        <w:rPr>
          <w:rFonts w:ascii="Times New Roman" w:hAnsi="Times New Roman"/>
          <w:iCs/>
          <w:sz w:val="24"/>
          <w:szCs w:val="24"/>
        </w:rPr>
        <w:t xml:space="preserve">Рисунок </w:t>
      </w:r>
      <w:r w:rsidR="008B6285" w:rsidRPr="003B10E2">
        <w:rPr>
          <w:rFonts w:ascii="Times New Roman" w:hAnsi="Times New Roman"/>
          <w:iCs/>
          <w:sz w:val="24"/>
          <w:szCs w:val="24"/>
        </w:rPr>
        <w:t>7</w:t>
      </w:r>
      <w:r w:rsidR="0007473C" w:rsidRPr="003B10E2">
        <w:rPr>
          <w:rFonts w:ascii="Times New Roman" w:hAnsi="Times New Roman"/>
          <w:iCs/>
          <w:sz w:val="24"/>
          <w:szCs w:val="24"/>
        </w:rPr>
        <w:t>4</w:t>
      </w:r>
      <w:r w:rsidR="00651284" w:rsidRPr="003B10E2">
        <w:rPr>
          <w:rFonts w:ascii="Times New Roman" w:hAnsi="Times New Roman"/>
          <w:sz w:val="24"/>
          <w:szCs w:val="24"/>
        </w:rPr>
        <w:t xml:space="preserve"> </w:t>
      </w:r>
      <w:r w:rsidR="009671D0" w:rsidRPr="003B10E2">
        <w:rPr>
          <w:rFonts w:ascii="Times New Roman" w:hAnsi="Times New Roman"/>
          <w:sz w:val="24"/>
          <w:szCs w:val="24"/>
        </w:rPr>
        <w:t xml:space="preserve">– </w:t>
      </w:r>
      <w:r w:rsidR="00651284" w:rsidRPr="003B10E2">
        <w:rPr>
          <w:rFonts w:ascii="Times New Roman" w:hAnsi="Times New Roman"/>
          <w:sz w:val="24"/>
          <w:szCs w:val="24"/>
        </w:rPr>
        <w:t>Объем вторичных торгов облигациями на М</w:t>
      </w:r>
      <w:r w:rsidR="009671D0" w:rsidRPr="003B10E2">
        <w:rPr>
          <w:rFonts w:ascii="Times New Roman" w:hAnsi="Times New Roman"/>
          <w:sz w:val="24"/>
          <w:szCs w:val="24"/>
        </w:rPr>
        <w:t>осковской бирже к ВВП России, %</w:t>
      </w:r>
    </w:p>
    <w:p w14:paraId="0F5731BB" w14:textId="77777777"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Изменение формы кривой бескупонной доходности происходило также за счет расширения участия локальных инвесторов, использующих рост монетизации в экономике России.</w:t>
      </w:r>
    </w:p>
    <w:p w14:paraId="1F1B9985" w14:textId="77777777"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6. Перераспределение средств инвесторов из российских акций в облигации.</w:t>
      </w:r>
    </w:p>
    <w:p w14:paraId="00DD3AD8" w14:textId="77777777"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Доходность облигаций всех развивающихся стран со временем становится все более коррелированной, что связано с глобализацией всей отрасли управления активами, возросшим значением институциональных инвесторов и их краткосрочными мотивами получения прибыли. Эти изменения стали заметны намного раньше пандемического кризиса 2020 г. Но резкий структурный сдвиг произошел именно в 2020 г.: инвесторы направили свои </w:t>
      </w:r>
      <w:r w:rsidRPr="003B10E2">
        <w:rPr>
          <w:rFonts w:ascii="Times New Roman" w:hAnsi="Times New Roman"/>
          <w:sz w:val="28"/>
          <w:szCs w:val="28"/>
        </w:rPr>
        <w:t>средства из акций и смешанных активов на денежный рынок</w:t>
      </w:r>
      <w:r w:rsidR="00F51866" w:rsidRPr="003B10E2">
        <w:rPr>
          <w:rFonts w:ascii="Times New Roman" w:hAnsi="Times New Roman"/>
          <w:sz w:val="28"/>
          <w:szCs w:val="28"/>
        </w:rPr>
        <w:t xml:space="preserve"> и рынок облигаций (рисунок </w:t>
      </w:r>
      <w:r w:rsidR="008B6285" w:rsidRPr="003B10E2">
        <w:rPr>
          <w:rFonts w:ascii="Times New Roman" w:hAnsi="Times New Roman"/>
          <w:sz w:val="28"/>
          <w:szCs w:val="28"/>
        </w:rPr>
        <w:t>7</w:t>
      </w:r>
      <w:r w:rsidR="0007473C" w:rsidRPr="003B10E2">
        <w:rPr>
          <w:rFonts w:ascii="Times New Roman" w:hAnsi="Times New Roman"/>
          <w:sz w:val="28"/>
          <w:szCs w:val="28"/>
        </w:rPr>
        <w:t>5</w:t>
      </w:r>
      <w:r w:rsidR="00A02EA2" w:rsidRPr="003B10E2">
        <w:rPr>
          <w:rFonts w:ascii="Times New Roman" w:hAnsi="Times New Roman"/>
          <w:sz w:val="28"/>
          <w:szCs w:val="28"/>
        </w:rPr>
        <w:t>)</w:t>
      </w:r>
      <w:r w:rsidRPr="003B10E2">
        <w:rPr>
          <w:rFonts w:ascii="Times New Roman" w:hAnsi="Times New Roman"/>
          <w:sz w:val="28"/>
          <w:szCs w:val="28"/>
        </w:rPr>
        <w:t xml:space="preserve">. </w:t>
      </w:r>
    </w:p>
    <w:p w14:paraId="4227146F" w14:textId="77777777" w:rsidR="009671D0" w:rsidRPr="003B10E2" w:rsidRDefault="00C72198" w:rsidP="00F51866">
      <w:pPr>
        <w:spacing w:after="0" w:line="240" w:lineRule="auto"/>
        <w:jc w:val="center"/>
        <w:rPr>
          <w:rFonts w:ascii="Times New Roman" w:hAnsi="Times New Roman"/>
          <w:iCs/>
          <w:color w:val="000000"/>
          <w:sz w:val="24"/>
          <w:szCs w:val="24"/>
        </w:rPr>
      </w:pPr>
      <w:r w:rsidRPr="003B10E2">
        <w:rPr>
          <w:rFonts w:ascii="Times New Roman" w:hAnsi="Times New Roman"/>
          <w:iCs/>
          <w:noProof/>
          <w:color w:val="000000"/>
          <w:sz w:val="24"/>
          <w:szCs w:val="24"/>
        </w:rPr>
        <w:drawing>
          <wp:inline distT="0" distB="0" distL="0" distR="0" wp14:anchorId="5D7726D2" wp14:editId="3F192141">
            <wp:extent cx="5913755" cy="3194685"/>
            <wp:effectExtent l="0" t="0" r="0" b="0"/>
            <wp:docPr id="1422140897" name="Рисунок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5"/>
                    <pic:cNvPicPr>
                      <a:picLocks/>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13755" cy="3194685"/>
                    </a:xfrm>
                    <a:prstGeom prst="rect">
                      <a:avLst/>
                    </a:prstGeom>
                    <a:noFill/>
                  </pic:spPr>
                </pic:pic>
              </a:graphicData>
            </a:graphic>
          </wp:inline>
        </w:drawing>
      </w:r>
      <w:r w:rsidR="009671D0" w:rsidRPr="003B10E2">
        <w:rPr>
          <w:rFonts w:ascii="Times New Roman" w:hAnsi="Times New Roman"/>
          <w:iCs/>
          <w:color w:val="000000"/>
          <w:sz w:val="24"/>
          <w:szCs w:val="24"/>
        </w:rPr>
        <w:t>Источник: Thomson Reuters.</w:t>
      </w:r>
    </w:p>
    <w:p w14:paraId="7047C75B" w14:textId="77777777" w:rsidR="00651284" w:rsidRPr="003B10E2" w:rsidRDefault="00F51866" w:rsidP="00F51866">
      <w:pPr>
        <w:spacing w:after="0" w:line="240" w:lineRule="auto"/>
        <w:jc w:val="center"/>
        <w:rPr>
          <w:rFonts w:ascii="Times New Roman" w:hAnsi="Times New Roman"/>
          <w:color w:val="000000"/>
          <w:sz w:val="24"/>
          <w:szCs w:val="24"/>
        </w:rPr>
      </w:pPr>
      <w:r w:rsidRPr="003B10E2">
        <w:rPr>
          <w:rFonts w:ascii="Times New Roman" w:hAnsi="Times New Roman"/>
          <w:iCs/>
          <w:color w:val="000000"/>
          <w:sz w:val="24"/>
          <w:szCs w:val="24"/>
        </w:rPr>
        <w:t xml:space="preserve">Рисунок </w:t>
      </w:r>
      <w:r w:rsidR="008B6285" w:rsidRPr="003B10E2">
        <w:rPr>
          <w:rFonts w:ascii="Times New Roman" w:hAnsi="Times New Roman"/>
          <w:iCs/>
          <w:color w:val="000000"/>
          <w:sz w:val="24"/>
          <w:szCs w:val="24"/>
        </w:rPr>
        <w:t>7</w:t>
      </w:r>
      <w:r w:rsidR="0007473C" w:rsidRPr="003B10E2">
        <w:rPr>
          <w:rFonts w:ascii="Times New Roman" w:hAnsi="Times New Roman"/>
          <w:iCs/>
          <w:color w:val="000000"/>
          <w:sz w:val="24"/>
          <w:szCs w:val="24"/>
        </w:rPr>
        <w:t>5</w:t>
      </w:r>
      <w:r w:rsidR="00651284" w:rsidRPr="003B10E2">
        <w:rPr>
          <w:rFonts w:ascii="Times New Roman" w:hAnsi="Times New Roman"/>
          <w:color w:val="000000"/>
          <w:sz w:val="24"/>
          <w:szCs w:val="24"/>
        </w:rPr>
        <w:t xml:space="preserve"> </w:t>
      </w:r>
      <w:r w:rsidR="009671D0" w:rsidRPr="003B10E2">
        <w:rPr>
          <w:rFonts w:ascii="Times New Roman" w:hAnsi="Times New Roman"/>
          <w:color w:val="000000"/>
          <w:sz w:val="24"/>
          <w:szCs w:val="24"/>
        </w:rPr>
        <w:t xml:space="preserve">– </w:t>
      </w:r>
      <w:r w:rsidR="00651284" w:rsidRPr="003B10E2">
        <w:rPr>
          <w:rFonts w:ascii="Times New Roman" w:hAnsi="Times New Roman"/>
          <w:color w:val="000000"/>
          <w:sz w:val="24"/>
          <w:szCs w:val="24"/>
        </w:rPr>
        <w:t>Отношение капитализации акций к объему дол</w:t>
      </w:r>
      <w:r w:rsidR="009671D0" w:rsidRPr="003B10E2">
        <w:rPr>
          <w:rFonts w:ascii="Times New Roman" w:hAnsi="Times New Roman"/>
          <w:color w:val="000000"/>
          <w:sz w:val="24"/>
          <w:szCs w:val="24"/>
        </w:rPr>
        <w:t>га на рынке облигаций России, %</w:t>
      </w:r>
    </w:p>
    <w:p w14:paraId="0CB7DBFB" w14:textId="77777777" w:rsidR="00651284" w:rsidRPr="003B10E2" w:rsidRDefault="00651284" w:rsidP="00651284">
      <w:pPr>
        <w:spacing w:after="0" w:line="360" w:lineRule="auto"/>
        <w:ind w:firstLine="851"/>
        <w:jc w:val="both"/>
        <w:rPr>
          <w:rFonts w:ascii="Times New Roman" w:hAnsi="Times New Roman"/>
          <w:color w:val="000000"/>
          <w:sz w:val="28"/>
          <w:szCs w:val="28"/>
        </w:rPr>
      </w:pPr>
    </w:p>
    <w:p w14:paraId="047EF1A5" w14:textId="77777777"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частности, возросшая популярность индексных инвестиций и использование общих индексов крупнейшими инвесторами развивающихся стран привела к усилению корреляции между доходностью облигаций стран.</w:t>
      </w:r>
      <w:r w:rsidR="008B4C36" w:rsidRPr="003B10E2">
        <w:rPr>
          <w:rFonts w:ascii="Times New Roman" w:hAnsi="Times New Roman"/>
          <w:color w:val="000000"/>
          <w:sz w:val="28"/>
          <w:szCs w:val="28"/>
        </w:rPr>
        <w:t xml:space="preserve"> </w:t>
      </w:r>
      <w:r w:rsidRPr="003B10E2">
        <w:rPr>
          <w:rFonts w:ascii="Times New Roman" w:hAnsi="Times New Roman"/>
          <w:color w:val="000000"/>
          <w:sz w:val="28"/>
          <w:szCs w:val="28"/>
        </w:rPr>
        <w:t>Большинство инвесторов в развивающиеся страны сравнивают свои результаты с индексами развивающихся стран.</w:t>
      </w:r>
    </w:p>
    <w:p w14:paraId="15090908" w14:textId="77777777" w:rsidR="00EC65A3" w:rsidRPr="003B10E2" w:rsidRDefault="00EC65A3" w:rsidP="00EC65A3">
      <w:pPr>
        <w:spacing w:after="0" w:line="360" w:lineRule="auto"/>
        <w:jc w:val="both"/>
        <w:rPr>
          <w:rFonts w:ascii="Times New Roman" w:hAnsi="Times New Roman"/>
          <w:sz w:val="24"/>
          <w:szCs w:val="24"/>
        </w:rPr>
      </w:pPr>
    </w:p>
    <w:p w14:paraId="16AC3354" w14:textId="77777777" w:rsidR="009671D0" w:rsidRPr="003B10E2" w:rsidRDefault="00F51866" w:rsidP="00EC65A3">
      <w:pPr>
        <w:spacing w:after="0" w:line="240" w:lineRule="auto"/>
        <w:jc w:val="both"/>
        <w:rPr>
          <w:rFonts w:ascii="Times New Roman" w:hAnsi="Times New Roman"/>
          <w:color w:val="000000"/>
          <w:sz w:val="28"/>
          <w:szCs w:val="28"/>
        </w:rPr>
      </w:pPr>
      <w:r w:rsidRPr="003B10E2">
        <w:rPr>
          <w:rFonts w:ascii="Times New Roman" w:hAnsi="Times New Roman"/>
          <w:sz w:val="24"/>
          <w:szCs w:val="24"/>
        </w:rPr>
        <w:t xml:space="preserve">Таблица </w:t>
      </w:r>
      <w:r w:rsidR="008B6285" w:rsidRPr="003B10E2">
        <w:rPr>
          <w:rFonts w:ascii="Times New Roman" w:hAnsi="Times New Roman"/>
          <w:sz w:val="24"/>
          <w:szCs w:val="24"/>
        </w:rPr>
        <w:t>14</w:t>
      </w:r>
      <w:r w:rsidRPr="003B10E2">
        <w:rPr>
          <w:rFonts w:ascii="Times New Roman" w:hAnsi="Times New Roman"/>
          <w:sz w:val="24"/>
          <w:szCs w:val="24"/>
        </w:rPr>
        <w:t xml:space="preserve"> – Глобальные потоки инвестиций институциональных инвесторов (инвестиционные фонды и банки) в разные сегменты рынка в 2020 г.</w:t>
      </w:r>
    </w:p>
    <w:tbl>
      <w:tblPr>
        <w:tblpPr w:leftFromText="180" w:rightFromText="180" w:vertAnchor="page" w:horzAnchor="margin" w:tblpY="2371"/>
        <w:tblW w:w="9351" w:type="dxa"/>
        <w:tblLayout w:type="fixed"/>
        <w:tblLook w:val="04A0" w:firstRow="1" w:lastRow="0" w:firstColumn="1" w:lastColumn="0" w:noHBand="0" w:noVBand="1"/>
      </w:tblPr>
      <w:tblGrid>
        <w:gridCol w:w="2770"/>
        <w:gridCol w:w="2200"/>
        <w:gridCol w:w="2319"/>
        <w:gridCol w:w="2062"/>
      </w:tblGrid>
      <w:tr w:rsidR="003311FD" w:rsidRPr="003B10E2" w14:paraId="5E6480BA" w14:textId="77777777" w:rsidTr="003311FD">
        <w:trPr>
          <w:trHeight w:val="3514"/>
        </w:trPr>
        <w:tc>
          <w:tcPr>
            <w:tcW w:w="2770" w:type="dxa"/>
            <w:tcBorders>
              <w:top w:val="double" w:sz="4" w:space="0" w:color="000000"/>
              <w:left w:val="single" w:sz="4" w:space="0" w:color="000000"/>
              <w:bottom w:val="single" w:sz="4" w:space="0" w:color="000000"/>
              <w:right w:val="single" w:sz="4" w:space="0" w:color="000000"/>
            </w:tcBorders>
            <w:shd w:val="clear" w:color="auto" w:fill="auto"/>
            <w:vAlign w:val="center"/>
          </w:tcPr>
          <w:p w14:paraId="6739D290" w14:textId="77777777" w:rsidR="003311FD" w:rsidRPr="003B10E2" w:rsidRDefault="003311FD" w:rsidP="003311FD">
            <w:pPr>
              <w:widowControl w:val="0"/>
              <w:spacing w:after="0" w:line="240" w:lineRule="auto"/>
              <w:rPr>
                <w:rFonts w:ascii="Times New Roman" w:eastAsia="Times New Roman" w:hAnsi="Times New Roman"/>
                <w:color w:val="000000"/>
                <w:sz w:val="24"/>
                <w:szCs w:val="24"/>
                <w:lang w:eastAsia="en-US"/>
              </w:rPr>
            </w:pPr>
            <w:r w:rsidRPr="003B10E2">
              <w:rPr>
                <w:rFonts w:ascii="Times New Roman" w:eastAsia="Times New Roman" w:hAnsi="Times New Roman"/>
                <w:color w:val="000000"/>
                <w:sz w:val="24"/>
                <w:szCs w:val="24"/>
                <w:lang w:eastAsia="en-US"/>
              </w:rPr>
              <w:t>Альтернативные инвестиции</w:t>
            </w:r>
          </w:p>
        </w:tc>
        <w:tc>
          <w:tcPr>
            <w:tcW w:w="2200" w:type="dxa"/>
            <w:tcBorders>
              <w:top w:val="single" w:sz="4" w:space="0" w:color="000000"/>
              <w:bottom w:val="double" w:sz="4" w:space="0" w:color="000000"/>
              <w:right w:val="single" w:sz="4" w:space="0" w:color="000000"/>
            </w:tcBorders>
            <w:shd w:val="clear" w:color="auto" w:fill="auto"/>
            <w:vAlign w:val="center"/>
          </w:tcPr>
          <w:p w14:paraId="304FCF3B" w14:textId="77777777" w:rsidR="003311FD" w:rsidRPr="003B10E2" w:rsidRDefault="003311FD" w:rsidP="003311FD">
            <w:pPr>
              <w:widowControl w:val="0"/>
              <w:spacing w:after="0" w:line="240" w:lineRule="auto"/>
              <w:rPr>
                <w:rFonts w:ascii="Times New Roman" w:eastAsia="Times New Roman" w:hAnsi="Times New Roman"/>
                <w:color w:val="000000"/>
                <w:sz w:val="24"/>
                <w:szCs w:val="24"/>
                <w:lang w:eastAsia="en-US"/>
              </w:rPr>
            </w:pPr>
            <w:r w:rsidRPr="003B10E2">
              <w:rPr>
                <w:rFonts w:ascii="Times New Roman" w:eastAsia="Times New Roman" w:hAnsi="Times New Roman"/>
                <w:color w:val="000000"/>
                <w:sz w:val="24"/>
                <w:szCs w:val="24"/>
                <w:lang w:eastAsia="en-US"/>
              </w:rPr>
              <w:t>Потоки инвестиций за год, млрд. долл.</w:t>
            </w:r>
          </w:p>
        </w:tc>
        <w:tc>
          <w:tcPr>
            <w:tcW w:w="2319" w:type="dxa"/>
            <w:tcBorders>
              <w:top w:val="single" w:sz="4" w:space="0" w:color="000000"/>
              <w:bottom w:val="double" w:sz="4" w:space="0" w:color="000000"/>
              <w:right w:val="single" w:sz="4" w:space="0" w:color="000000"/>
            </w:tcBorders>
            <w:shd w:val="clear" w:color="auto" w:fill="auto"/>
            <w:vAlign w:val="center"/>
          </w:tcPr>
          <w:p w14:paraId="00CDDA03" w14:textId="77777777" w:rsidR="003311FD" w:rsidRPr="003B10E2" w:rsidRDefault="003311FD" w:rsidP="003311FD">
            <w:pPr>
              <w:widowControl w:val="0"/>
              <w:spacing w:after="0" w:line="240" w:lineRule="auto"/>
              <w:rPr>
                <w:rFonts w:ascii="Times New Roman" w:eastAsia="Times New Roman" w:hAnsi="Times New Roman"/>
                <w:color w:val="000000"/>
                <w:sz w:val="24"/>
                <w:szCs w:val="24"/>
                <w:lang w:eastAsia="en-US"/>
              </w:rPr>
            </w:pPr>
            <w:r w:rsidRPr="003B10E2">
              <w:rPr>
                <w:rFonts w:ascii="Times New Roman" w:eastAsia="Times New Roman" w:hAnsi="Times New Roman"/>
                <w:color w:val="000000"/>
                <w:sz w:val="24"/>
                <w:szCs w:val="24"/>
                <w:lang w:eastAsia="en-US"/>
              </w:rPr>
              <w:t>Активы институциональных инвесторов на конец года, млрд. долл.</w:t>
            </w:r>
          </w:p>
        </w:tc>
        <w:tc>
          <w:tcPr>
            <w:tcW w:w="2062" w:type="dxa"/>
            <w:tcBorders>
              <w:top w:val="single" w:sz="4" w:space="0" w:color="000000"/>
              <w:bottom w:val="double" w:sz="4" w:space="0" w:color="000000"/>
              <w:right w:val="single" w:sz="4" w:space="0" w:color="000000"/>
            </w:tcBorders>
            <w:shd w:val="clear" w:color="auto" w:fill="auto"/>
            <w:vAlign w:val="center"/>
          </w:tcPr>
          <w:p w14:paraId="743154D1" w14:textId="77777777" w:rsidR="003311FD" w:rsidRPr="003B10E2" w:rsidRDefault="003311FD" w:rsidP="003311FD">
            <w:pPr>
              <w:widowControl w:val="0"/>
              <w:spacing w:after="0" w:line="240" w:lineRule="auto"/>
              <w:rPr>
                <w:rFonts w:ascii="Times New Roman" w:eastAsia="Times New Roman" w:hAnsi="Times New Roman"/>
                <w:color w:val="000000"/>
                <w:sz w:val="24"/>
                <w:szCs w:val="24"/>
                <w:lang w:eastAsia="en-US"/>
              </w:rPr>
            </w:pPr>
            <w:r w:rsidRPr="003B10E2">
              <w:rPr>
                <w:rFonts w:ascii="Times New Roman" w:eastAsia="Times New Roman" w:hAnsi="Times New Roman"/>
                <w:color w:val="000000"/>
                <w:sz w:val="24"/>
                <w:szCs w:val="24"/>
                <w:lang w:eastAsia="en-US"/>
              </w:rPr>
              <w:t>Прирост потоков инвестиций к активам глобальных институциональных инвесторов, %</w:t>
            </w:r>
          </w:p>
          <w:p w14:paraId="238FCAD1" w14:textId="77777777" w:rsidR="003311FD" w:rsidRPr="003B10E2" w:rsidRDefault="003311FD" w:rsidP="003311FD">
            <w:pPr>
              <w:widowControl w:val="0"/>
              <w:spacing w:after="0" w:line="240" w:lineRule="auto"/>
              <w:rPr>
                <w:rFonts w:ascii="Times New Roman" w:eastAsia="Times New Roman" w:hAnsi="Times New Roman"/>
                <w:color w:val="000000"/>
                <w:sz w:val="24"/>
                <w:szCs w:val="24"/>
                <w:lang w:eastAsia="en-US"/>
              </w:rPr>
            </w:pPr>
          </w:p>
        </w:tc>
      </w:tr>
      <w:tr w:rsidR="003311FD" w:rsidRPr="003B10E2" w14:paraId="0245A9BE" w14:textId="77777777" w:rsidTr="003311FD">
        <w:trPr>
          <w:trHeight w:val="287"/>
        </w:trPr>
        <w:tc>
          <w:tcPr>
            <w:tcW w:w="2770" w:type="dxa"/>
            <w:tcBorders>
              <w:left w:val="single" w:sz="4" w:space="0" w:color="000000"/>
              <w:bottom w:val="single" w:sz="4" w:space="0" w:color="000000"/>
              <w:right w:val="single" w:sz="4" w:space="0" w:color="000000"/>
            </w:tcBorders>
            <w:shd w:val="clear" w:color="auto" w:fill="auto"/>
            <w:vAlign w:val="bottom"/>
          </w:tcPr>
          <w:p w14:paraId="50AB4061" w14:textId="77777777" w:rsidR="003311FD" w:rsidRPr="003B10E2" w:rsidRDefault="003311FD" w:rsidP="003311FD">
            <w:pPr>
              <w:widowControl w:val="0"/>
              <w:spacing w:after="0" w:line="240" w:lineRule="auto"/>
              <w:rPr>
                <w:rFonts w:ascii="Times New Roman" w:eastAsia="Times New Roman" w:hAnsi="Times New Roman"/>
                <w:color w:val="000000"/>
                <w:sz w:val="24"/>
                <w:szCs w:val="24"/>
                <w:lang w:eastAsia="en-US"/>
              </w:rPr>
            </w:pPr>
            <w:r w:rsidRPr="003B10E2">
              <w:rPr>
                <w:rFonts w:ascii="Times New Roman" w:eastAsia="Times New Roman" w:hAnsi="Times New Roman"/>
                <w:color w:val="000000"/>
                <w:sz w:val="24"/>
                <w:szCs w:val="24"/>
                <w:lang w:eastAsia="en-US"/>
              </w:rPr>
              <w:t>Облигации</w:t>
            </w:r>
          </w:p>
        </w:tc>
        <w:tc>
          <w:tcPr>
            <w:tcW w:w="2200" w:type="dxa"/>
            <w:tcBorders>
              <w:top w:val="double" w:sz="4" w:space="0" w:color="000000"/>
              <w:bottom w:val="single" w:sz="4" w:space="0" w:color="000000"/>
              <w:right w:val="single" w:sz="4" w:space="0" w:color="000000"/>
            </w:tcBorders>
            <w:shd w:val="clear" w:color="auto" w:fill="auto"/>
            <w:vAlign w:val="bottom"/>
          </w:tcPr>
          <w:p w14:paraId="54D196CA" w14:textId="77777777" w:rsidR="003311FD" w:rsidRPr="003B10E2" w:rsidRDefault="003311FD" w:rsidP="003311FD">
            <w:pPr>
              <w:widowControl w:val="0"/>
              <w:spacing w:after="0" w:line="240" w:lineRule="auto"/>
              <w:jc w:val="center"/>
              <w:rPr>
                <w:rFonts w:ascii="Times New Roman" w:eastAsia="Times New Roman" w:hAnsi="Times New Roman"/>
                <w:color w:val="000000"/>
                <w:sz w:val="24"/>
                <w:szCs w:val="24"/>
                <w:lang w:eastAsia="en-US"/>
              </w:rPr>
            </w:pPr>
            <w:r w:rsidRPr="003B10E2">
              <w:rPr>
                <w:rFonts w:ascii="Times New Roman" w:eastAsia="Times New Roman" w:hAnsi="Times New Roman"/>
                <w:color w:val="000000"/>
                <w:sz w:val="24"/>
                <w:szCs w:val="24"/>
                <w:lang w:eastAsia="en-US"/>
              </w:rPr>
              <w:t>-130,76</w:t>
            </w:r>
          </w:p>
        </w:tc>
        <w:tc>
          <w:tcPr>
            <w:tcW w:w="2319" w:type="dxa"/>
            <w:tcBorders>
              <w:top w:val="double" w:sz="4" w:space="0" w:color="000000"/>
              <w:bottom w:val="single" w:sz="4" w:space="0" w:color="000000"/>
              <w:right w:val="single" w:sz="4" w:space="0" w:color="000000"/>
            </w:tcBorders>
            <w:shd w:val="clear" w:color="auto" w:fill="auto"/>
            <w:vAlign w:val="bottom"/>
          </w:tcPr>
          <w:p w14:paraId="07929D27" w14:textId="77777777" w:rsidR="003311FD" w:rsidRPr="003B10E2" w:rsidRDefault="003311FD" w:rsidP="003311FD">
            <w:pPr>
              <w:widowControl w:val="0"/>
              <w:spacing w:after="0" w:line="240" w:lineRule="auto"/>
              <w:jc w:val="center"/>
              <w:rPr>
                <w:rFonts w:ascii="Times New Roman" w:eastAsia="Times New Roman" w:hAnsi="Times New Roman"/>
                <w:color w:val="000000"/>
                <w:sz w:val="24"/>
                <w:szCs w:val="24"/>
                <w:lang w:eastAsia="en-US"/>
              </w:rPr>
            </w:pPr>
            <w:r w:rsidRPr="003B10E2">
              <w:rPr>
                <w:rFonts w:ascii="Times New Roman" w:eastAsia="Times New Roman" w:hAnsi="Times New Roman"/>
                <w:color w:val="000000"/>
                <w:sz w:val="24"/>
                <w:szCs w:val="24"/>
                <w:lang w:eastAsia="en-US"/>
              </w:rPr>
              <w:t>1376</w:t>
            </w:r>
            <w:r w:rsidRPr="003B10E2">
              <w:rPr>
                <w:rFonts w:ascii="Times New Roman" w:eastAsia="Times New Roman" w:hAnsi="Times New Roman"/>
                <w:color w:val="000000"/>
                <w:sz w:val="24"/>
                <w:szCs w:val="24"/>
                <w:lang w:val="en-GB" w:eastAsia="en-US"/>
              </w:rPr>
              <w:t>,</w:t>
            </w:r>
            <w:r w:rsidRPr="003B10E2">
              <w:rPr>
                <w:rFonts w:ascii="Times New Roman" w:eastAsia="Times New Roman" w:hAnsi="Times New Roman"/>
                <w:color w:val="000000"/>
                <w:sz w:val="24"/>
                <w:szCs w:val="24"/>
                <w:lang w:eastAsia="en-US"/>
              </w:rPr>
              <w:t>38</w:t>
            </w:r>
          </w:p>
        </w:tc>
        <w:tc>
          <w:tcPr>
            <w:tcW w:w="2062" w:type="dxa"/>
            <w:tcBorders>
              <w:top w:val="double" w:sz="4" w:space="0" w:color="000000"/>
              <w:bottom w:val="single" w:sz="4" w:space="0" w:color="000000"/>
              <w:right w:val="single" w:sz="4" w:space="0" w:color="000000"/>
            </w:tcBorders>
            <w:shd w:val="clear" w:color="auto" w:fill="auto"/>
            <w:vAlign w:val="bottom"/>
          </w:tcPr>
          <w:p w14:paraId="1EA38583" w14:textId="77777777" w:rsidR="003311FD" w:rsidRPr="003B10E2" w:rsidRDefault="003311FD" w:rsidP="003311FD">
            <w:pPr>
              <w:widowControl w:val="0"/>
              <w:spacing w:after="0" w:line="240" w:lineRule="auto"/>
              <w:jc w:val="center"/>
              <w:rPr>
                <w:rFonts w:ascii="Times New Roman" w:eastAsia="Times New Roman" w:hAnsi="Times New Roman"/>
                <w:color w:val="000000"/>
                <w:sz w:val="24"/>
                <w:szCs w:val="24"/>
                <w:lang w:eastAsia="en-US"/>
              </w:rPr>
            </w:pPr>
            <w:r w:rsidRPr="003B10E2">
              <w:rPr>
                <w:rFonts w:ascii="Times New Roman" w:eastAsia="Times New Roman" w:hAnsi="Times New Roman"/>
                <w:color w:val="000000"/>
                <w:sz w:val="24"/>
                <w:szCs w:val="24"/>
                <w:lang w:eastAsia="en-US"/>
              </w:rPr>
              <w:t>-9,50</w:t>
            </w:r>
          </w:p>
        </w:tc>
      </w:tr>
      <w:tr w:rsidR="003311FD" w:rsidRPr="003B10E2" w14:paraId="685CF997" w14:textId="77777777" w:rsidTr="003311FD">
        <w:trPr>
          <w:trHeight w:val="287"/>
        </w:trPr>
        <w:tc>
          <w:tcPr>
            <w:tcW w:w="2770" w:type="dxa"/>
            <w:tcBorders>
              <w:left w:val="single" w:sz="4" w:space="0" w:color="000000"/>
              <w:bottom w:val="single" w:sz="4" w:space="0" w:color="000000"/>
              <w:right w:val="single" w:sz="4" w:space="0" w:color="000000"/>
            </w:tcBorders>
            <w:shd w:val="clear" w:color="auto" w:fill="auto"/>
            <w:vAlign w:val="bottom"/>
          </w:tcPr>
          <w:p w14:paraId="458D8583" w14:textId="77777777" w:rsidR="003311FD" w:rsidRPr="003B10E2" w:rsidRDefault="003311FD" w:rsidP="003311FD">
            <w:pPr>
              <w:widowControl w:val="0"/>
              <w:spacing w:after="0" w:line="240" w:lineRule="auto"/>
              <w:rPr>
                <w:rFonts w:ascii="Times New Roman" w:eastAsia="Times New Roman" w:hAnsi="Times New Roman"/>
                <w:color w:val="000000"/>
                <w:sz w:val="24"/>
                <w:szCs w:val="24"/>
                <w:lang w:eastAsia="en-US"/>
              </w:rPr>
            </w:pPr>
            <w:r w:rsidRPr="003B10E2">
              <w:rPr>
                <w:rFonts w:ascii="Times New Roman" w:eastAsia="Times New Roman" w:hAnsi="Times New Roman"/>
                <w:color w:val="000000"/>
                <w:sz w:val="24"/>
                <w:szCs w:val="24"/>
                <w:lang w:eastAsia="en-US"/>
              </w:rPr>
              <w:t>Т</w:t>
            </w:r>
            <w:r w:rsidRPr="003B10E2">
              <w:rPr>
                <w:rFonts w:ascii="Times New Roman" w:eastAsia="Times New Roman" w:hAnsi="Times New Roman"/>
                <w:color w:val="000000"/>
                <w:sz w:val="24"/>
                <w:szCs w:val="24"/>
                <w:lang w:val="en-US" w:eastAsia="en-US"/>
              </w:rPr>
              <w:t>оварные активы</w:t>
            </w:r>
          </w:p>
        </w:tc>
        <w:tc>
          <w:tcPr>
            <w:tcW w:w="2200" w:type="dxa"/>
            <w:tcBorders>
              <w:bottom w:val="single" w:sz="4" w:space="0" w:color="000000"/>
              <w:right w:val="single" w:sz="4" w:space="0" w:color="000000"/>
            </w:tcBorders>
            <w:shd w:val="clear" w:color="auto" w:fill="auto"/>
            <w:vAlign w:val="bottom"/>
          </w:tcPr>
          <w:p w14:paraId="6147C1DD" w14:textId="77777777" w:rsidR="003311FD" w:rsidRPr="003B10E2" w:rsidRDefault="003311FD" w:rsidP="003311FD">
            <w:pPr>
              <w:widowControl w:val="0"/>
              <w:spacing w:after="0" w:line="240" w:lineRule="auto"/>
              <w:jc w:val="center"/>
              <w:rPr>
                <w:rFonts w:ascii="Times New Roman" w:eastAsia="Times New Roman" w:hAnsi="Times New Roman"/>
                <w:color w:val="000000"/>
                <w:sz w:val="24"/>
                <w:szCs w:val="24"/>
                <w:lang w:eastAsia="en-US"/>
              </w:rPr>
            </w:pPr>
            <w:r w:rsidRPr="003B10E2">
              <w:rPr>
                <w:rFonts w:ascii="Times New Roman" w:eastAsia="Times New Roman" w:hAnsi="Times New Roman"/>
                <w:color w:val="000000"/>
                <w:sz w:val="24"/>
                <w:szCs w:val="24"/>
                <w:lang w:eastAsia="en-US"/>
              </w:rPr>
              <w:t>453</w:t>
            </w:r>
            <w:r w:rsidRPr="003B10E2">
              <w:rPr>
                <w:rFonts w:ascii="Times New Roman" w:eastAsia="Times New Roman" w:hAnsi="Times New Roman"/>
                <w:color w:val="000000"/>
                <w:sz w:val="24"/>
                <w:szCs w:val="24"/>
                <w:lang w:val="en-GB" w:eastAsia="en-US"/>
              </w:rPr>
              <w:t>,</w:t>
            </w:r>
            <w:r w:rsidRPr="003B10E2">
              <w:rPr>
                <w:rFonts w:ascii="Times New Roman" w:eastAsia="Times New Roman" w:hAnsi="Times New Roman"/>
                <w:color w:val="000000"/>
                <w:sz w:val="24"/>
                <w:szCs w:val="24"/>
                <w:lang w:eastAsia="en-US"/>
              </w:rPr>
              <w:t>65</w:t>
            </w:r>
          </w:p>
        </w:tc>
        <w:tc>
          <w:tcPr>
            <w:tcW w:w="2319" w:type="dxa"/>
            <w:tcBorders>
              <w:bottom w:val="single" w:sz="4" w:space="0" w:color="000000"/>
              <w:right w:val="single" w:sz="4" w:space="0" w:color="000000"/>
            </w:tcBorders>
            <w:shd w:val="clear" w:color="auto" w:fill="auto"/>
            <w:vAlign w:val="bottom"/>
          </w:tcPr>
          <w:p w14:paraId="18E532E0" w14:textId="77777777" w:rsidR="003311FD" w:rsidRPr="003B10E2" w:rsidRDefault="003311FD" w:rsidP="003311FD">
            <w:pPr>
              <w:widowControl w:val="0"/>
              <w:spacing w:after="0" w:line="240" w:lineRule="auto"/>
              <w:jc w:val="center"/>
              <w:rPr>
                <w:rFonts w:ascii="Times New Roman" w:eastAsia="Times New Roman" w:hAnsi="Times New Roman"/>
                <w:color w:val="000000"/>
                <w:sz w:val="24"/>
                <w:szCs w:val="24"/>
                <w:lang w:eastAsia="en-US"/>
              </w:rPr>
            </w:pPr>
            <w:r w:rsidRPr="003B10E2">
              <w:rPr>
                <w:rFonts w:ascii="Times New Roman" w:eastAsia="Times New Roman" w:hAnsi="Times New Roman"/>
                <w:color w:val="000000"/>
                <w:sz w:val="24"/>
                <w:szCs w:val="24"/>
                <w:lang w:eastAsia="en-US"/>
              </w:rPr>
              <w:t>13534</w:t>
            </w:r>
            <w:r w:rsidRPr="003B10E2">
              <w:rPr>
                <w:rFonts w:ascii="Times New Roman" w:eastAsia="Times New Roman" w:hAnsi="Times New Roman"/>
                <w:color w:val="000000"/>
                <w:sz w:val="24"/>
                <w:szCs w:val="24"/>
                <w:lang w:val="en-GB" w:eastAsia="en-US"/>
              </w:rPr>
              <w:t>,</w:t>
            </w:r>
            <w:r w:rsidRPr="003B10E2">
              <w:rPr>
                <w:rFonts w:ascii="Times New Roman" w:eastAsia="Times New Roman" w:hAnsi="Times New Roman"/>
                <w:color w:val="000000"/>
                <w:sz w:val="24"/>
                <w:szCs w:val="24"/>
                <w:lang w:eastAsia="en-US"/>
              </w:rPr>
              <w:t>90</w:t>
            </w:r>
          </w:p>
        </w:tc>
        <w:tc>
          <w:tcPr>
            <w:tcW w:w="2062" w:type="dxa"/>
            <w:tcBorders>
              <w:bottom w:val="single" w:sz="4" w:space="0" w:color="000000"/>
              <w:right w:val="single" w:sz="4" w:space="0" w:color="000000"/>
            </w:tcBorders>
            <w:shd w:val="clear" w:color="auto" w:fill="auto"/>
            <w:vAlign w:val="bottom"/>
          </w:tcPr>
          <w:p w14:paraId="2BDD6AF5" w14:textId="77777777" w:rsidR="003311FD" w:rsidRPr="003B10E2" w:rsidRDefault="003311FD" w:rsidP="003311FD">
            <w:pPr>
              <w:widowControl w:val="0"/>
              <w:spacing w:after="0" w:line="240" w:lineRule="auto"/>
              <w:jc w:val="center"/>
              <w:rPr>
                <w:rFonts w:ascii="Times New Roman" w:eastAsia="Times New Roman" w:hAnsi="Times New Roman"/>
                <w:color w:val="000000"/>
                <w:sz w:val="24"/>
                <w:szCs w:val="24"/>
                <w:lang w:eastAsia="en-US"/>
              </w:rPr>
            </w:pPr>
            <w:r w:rsidRPr="003B10E2">
              <w:rPr>
                <w:rFonts w:ascii="Times New Roman" w:eastAsia="Times New Roman" w:hAnsi="Times New Roman"/>
                <w:color w:val="000000"/>
                <w:sz w:val="24"/>
                <w:szCs w:val="24"/>
                <w:lang w:eastAsia="en-US"/>
              </w:rPr>
              <w:t>3,35</w:t>
            </w:r>
          </w:p>
        </w:tc>
      </w:tr>
      <w:tr w:rsidR="003311FD" w:rsidRPr="003B10E2" w14:paraId="2D8EF381" w14:textId="77777777" w:rsidTr="003311FD">
        <w:trPr>
          <w:trHeight w:val="287"/>
        </w:trPr>
        <w:tc>
          <w:tcPr>
            <w:tcW w:w="2770" w:type="dxa"/>
            <w:tcBorders>
              <w:left w:val="single" w:sz="4" w:space="0" w:color="000000"/>
              <w:bottom w:val="single" w:sz="4" w:space="0" w:color="000000"/>
              <w:right w:val="single" w:sz="4" w:space="0" w:color="000000"/>
            </w:tcBorders>
            <w:shd w:val="clear" w:color="auto" w:fill="auto"/>
            <w:vAlign w:val="bottom"/>
          </w:tcPr>
          <w:p w14:paraId="51E005B9" w14:textId="77777777" w:rsidR="003311FD" w:rsidRPr="003B10E2" w:rsidRDefault="003311FD" w:rsidP="003311FD">
            <w:pPr>
              <w:widowControl w:val="0"/>
              <w:spacing w:after="0" w:line="240" w:lineRule="auto"/>
              <w:rPr>
                <w:rFonts w:ascii="Times New Roman" w:eastAsia="Times New Roman" w:hAnsi="Times New Roman"/>
                <w:color w:val="000000"/>
                <w:sz w:val="24"/>
                <w:szCs w:val="24"/>
                <w:lang w:val="en-US" w:eastAsia="en-US"/>
              </w:rPr>
            </w:pPr>
            <w:r w:rsidRPr="003B10E2">
              <w:rPr>
                <w:rFonts w:ascii="Times New Roman" w:eastAsia="Times New Roman" w:hAnsi="Times New Roman"/>
                <w:color w:val="000000"/>
                <w:sz w:val="24"/>
                <w:szCs w:val="24"/>
                <w:lang w:val="en-US" w:eastAsia="en-US"/>
              </w:rPr>
              <w:t>Акции</w:t>
            </w:r>
          </w:p>
        </w:tc>
        <w:tc>
          <w:tcPr>
            <w:tcW w:w="2200" w:type="dxa"/>
            <w:tcBorders>
              <w:bottom w:val="single" w:sz="4" w:space="0" w:color="000000"/>
              <w:right w:val="single" w:sz="4" w:space="0" w:color="000000"/>
            </w:tcBorders>
            <w:shd w:val="clear" w:color="auto" w:fill="auto"/>
            <w:vAlign w:val="bottom"/>
          </w:tcPr>
          <w:p w14:paraId="1A486B51" w14:textId="77777777" w:rsidR="003311FD" w:rsidRPr="003B10E2" w:rsidRDefault="003311FD" w:rsidP="003311FD">
            <w:pPr>
              <w:widowControl w:val="0"/>
              <w:spacing w:after="0" w:line="240" w:lineRule="auto"/>
              <w:jc w:val="center"/>
              <w:rPr>
                <w:rFonts w:ascii="Times New Roman" w:eastAsia="Times New Roman" w:hAnsi="Times New Roman"/>
                <w:color w:val="000000"/>
                <w:sz w:val="24"/>
                <w:szCs w:val="24"/>
                <w:lang w:val="en-US" w:eastAsia="en-US"/>
              </w:rPr>
            </w:pPr>
            <w:r w:rsidRPr="003B10E2">
              <w:rPr>
                <w:rFonts w:ascii="Times New Roman" w:eastAsia="Times New Roman" w:hAnsi="Times New Roman"/>
                <w:color w:val="000000"/>
                <w:sz w:val="24"/>
                <w:szCs w:val="24"/>
                <w:lang w:val="en-US" w:eastAsia="en-US"/>
              </w:rPr>
              <w:t>48,95</w:t>
            </w:r>
          </w:p>
        </w:tc>
        <w:tc>
          <w:tcPr>
            <w:tcW w:w="2319" w:type="dxa"/>
            <w:tcBorders>
              <w:bottom w:val="single" w:sz="4" w:space="0" w:color="000000"/>
              <w:right w:val="single" w:sz="4" w:space="0" w:color="000000"/>
            </w:tcBorders>
            <w:shd w:val="clear" w:color="auto" w:fill="auto"/>
            <w:vAlign w:val="bottom"/>
          </w:tcPr>
          <w:p w14:paraId="6749C57C" w14:textId="77777777" w:rsidR="003311FD" w:rsidRPr="003B10E2" w:rsidRDefault="003311FD" w:rsidP="003311FD">
            <w:pPr>
              <w:widowControl w:val="0"/>
              <w:spacing w:after="0" w:line="240" w:lineRule="auto"/>
              <w:jc w:val="center"/>
              <w:rPr>
                <w:rFonts w:ascii="Times New Roman" w:eastAsia="Times New Roman" w:hAnsi="Times New Roman"/>
                <w:color w:val="000000"/>
                <w:sz w:val="24"/>
                <w:szCs w:val="24"/>
                <w:lang w:val="en-US" w:eastAsia="en-US"/>
              </w:rPr>
            </w:pPr>
            <w:r w:rsidRPr="003B10E2">
              <w:rPr>
                <w:rFonts w:ascii="Times New Roman" w:eastAsia="Times New Roman" w:hAnsi="Times New Roman"/>
                <w:color w:val="000000"/>
                <w:sz w:val="24"/>
                <w:szCs w:val="24"/>
                <w:lang w:val="en-US" w:eastAsia="en-US"/>
              </w:rPr>
              <w:t>274,23</w:t>
            </w:r>
          </w:p>
        </w:tc>
        <w:tc>
          <w:tcPr>
            <w:tcW w:w="2062" w:type="dxa"/>
            <w:tcBorders>
              <w:bottom w:val="single" w:sz="4" w:space="0" w:color="000000"/>
              <w:right w:val="single" w:sz="4" w:space="0" w:color="000000"/>
            </w:tcBorders>
            <w:shd w:val="clear" w:color="auto" w:fill="auto"/>
            <w:vAlign w:val="bottom"/>
          </w:tcPr>
          <w:p w14:paraId="142A15B1" w14:textId="77777777" w:rsidR="003311FD" w:rsidRPr="003B10E2" w:rsidRDefault="003311FD" w:rsidP="003311FD">
            <w:pPr>
              <w:widowControl w:val="0"/>
              <w:spacing w:after="0" w:line="240" w:lineRule="auto"/>
              <w:jc w:val="center"/>
              <w:rPr>
                <w:rFonts w:ascii="Times New Roman" w:eastAsia="Times New Roman" w:hAnsi="Times New Roman"/>
                <w:color w:val="000000"/>
                <w:sz w:val="24"/>
                <w:szCs w:val="24"/>
                <w:lang w:val="en-US" w:eastAsia="en-US"/>
              </w:rPr>
            </w:pPr>
            <w:r w:rsidRPr="003B10E2">
              <w:rPr>
                <w:rFonts w:ascii="Times New Roman" w:eastAsia="Times New Roman" w:hAnsi="Times New Roman"/>
                <w:color w:val="000000"/>
                <w:sz w:val="24"/>
                <w:szCs w:val="24"/>
                <w:lang w:val="en-US" w:eastAsia="en-US"/>
              </w:rPr>
              <w:t>17,85</w:t>
            </w:r>
          </w:p>
        </w:tc>
      </w:tr>
      <w:tr w:rsidR="003311FD" w:rsidRPr="003B10E2" w14:paraId="015AE25D" w14:textId="77777777" w:rsidTr="003311FD">
        <w:trPr>
          <w:trHeight w:val="287"/>
        </w:trPr>
        <w:tc>
          <w:tcPr>
            <w:tcW w:w="2770" w:type="dxa"/>
            <w:tcBorders>
              <w:left w:val="single" w:sz="4" w:space="0" w:color="000000"/>
              <w:bottom w:val="single" w:sz="4" w:space="0" w:color="000000"/>
              <w:right w:val="single" w:sz="4" w:space="0" w:color="000000"/>
            </w:tcBorders>
            <w:shd w:val="clear" w:color="auto" w:fill="auto"/>
            <w:vAlign w:val="bottom"/>
          </w:tcPr>
          <w:p w14:paraId="60206B49" w14:textId="77777777" w:rsidR="003311FD" w:rsidRPr="003B10E2" w:rsidRDefault="003311FD" w:rsidP="003311FD">
            <w:pPr>
              <w:widowControl w:val="0"/>
              <w:spacing w:after="0" w:line="240" w:lineRule="auto"/>
              <w:rPr>
                <w:rFonts w:ascii="Times New Roman" w:eastAsia="Times New Roman" w:hAnsi="Times New Roman"/>
                <w:color w:val="000000"/>
                <w:sz w:val="24"/>
                <w:szCs w:val="24"/>
                <w:lang w:val="en-US" w:eastAsia="en-US"/>
              </w:rPr>
            </w:pPr>
            <w:r w:rsidRPr="003B10E2">
              <w:rPr>
                <w:rFonts w:ascii="Times New Roman" w:eastAsia="Times New Roman" w:hAnsi="Times New Roman"/>
                <w:color w:val="000000"/>
                <w:sz w:val="24"/>
                <w:szCs w:val="24"/>
                <w:lang w:val="en-US" w:eastAsia="en-US"/>
              </w:rPr>
              <w:t>Смешанные</w:t>
            </w:r>
            <w:r w:rsidRPr="003B10E2">
              <w:rPr>
                <w:rFonts w:ascii="Times New Roman" w:eastAsia="Times New Roman" w:hAnsi="Times New Roman"/>
                <w:color w:val="000000"/>
                <w:sz w:val="24"/>
                <w:szCs w:val="24"/>
                <w:lang w:eastAsia="en-US"/>
              </w:rPr>
              <w:t xml:space="preserve"> активы</w:t>
            </w:r>
          </w:p>
        </w:tc>
        <w:tc>
          <w:tcPr>
            <w:tcW w:w="2200" w:type="dxa"/>
            <w:tcBorders>
              <w:bottom w:val="single" w:sz="4" w:space="0" w:color="000000"/>
              <w:right w:val="single" w:sz="4" w:space="0" w:color="000000"/>
            </w:tcBorders>
            <w:shd w:val="clear" w:color="auto" w:fill="auto"/>
            <w:vAlign w:val="bottom"/>
          </w:tcPr>
          <w:p w14:paraId="56C0BE0A" w14:textId="77777777" w:rsidR="003311FD" w:rsidRPr="003B10E2" w:rsidRDefault="003311FD" w:rsidP="003311FD">
            <w:pPr>
              <w:widowControl w:val="0"/>
              <w:spacing w:after="0" w:line="240" w:lineRule="auto"/>
              <w:jc w:val="center"/>
              <w:rPr>
                <w:rFonts w:ascii="Times New Roman" w:eastAsia="Times New Roman" w:hAnsi="Times New Roman"/>
                <w:color w:val="000000"/>
                <w:sz w:val="24"/>
                <w:szCs w:val="24"/>
                <w:lang w:val="en-US" w:eastAsia="en-US"/>
              </w:rPr>
            </w:pPr>
            <w:r w:rsidRPr="003B10E2">
              <w:rPr>
                <w:rFonts w:ascii="Times New Roman" w:eastAsia="Times New Roman" w:hAnsi="Times New Roman"/>
                <w:color w:val="000000"/>
                <w:sz w:val="24"/>
                <w:szCs w:val="24"/>
                <w:lang w:val="en-US" w:eastAsia="en-US"/>
              </w:rPr>
              <w:t>-259,79</w:t>
            </w:r>
          </w:p>
        </w:tc>
        <w:tc>
          <w:tcPr>
            <w:tcW w:w="2319" w:type="dxa"/>
            <w:tcBorders>
              <w:bottom w:val="single" w:sz="4" w:space="0" w:color="000000"/>
              <w:right w:val="single" w:sz="4" w:space="0" w:color="000000"/>
            </w:tcBorders>
            <w:shd w:val="clear" w:color="auto" w:fill="auto"/>
            <w:vAlign w:val="bottom"/>
          </w:tcPr>
          <w:p w14:paraId="3B475C66" w14:textId="77777777" w:rsidR="003311FD" w:rsidRPr="003B10E2" w:rsidRDefault="003311FD" w:rsidP="003311FD">
            <w:pPr>
              <w:widowControl w:val="0"/>
              <w:spacing w:after="0" w:line="240" w:lineRule="auto"/>
              <w:jc w:val="center"/>
              <w:rPr>
                <w:rFonts w:ascii="Times New Roman" w:eastAsia="Times New Roman" w:hAnsi="Times New Roman"/>
                <w:color w:val="000000"/>
                <w:sz w:val="24"/>
                <w:szCs w:val="24"/>
                <w:lang w:val="en-US" w:eastAsia="en-US"/>
              </w:rPr>
            </w:pPr>
            <w:r w:rsidRPr="003B10E2">
              <w:rPr>
                <w:rFonts w:ascii="Times New Roman" w:eastAsia="Times New Roman" w:hAnsi="Times New Roman"/>
                <w:color w:val="000000"/>
                <w:sz w:val="24"/>
                <w:szCs w:val="24"/>
                <w:lang w:val="en-US" w:eastAsia="en-US"/>
              </w:rPr>
              <w:t>26818,476</w:t>
            </w:r>
          </w:p>
        </w:tc>
        <w:tc>
          <w:tcPr>
            <w:tcW w:w="2062" w:type="dxa"/>
            <w:tcBorders>
              <w:bottom w:val="single" w:sz="4" w:space="0" w:color="000000"/>
              <w:right w:val="single" w:sz="4" w:space="0" w:color="000000"/>
            </w:tcBorders>
            <w:shd w:val="clear" w:color="auto" w:fill="auto"/>
            <w:vAlign w:val="bottom"/>
          </w:tcPr>
          <w:p w14:paraId="3BB09BEF" w14:textId="77777777" w:rsidR="003311FD" w:rsidRPr="003B10E2" w:rsidRDefault="003311FD" w:rsidP="003311FD">
            <w:pPr>
              <w:widowControl w:val="0"/>
              <w:spacing w:after="0" w:line="240" w:lineRule="auto"/>
              <w:jc w:val="center"/>
              <w:rPr>
                <w:rFonts w:ascii="Times New Roman" w:eastAsia="Times New Roman" w:hAnsi="Times New Roman"/>
                <w:color w:val="000000"/>
                <w:sz w:val="24"/>
                <w:szCs w:val="24"/>
                <w:lang w:val="en-US" w:eastAsia="en-US"/>
              </w:rPr>
            </w:pPr>
            <w:r w:rsidRPr="003B10E2">
              <w:rPr>
                <w:rFonts w:ascii="Times New Roman" w:eastAsia="Times New Roman" w:hAnsi="Times New Roman"/>
                <w:color w:val="000000"/>
                <w:sz w:val="24"/>
                <w:szCs w:val="24"/>
                <w:lang w:val="en-US" w:eastAsia="en-US"/>
              </w:rPr>
              <w:t>-0,97</w:t>
            </w:r>
          </w:p>
        </w:tc>
      </w:tr>
      <w:tr w:rsidR="003311FD" w:rsidRPr="003B10E2" w14:paraId="747725B3" w14:textId="77777777" w:rsidTr="003311FD">
        <w:trPr>
          <w:trHeight w:val="287"/>
        </w:trPr>
        <w:tc>
          <w:tcPr>
            <w:tcW w:w="2770" w:type="dxa"/>
            <w:tcBorders>
              <w:left w:val="single" w:sz="4" w:space="0" w:color="000000"/>
              <w:bottom w:val="single" w:sz="4" w:space="0" w:color="000000"/>
              <w:right w:val="single" w:sz="4" w:space="0" w:color="000000"/>
            </w:tcBorders>
            <w:shd w:val="clear" w:color="auto" w:fill="auto"/>
            <w:vAlign w:val="bottom"/>
          </w:tcPr>
          <w:p w14:paraId="16AAC8A7" w14:textId="77777777" w:rsidR="003311FD" w:rsidRPr="003B10E2" w:rsidRDefault="003311FD" w:rsidP="003311FD">
            <w:pPr>
              <w:widowControl w:val="0"/>
              <w:spacing w:after="0" w:line="240" w:lineRule="auto"/>
              <w:rPr>
                <w:rFonts w:ascii="Times New Roman" w:eastAsia="Times New Roman" w:hAnsi="Times New Roman"/>
                <w:color w:val="000000"/>
                <w:sz w:val="24"/>
                <w:szCs w:val="24"/>
                <w:lang w:eastAsia="en-US"/>
              </w:rPr>
            </w:pPr>
            <w:r w:rsidRPr="003B10E2">
              <w:rPr>
                <w:rFonts w:ascii="Times New Roman" w:eastAsia="Times New Roman" w:hAnsi="Times New Roman"/>
                <w:color w:val="000000"/>
                <w:sz w:val="24"/>
                <w:szCs w:val="24"/>
                <w:lang w:val="en-US" w:eastAsia="en-US"/>
              </w:rPr>
              <w:t>Денежный рынок</w:t>
            </w:r>
          </w:p>
        </w:tc>
        <w:tc>
          <w:tcPr>
            <w:tcW w:w="2200" w:type="dxa"/>
            <w:tcBorders>
              <w:bottom w:val="single" w:sz="4" w:space="0" w:color="000000"/>
              <w:right w:val="single" w:sz="4" w:space="0" w:color="000000"/>
            </w:tcBorders>
            <w:shd w:val="clear" w:color="auto" w:fill="auto"/>
            <w:vAlign w:val="bottom"/>
          </w:tcPr>
          <w:p w14:paraId="30E0715B" w14:textId="77777777" w:rsidR="003311FD" w:rsidRPr="003B10E2" w:rsidRDefault="003311FD" w:rsidP="003311FD">
            <w:pPr>
              <w:widowControl w:val="0"/>
              <w:spacing w:after="0" w:line="240" w:lineRule="auto"/>
              <w:jc w:val="center"/>
              <w:rPr>
                <w:rFonts w:ascii="Times New Roman" w:eastAsia="Times New Roman" w:hAnsi="Times New Roman"/>
                <w:color w:val="000000"/>
                <w:sz w:val="24"/>
                <w:szCs w:val="24"/>
                <w:lang w:val="en-US" w:eastAsia="en-US"/>
              </w:rPr>
            </w:pPr>
            <w:r w:rsidRPr="003B10E2">
              <w:rPr>
                <w:rFonts w:ascii="Times New Roman" w:eastAsia="Times New Roman" w:hAnsi="Times New Roman"/>
                <w:color w:val="000000"/>
                <w:sz w:val="24"/>
                <w:szCs w:val="24"/>
                <w:lang w:val="en-US" w:eastAsia="en-US"/>
              </w:rPr>
              <w:t>-392,68</w:t>
            </w:r>
          </w:p>
        </w:tc>
        <w:tc>
          <w:tcPr>
            <w:tcW w:w="2319" w:type="dxa"/>
            <w:tcBorders>
              <w:bottom w:val="single" w:sz="4" w:space="0" w:color="000000"/>
              <w:right w:val="single" w:sz="4" w:space="0" w:color="000000"/>
            </w:tcBorders>
            <w:shd w:val="clear" w:color="auto" w:fill="auto"/>
            <w:vAlign w:val="bottom"/>
          </w:tcPr>
          <w:p w14:paraId="2D69885D" w14:textId="77777777" w:rsidR="003311FD" w:rsidRPr="003B10E2" w:rsidRDefault="003311FD" w:rsidP="003311FD">
            <w:pPr>
              <w:widowControl w:val="0"/>
              <w:spacing w:after="0" w:line="240" w:lineRule="auto"/>
              <w:jc w:val="center"/>
              <w:rPr>
                <w:rFonts w:ascii="Times New Roman" w:eastAsia="Times New Roman" w:hAnsi="Times New Roman"/>
                <w:color w:val="000000"/>
                <w:sz w:val="24"/>
                <w:szCs w:val="24"/>
                <w:lang w:val="en-US" w:eastAsia="en-US"/>
              </w:rPr>
            </w:pPr>
            <w:r w:rsidRPr="003B10E2">
              <w:rPr>
                <w:rFonts w:ascii="Times New Roman" w:eastAsia="Times New Roman" w:hAnsi="Times New Roman"/>
                <w:color w:val="000000"/>
                <w:sz w:val="24"/>
                <w:szCs w:val="24"/>
                <w:lang w:val="en-US" w:eastAsia="en-US"/>
              </w:rPr>
              <w:t>10375,28</w:t>
            </w:r>
          </w:p>
        </w:tc>
        <w:tc>
          <w:tcPr>
            <w:tcW w:w="2062" w:type="dxa"/>
            <w:tcBorders>
              <w:bottom w:val="single" w:sz="4" w:space="0" w:color="000000"/>
              <w:right w:val="single" w:sz="4" w:space="0" w:color="000000"/>
            </w:tcBorders>
            <w:shd w:val="clear" w:color="auto" w:fill="auto"/>
            <w:vAlign w:val="bottom"/>
          </w:tcPr>
          <w:p w14:paraId="44A120E1" w14:textId="77777777" w:rsidR="003311FD" w:rsidRPr="003B10E2" w:rsidRDefault="003311FD" w:rsidP="003311FD">
            <w:pPr>
              <w:widowControl w:val="0"/>
              <w:spacing w:after="0" w:line="240" w:lineRule="auto"/>
              <w:jc w:val="center"/>
              <w:rPr>
                <w:rFonts w:ascii="Times New Roman" w:eastAsia="Times New Roman" w:hAnsi="Times New Roman"/>
                <w:color w:val="000000"/>
                <w:sz w:val="24"/>
                <w:szCs w:val="24"/>
                <w:lang w:val="en-US" w:eastAsia="en-US"/>
              </w:rPr>
            </w:pPr>
            <w:r w:rsidRPr="003B10E2">
              <w:rPr>
                <w:rFonts w:ascii="Times New Roman" w:eastAsia="Times New Roman" w:hAnsi="Times New Roman"/>
                <w:color w:val="000000"/>
                <w:sz w:val="24"/>
                <w:szCs w:val="24"/>
                <w:lang w:val="en-US" w:eastAsia="en-US"/>
              </w:rPr>
              <w:t>-3</w:t>
            </w:r>
            <w:r w:rsidRPr="003B10E2">
              <w:rPr>
                <w:rFonts w:ascii="Times New Roman" w:eastAsia="Times New Roman" w:hAnsi="Times New Roman"/>
                <w:color w:val="000000"/>
                <w:sz w:val="24"/>
                <w:szCs w:val="24"/>
                <w:lang w:eastAsia="en-US"/>
              </w:rPr>
              <w:t>,</w:t>
            </w:r>
            <w:r w:rsidRPr="003B10E2">
              <w:rPr>
                <w:rFonts w:ascii="Times New Roman" w:eastAsia="Times New Roman" w:hAnsi="Times New Roman"/>
                <w:color w:val="000000"/>
                <w:sz w:val="24"/>
                <w:szCs w:val="24"/>
                <w:lang w:val="en-US" w:eastAsia="en-US"/>
              </w:rPr>
              <w:t>78</w:t>
            </w:r>
          </w:p>
        </w:tc>
      </w:tr>
      <w:tr w:rsidR="003311FD" w:rsidRPr="003B10E2" w14:paraId="354E2A84" w14:textId="77777777" w:rsidTr="003311FD">
        <w:trPr>
          <w:trHeight w:val="287"/>
        </w:trPr>
        <w:tc>
          <w:tcPr>
            <w:tcW w:w="2770" w:type="dxa"/>
            <w:tcBorders>
              <w:left w:val="single" w:sz="4" w:space="0" w:color="000000"/>
              <w:bottom w:val="single" w:sz="4" w:space="0" w:color="auto"/>
              <w:right w:val="single" w:sz="4" w:space="0" w:color="000000"/>
            </w:tcBorders>
            <w:shd w:val="clear" w:color="auto" w:fill="auto"/>
            <w:vAlign w:val="bottom"/>
          </w:tcPr>
          <w:p w14:paraId="19EE30FA" w14:textId="77777777" w:rsidR="003311FD" w:rsidRPr="003B10E2" w:rsidRDefault="003311FD" w:rsidP="003311FD">
            <w:pPr>
              <w:widowControl w:val="0"/>
              <w:spacing w:after="0" w:line="240" w:lineRule="auto"/>
              <w:rPr>
                <w:rFonts w:ascii="Times New Roman" w:eastAsia="Times New Roman" w:hAnsi="Times New Roman"/>
                <w:color w:val="000000"/>
                <w:sz w:val="24"/>
                <w:szCs w:val="24"/>
                <w:lang w:val="en-US" w:eastAsia="en-US"/>
              </w:rPr>
            </w:pPr>
            <w:r w:rsidRPr="003B10E2">
              <w:rPr>
                <w:rFonts w:ascii="Times New Roman" w:eastAsia="Times New Roman" w:hAnsi="Times New Roman"/>
                <w:color w:val="000000"/>
                <w:sz w:val="24"/>
                <w:szCs w:val="24"/>
                <w:lang w:val="en-US" w:eastAsia="en-US"/>
              </w:rPr>
              <w:t>Прочее</w:t>
            </w:r>
          </w:p>
        </w:tc>
        <w:tc>
          <w:tcPr>
            <w:tcW w:w="2200" w:type="dxa"/>
            <w:tcBorders>
              <w:bottom w:val="single" w:sz="4" w:space="0" w:color="000000"/>
              <w:right w:val="single" w:sz="4" w:space="0" w:color="000000"/>
            </w:tcBorders>
            <w:shd w:val="clear" w:color="auto" w:fill="auto"/>
            <w:vAlign w:val="bottom"/>
          </w:tcPr>
          <w:p w14:paraId="61D99E7E" w14:textId="77777777" w:rsidR="003311FD" w:rsidRPr="003B10E2" w:rsidRDefault="003311FD" w:rsidP="003311FD">
            <w:pPr>
              <w:widowControl w:val="0"/>
              <w:spacing w:after="0" w:line="240" w:lineRule="auto"/>
              <w:jc w:val="center"/>
              <w:rPr>
                <w:rFonts w:ascii="Times New Roman" w:eastAsia="Times New Roman" w:hAnsi="Times New Roman"/>
                <w:color w:val="000000"/>
                <w:sz w:val="24"/>
                <w:szCs w:val="24"/>
                <w:lang w:val="en-US" w:eastAsia="en-US"/>
              </w:rPr>
            </w:pPr>
            <w:r w:rsidRPr="003B10E2">
              <w:rPr>
                <w:rFonts w:ascii="Times New Roman" w:eastAsia="Times New Roman" w:hAnsi="Times New Roman"/>
                <w:color w:val="000000"/>
                <w:sz w:val="24"/>
                <w:szCs w:val="24"/>
                <w:lang w:val="en-US" w:eastAsia="en-US"/>
              </w:rPr>
              <w:t>1100,66</w:t>
            </w:r>
          </w:p>
        </w:tc>
        <w:tc>
          <w:tcPr>
            <w:tcW w:w="2319" w:type="dxa"/>
            <w:tcBorders>
              <w:bottom w:val="single" w:sz="4" w:space="0" w:color="000000"/>
              <w:right w:val="single" w:sz="4" w:space="0" w:color="000000"/>
            </w:tcBorders>
            <w:shd w:val="clear" w:color="auto" w:fill="auto"/>
            <w:vAlign w:val="bottom"/>
          </w:tcPr>
          <w:p w14:paraId="74A22009" w14:textId="77777777" w:rsidR="003311FD" w:rsidRPr="003B10E2" w:rsidRDefault="003311FD" w:rsidP="003311FD">
            <w:pPr>
              <w:widowControl w:val="0"/>
              <w:spacing w:after="0" w:line="240" w:lineRule="auto"/>
              <w:jc w:val="center"/>
              <w:rPr>
                <w:rFonts w:ascii="Times New Roman" w:eastAsia="Times New Roman" w:hAnsi="Times New Roman"/>
                <w:color w:val="000000"/>
                <w:sz w:val="24"/>
                <w:szCs w:val="24"/>
                <w:lang w:val="en-US" w:eastAsia="en-US"/>
              </w:rPr>
            </w:pPr>
            <w:r w:rsidRPr="003B10E2">
              <w:rPr>
                <w:rFonts w:ascii="Times New Roman" w:eastAsia="Times New Roman" w:hAnsi="Times New Roman"/>
                <w:color w:val="000000"/>
                <w:sz w:val="24"/>
                <w:szCs w:val="24"/>
                <w:lang w:val="en-US" w:eastAsia="en-US"/>
              </w:rPr>
              <w:t>8262,83</w:t>
            </w:r>
          </w:p>
        </w:tc>
        <w:tc>
          <w:tcPr>
            <w:tcW w:w="2062" w:type="dxa"/>
            <w:tcBorders>
              <w:bottom w:val="single" w:sz="4" w:space="0" w:color="000000"/>
              <w:right w:val="single" w:sz="4" w:space="0" w:color="000000"/>
            </w:tcBorders>
            <w:shd w:val="clear" w:color="auto" w:fill="auto"/>
            <w:vAlign w:val="bottom"/>
          </w:tcPr>
          <w:p w14:paraId="0AB3F86D" w14:textId="77777777" w:rsidR="003311FD" w:rsidRPr="003B10E2" w:rsidRDefault="003311FD" w:rsidP="003311FD">
            <w:pPr>
              <w:widowControl w:val="0"/>
              <w:spacing w:after="0" w:line="240" w:lineRule="auto"/>
              <w:jc w:val="center"/>
              <w:rPr>
                <w:rFonts w:ascii="Times New Roman" w:eastAsia="Times New Roman" w:hAnsi="Times New Roman"/>
                <w:color w:val="000000"/>
                <w:sz w:val="24"/>
                <w:szCs w:val="24"/>
                <w:lang w:val="en-US" w:eastAsia="en-US"/>
              </w:rPr>
            </w:pPr>
            <w:r w:rsidRPr="003B10E2">
              <w:rPr>
                <w:rFonts w:ascii="Times New Roman" w:eastAsia="Times New Roman" w:hAnsi="Times New Roman"/>
                <w:color w:val="000000"/>
                <w:sz w:val="24"/>
                <w:szCs w:val="24"/>
                <w:lang w:val="en-US" w:eastAsia="en-US"/>
              </w:rPr>
              <w:t>13,32</w:t>
            </w:r>
          </w:p>
        </w:tc>
      </w:tr>
      <w:tr w:rsidR="003311FD" w:rsidRPr="003B10E2" w14:paraId="073975CF" w14:textId="77777777" w:rsidTr="003311FD">
        <w:trPr>
          <w:trHeight w:val="287"/>
        </w:trPr>
        <w:tc>
          <w:tcPr>
            <w:tcW w:w="2770" w:type="dxa"/>
            <w:tcBorders>
              <w:top w:val="single" w:sz="4" w:space="0" w:color="auto"/>
              <w:left w:val="single" w:sz="4" w:space="0" w:color="auto"/>
              <w:bottom w:val="single" w:sz="4" w:space="0" w:color="auto"/>
              <w:right w:val="single" w:sz="4" w:space="0" w:color="auto"/>
            </w:tcBorders>
            <w:shd w:val="clear" w:color="auto" w:fill="auto"/>
            <w:vAlign w:val="bottom"/>
          </w:tcPr>
          <w:p w14:paraId="12C1D748" w14:textId="77777777" w:rsidR="003311FD" w:rsidRPr="003B10E2" w:rsidRDefault="003311FD" w:rsidP="003311FD">
            <w:pPr>
              <w:widowControl w:val="0"/>
              <w:spacing w:after="0" w:line="240" w:lineRule="auto"/>
              <w:rPr>
                <w:rFonts w:ascii="Times New Roman" w:eastAsia="Times New Roman" w:hAnsi="Times New Roman"/>
                <w:color w:val="000000"/>
                <w:sz w:val="24"/>
                <w:szCs w:val="24"/>
                <w:lang w:val="en-US" w:eastAsia="en-US"/>
              </w:rPr>
            </w:pPr>
            <w:r w:rsidRPr="003B10E2">
              <w:rPr>
                <w:rFonts w:ascii="Times New Roman" w:eastAsia="Times New Roman" w:hAnsi="Times New Roman"/>
                <w:color w:val="000000"/>
                <w:sz w:val="24"/>
                <w:szCs w:val="24"/>
                <w:lang w:val="en-US" w:eastAsia="en-US"/>
              </w:rPr>
              <w:t>Недвижимость</w:t>
            </w:r>
          </w:p>
        </w:tc>
        <w:tc>
          <w:tcPr>
            <w:tcW w:w="2200" w:type="dxa"/>
            <w:tcBorders>
              <w:bottom w:val="single" w:sz="4" w:space="0" w:color="auto"/>
              <w:right w:val="single" w:sz="4" w:space="0" w:color="000000"/>
            </w:tcBorders>
            <w:shd w:val="clear" w:color="auto" w:fill="auto"/>
            <w:vAlign w:val="bottom"/>
          </w:tcPr>
          <w:p w14:paraId="316CAA04" w14:textId="77777777" w:rsidR="003311FD" w:rsidRPr="003B10E2" w:rsidRDefault="003311FD" w:rsidP="003311FD">
            <w:pPr>
              <w:widowControl w:val="0"/>
              <w:spacing w:after="0" w:line="240" w:lineRule="auto"/>
              <w:jc w:val="center"/>
              <w:rPr>
                <w:rFonts w:ascii="Times New Roman" w:eastAsia="Times New Roman" w:hAnsi="Times New Roman"/>
                <w:color w:val="000000"/>
                <w:sz w:val="24"/>
                <w:szCs w:val="24"/>
                <w:lang w:val="en-US" w:eastAsia="en-US"/>
              </w:rPr>
            </w:pPr>
            <w:r w:rsidRPr="003B10E2">
              <w:rPr>
                <w:rFonts w:ascii="Times New Roman" w:eastAsia="Times New Roman" w:hAnsi="Times New Roman"/>
                <w:color w:val="000000"/>
                <w:sz w:val="24"/>
                <w:szCs w:val="24"/>
                <w:lang w:val="en-US" w:eastAsia="en-US"/>
              </w:rPr>
              <w:t>-10,41</w:t>
            </w:r>
          </w:p>
        </w:tc>
        <w:tc>
          <w:tcPr>
            <w:tcW w:w="2319" w:type="dxa"/>
            <w:tcBorders>
              <w:bottom w:val="single" w:sz="4" w:space="0" w:color="auto"/>
              <w:right w:val="single" w:sz="4" w:space="0" w:color="000000"/>
            </w:tcBorders>
            <w:shd w:val="clear" w:color="auto" w:fill="auto"/>
            <w:vAlign w:val="bottom"/>
          </w:tcPr>
          <w:p w14:paraId="30C33285" w14:textId="77777777" w:rsidR="003311FD" w:rsidRPr="003B10E2" w:rsidRDefault="003311FD" w:rsidP="003311FD">
            <w:pPr>
              <w:widowControl w:val="0"/>
              <w:spacing w:after="0" w:line="240" w:lineRule="auto"/>
              <w:jc w:val="center"/>
              <w:rPr>
                <w:rFonts w:ascii="Times New Roman" w:eastAsia="Times New Roman" w:hAnsi="Times New Roman"/>
                <w:color w:val="000000"/>
                <w:sz w:val="24"/>
                <w:szCs w:val="24"/>
                <w:lang w:val="en-US" w:eastAsia="en-US"/>
              </w:rPr>
            </w:pPr>
            <w:r w:rsidRPr="003B10E2">
              <w:rPr>
                <w:rFonts w:ascii="Times New Roman" w:eastAsia="Times New Roman" w:hAnsi="Times New Roman"/>
                <w:color w:val="000000"/>
                <w:sz w:val="24"/>
                <w:szCs w:val="24"/>
                <w:lang w:val="en-US" w:eastAsia="en-US"/>
              </w:rPr>
              <w:t>256,29</w:t>
            </w:r>
          </w:p>
        </w:tc>
        <w:tc>
          <w:tcPr>
            <w:tcW w:w="2062" w:type="dxa"/>
            <w:tcBorders>
              <w:bottom w:val="single" w:sz="4" w:space="0" w:color="auto"/>
              <w:right w:val="single" w:sz="4" w:space="0" w:color="000000"/>
            </w:tcBorders>
            <w:shd w:val="clear" w:color="auto" w:fill="auto"/>
            <w:vAlign w:val="bottom"/>
          </w:tcPr>
          <w:p w14:paraId="4B75F4B4" w14:textId="77777777" w:rsidR="003311FD" w:rsidRPr="003B10E2" w:rsidRDefault="003311FD" w:rsidP="003311FD">
            <w:pPr>
              <w:widowControl w:val="0"/>
              <w:spacing w:after="0" w:line="240" w:lineRule="auto"/>
              <w:jc w:val="center"/>
              <w:rPr>
                <w:rFonts w:ascii="Times New Roman" w:eastAsia="Times New Roman" w:hAnsi="Times New Roman"/>
                <w:color w:val="000000"/>
                <w:sz w:val="24"/>
                <w:szCs w:val="24"/>
                <w:lang w:val="en-US" w:eastAsia="en-US"/>
              </w:rPr>
            </w:pPr>
            <w:r w:rsidRPr="003B10E2">
              <w:rPr>
                <w:rFonts w:ascii="Times New Roman" w:eastAsia="Times New Roman" w:hAnsi="Times New Roman"/>
                <w:color w:val="000000"/>
                <w:sz w:val="24"/>
                <w:szCs w:val="24"/>
                <w:lang w:val="en-US" w:eastAsia="en-US"/>
              </w:rPr>
              <w:t>-4,06</w:t>
            </w:r>
          </w:p>
        </w:tc>
      </w:tr>
      <w:tr w:rsidR="003311FD" w:rsidRPr="003B10E2" w14:paraId="66A1B367" w14:textId="77777777" w:rsidTr="003311FD">
        <w:trPr>
          <w:trHeight w:val="287"/>
        </w:trPr>
        <w:tc>
          <w:tcPr>
            <w:tcW w:w="2770" w:type="dxa"/>
            <w:tcBorders>
              <w:top w:val="single" w:sz="4" w:space="0" w:color="auto"/>
              <w:left w:val="single" w:sz="4" w:space="0" w:color="auto"/>
              <w:bottom w:val="single" w:sz="4" w:space="0" w:color="auto"/>
              <w:right w:val="single" w:sz="4" w:space="0" w:color="auto"/>
            </w:tcBorders>
            <w:shd w:val="clear" w:color="auto" w:fill="auto"/>
            <w:vAlign w:val="bottom"/>
          </w:tcPr>
          <w:p w14:paraId="42694690" w14:textId="77777777" w:rsidR="003311FD" w:rsidRPr="003B10E2" w:rsidRDefault="003311FD" w:rsidP="003311FD">
            <w:pPr>
              <w:widowControl w:val="0"/>
              <w:spacing w:after="0" w:line="240" w:lineRule="auto"/>
              <w:rPr>
                <w:rFonts w:ascii="Times New Roman" w:eastAsia="Times New Roman" w:hAnsi="Times New Roman"/>
                <w:color w:val="000000"/>
                <w:sz w:val="24"/>
                <w:szCs w:val="24"/>
                <w:lang w:val="en-US" w:eastAsia="en-US"/>
              </w:rPr>
            </w:pPr>
          </w:p>
        </w:tc>
        <w:tc>
          <w:tcPr>
            <w:tcW w:w="2200" w:type="dxa"/>
            <w:tcBorders>
              <w:top w:val="single" w:sz="4" w:space="0" w:color="auto"/>
              <w:left w:val="single" w:sz="4" w:space="0" w:color="auto"/>
              <w:bottom w:val="single" w:sz="4" w:space="0" w:color="auto"/>
              <w:right w:val="single" w:sz="4" w:space="0" w:color="auto"/>
            </w:tcBorders>
            <w:shd w:val="clear" w:color="auto" w:fill="auto"/>
            <w:vAlign w:val="bottom"/>
          </w:tcPr>
          <w:p w14:paraId="5BC4DD46" w14:textId="77777777" w:rsidR="003311FD" w:rsidRPr="003B10E2" w:rsidRDefault="003311FD" w:rsidP="003311FD">
            <w:pPr>
              <w:widowControl w:val="0"/>
              <w:spacing w:after="0" w:line="240" w:lineRule="auto"/>
              <w:jc w:val="center"/>
              <w:rPr>
                <w:rFonts w:ascii="Times New Roman" w:eastAsia="Times New Roman" w:hAnsi="Times New Roman"/>
                <w:color w:val="000000"/>
                <w:sz w:val="24"/>
                <w:szCs w:val="24"/>
                <w:lang w:val="en-US" w:eastAsia="en-US"/>
              </w:rPr>
            </w:pPr>
          </w:p>
        </w:tc>
        <w:tc>
          <w:tcPr>
            <w:tcW w:w="2319" w:type="dxa"/>
            <w:tcBorders>
              <w:top w:val="single" w:sz="4" w:space="0" w:color="auto"/>
              <w:left w:val="single" w:sz="4" w:space="0" w:color="auto"/>
              <w:bottom w:val="single" w:sz="4" w:space="0" w:color="auto"/>
              <w:right w:val="single" w:sz="4" w:space="0" w:color="auto"/>
            </w:tcBorders>
            <w:shd w:val="clear" w:color="auto" w:fill="auto"/>
            <w:vAlign w:val="bottom"/>
          </w:tcPr>
          <w:p w14:paraId="2A69B3E7" w14:textId="77777777" w:rsidR="003311FD" w:rsidRPr="003B10E2" w:rsidRDefault="003311FD" w:rsidP="003311FD">
            <w:pPr>
              <w:widowControl w:val="0"/>
              <w:spacing w:after="0" w:line="240" w:lineRule="auto"/>
              <w:jc w:val="center"/>
              <w:rPr>
                <w:rFonts w:ascii="Times New Roman" w:eastAsia="Times New Roman" w:hAnsi="Times New Roman"/>
                <w:color w:val="000000"/>
                <w:sz w:val="24"/>
                <w:szCs w:val="24"/>
                <w:lang w:val="en-US" w:eastAsia="en-US"/>
              </w:rPr>
            </w:pPr>
          </w:p>
        </w:tc>
        <w:tc>
          <w:tcPr>
            <w:tcW w:w="2062" w:type="dxa"/>
            <w:tcBorders>
              <w:top w:val="single" w:sz="4" w:space="0" w:color="auto"/>
              <w:left w:val="single" w:sz="4" w:space="0" w:color="auto"/>
              <w:bottom w:val="single" w:sz="4" w:space="0" w:color="auto"/>
              <w:right w:val="single" w:sz="4" w:space="0" w:color="auto"/>
            </w:tcBorders>
            <w:shd w:val="clear" w:color="auto" w:fill="auto"/>
            <w:vAlign w:val="bottom"/>
          </w:tcPr>
          <w:p w14:paraId="342766DB" w14:textId="77777777" w:rsidR="003311FD" w:rsidRPr="003B10E2" w:rsidRDefault="003311FD" w:rsidP="003311FD">
            <w:pPr>
              <w:widowControl w:val="0"/>
              <w:spacing w:after="0" w:line="240" w:lineRule="auto"/>
              <w:jc w:val="center"/>
              <w:rPr>
                <w:rFonts w:ascii="Times New Roman" w:eastAsia="Times New Roman" w:hAnsi="Times New Roman"/>
                <w:color w:val="000000"/>
                <w:sz w:val="24"/>
                <w:szCs w:val="24"/>
                <w:lang w:val="en-US" w:eastAsia="en-US"/>
              </w:rPr>
            </w:pPr>
          </w:p>
        </w:tc>
      </w:tr>
    </w:tbl>
    <w:p w14:paraId="646C5A12" w14:textId="77777777" w:rsidR="008671C0" w:rsidRPr="003B10E2" w:rsidRDefault="008671C0" w:rsidP="003311FD">
      <w:pPr>
        <w:spacing w:after="0" w:line="240" w:lineRule="auto"/>
        <w:rPr>
          <w:rFonts w:ascii="Times New Roman" w:hAnsi="Times New Roman"/>
          <w:iCs/>
          <w:color w:val="000000"/>
          <w:sz w:val="24"/>
          <w:szCs w:val="24"/>
        </w:rPr>
      </w:pPr>
    </w:p>
    <w:p w14:paraId="2BC854B5" w14:textId="77777777" w:rsidR="008671C0" w:rsidRPr="003B10E2" w:rsidRDefault="008671C0" w:rsidP="0097610E">
      <w:pPr>
        <w:spacing w:after="0" w:line="240" w:lineRule="auto"/>
        <w:rPr>
          <w:rFonts w:ascii="Times New Roman" w:hAnsi="Times New Roman"/>
          <w:iCs/>
          <w:color w:val="000000"/>
          <w:sz w:val="24"/>
          <w:szCs w:val="24"/>
        </w:rPr>
      </w:pPr>
    </w:p>
    <w:p w14:paraId="3F667A5F" w14:textId="77777777" w:rsidR="008671C0" w:rsidRPr="003B10E2" w:rsidRDefault="008671C0" w:rsidP="00EC65A3">
      <w:pPr>
        <w:spacing w:after="0" w:line="240" w:lineRule="auto"/>
        <w:jc w:val="center"/>
        <w:rPr>
          <w:rFonts w:ascii="Times New Roman" w:hAnsi="Times New Roman"/>
          <w:iCs/>
          <w:color w:val="000000"/>
          <w:sz w:val="24"/>
          <w:szCs w:val="24"/>
        </w:rPr>
      </w:pPr>
    </w:p>
    <w:p w14:paraId="59716773" w14:textId="77777777" w:rsidR="008671C0" w:rsidRPr="003B10E2" w:rsidRDefault="008671C0" w:rsidP="008671C0">
      <w:pPr>
        <w:spacing w:after="0" w:line="240" w:lineRule="auto"/>
        <w:rPr>
          <w:rFonts w:ascii="Times New Roman" w:hAnsi="Times New Roman"/>
          <w:iCs/>
          <w:color w:val="000000"/>
          <w:sz w:val="24"/>
          <w:szCs w:val="24"/>
        </w:rPr>
      </w:pPr>
    </w:p>
    <w:p w14:paraId="6E9A97EB" w14:textId="77777777" w:rsidR="003311FD" w:rsidRPr="003B10E2" w:rsidRDefault="003311FD" w:rsidP="00EC65A3">
      <w:pPr>
        <w:spacing w:after="0" w:line="240" w:lineRule="auto"/>
        <w:jc w:val="center"/>
        <w:rPr>
          <w:rFonts w:ascii="Times New Roman" w:hAnsi="Times New Roman"/>
          <w:iCs/>
          <w:color w:val="000000"/>
          <w:sz w:val="24"/>
          <w:szCs w:val="24"/>
        </w:rPr>
      </w:pPr>
    </w:p>
    <w:p w14:paraId="3BC2F6DA" w14:textId="77777777" w:rsidR="003311FD" w:rsidRPr="003B10E2" w:rsidRDefault="003311FD" w:rsidP="003311FD">
      <w:pPr>
        <w:spacing w:after="0" w:line="240" w:lineRule="auto"/>
        <w:rPr>
          <w:rFonts w:ascii="Times New Roman" w:hAnsi="Times New Roman"/>
          <w:iCs/>
          <w:color w:val="000000"/>
          <w:sz w:val="24"/>
          <w:szCs w:val="24"/>
        </w:rPr>
      </w:pPr>
      <w:r w:rsidRPr="003B10E2">
        <w:rPr>
          <w:rFonts w:ascii="Times New Roman" w:hAnsi="Times New Roman"/>
          <w:iCs/>
          <w:color w:val="000000"/>
          <w:sz w:val="24"/>
          <w:szCs w:val="24"/>
        </w:rPr>
        <w:t>Источник: Thomson Reuters.</w:t>
      </w:r>
    </w:p>
    <w:p w14:paraId="4184D300" w14:textId="77777777" w:rsidR="003311FD" w:rsidRPr="003B10E2" w:rsidRDefault="003311FD" w:rsidP="003311FD">
      <w:pPr>
        <w:spacing w:after="0" w:line="240" w:lineRule="auto"/>
        <w:rPr>
          <w:rFonts w:ascii="Times New Roman" w:hAnsi="Times New Roman"/>
          <w:iCs/>
          <w:color w:val="000000"/>
          <w:sz w:val="24"/>
          <w:szCs w:val="24"/>
        </w:rPr>
      </w:pPr>
    </w:p>
    <w:p w14:paraId="1F9F7D9F" w14:textId="77777777" w:rsidR="000E0FE8" w:rsidRPr="003B10E2" w:rsidRDefault="00C72198" w:rsidP="009A565E">
      <w:pPr>
        <w:spacing w:after="0" w:line="240" w:lineRule="auto"/>
        <w:jc w:val="center"/>
        <w:rPr>
          <w:rFonts w:ascii="Times New Roman" w:hAnsi="Times New Roman"/>
          <w:iCs/>
          <w:color w:val="000000"/>
          <w:sz w:val="24"/>
          <w:szCs w:val="24"/>
        </w:rPr>
      </w:pPr>
      <w:r w:rsidRPr="003B10E2">
        <w:rPr>
          <w:rFonts w:ascii="Times New Roman" w:hAnsi="Times New Roman"/>
          <w:iCs/>
          <w:noProof/>
          <w:color w:val="000000"/>
          <w:sz w:val="24"/>
          <w:szCs w:val="24"/>
        </w:rPr>
        <w:drawing>
          <wp:inline distT="0" distB="0" distL="0" distR="0" wp14:anchorId="421D81B8" wp14:editId="01065826">
            <wp:extent cx="5944235" cy="2590800"/>
            <wp:effectExtent l="0" t="0" r="0" b="0"/>
            <wp:docPr id="510160355" name="Рисунок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4"/>
                    <pic:cNvPicPr>
                      <a:picLocks/>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4235" cy="2590800"/>
                    </a:xfrm>
                    <a:prstGeom prst="rect">
                      <a:avLst/>
                    </a:prstGeom>
                    <a:noFill/>
                  </pic:spPr>
                </pic:pic>
              </a:graphicData>
            </a:graphic>
          </wp:inline>
        </w:drawing>
      </w:r>
      <w:r w:rsidR="00F51866" w:rsidRPr="003B10E2">
        <w:rPr>
          <w:rFonts w:ascii="Times New Roman" w:hAnsi="Times New Roman"/>
          <w:iCs/>
          <w:color w:val="000000"/>
          <w:sz w:val="24"/>
          <w:szCs w:val="24"/>
        </w:rPr>
        <w:t>Источник: Thomson Reuters, Банк России</w:t>
      </w:r>
      <w:r w:rsidR="0097610E" w:rsidRPr="003B10E2">
        <w:rPr>
          <w:rFonts w:ascii="Times New Roman" w:hAnsi="Times New Roman"/>
          <w:iCs/>
          <w:color w:val="000000"/>
          <w:sz w:val="24"/>
          <w:szCs w:val="24"/>
        </w:rPr>
        <w:t>, расчеты автора</w:t>
      </w:r>
      <w:r w:rsidR="00F51866" w:rsidRPr="003B10E2">
        <w:rPr>
          <w:rFonts w:ascii="Times New Roman" w:hAnsi="Times New Roman"/>
          <w:iCs/>
          <w:color w:val="000000"/>
          <w:sz w:val="24"/>
          <w:szCs w:val="24"/>
        </w:rPr>
        <w:t>.</w:t>
      </w:r>
    </w:p>
    <w:p w14:paraId="44A2EF57" w14:textId="77777777" w:rsidR="00EC65A3" w:rsidRPr="003B10E2" w:rsidRDefault="00EC65A3" w:rsidP="000E0FE8">
      <w:pPr>
        <w:spacing w:after="0" w:line="240" w:lineRule="auto"/>
        <w:jc w:val="center"/>
        <w:rPr>
          <w:rFonts w:ascii="Times New Roman" w:hAnsi="Times New Roman"/>
          <w:color w:val="000000"/>
          <w:sz w:val="24"/>
          <w:szCs w:val="24"/>
        </w:rPr>
      </w:pPr>
      <w:r w:rsidRPr="003B10E2">
        <w:rPr>
          <w:rFonts w:ascii="Times New Roman" w:hAnsi="Times New Roman"/>
          <w:iCs/>
          <w:color w:val="000000"/>
          <w:sz w:val="24"/>
          <w:szCs w:val="24"/>
        </w:rPr>
        <w:t xml:space="preserve">Рисунок </w:t>
      </w:r>
      <w:r w:rsidR="008B6285" w:rsidRPr="003B10E2">
        <w:rPr>
          <w:rFonts w:ascii="Times New Roman" w:hAnsi="Times New Roman"/>
          <w:iCs/>
          <w:color w:val="000000"/>
          <w:sz w:val="24"/>
          <w:szCs w:val="24"/>
        </w:rPr>
        <w:t>7</w:t>
      </w:r>
      <w:r w:rsidR="0007473C" w:rsidRPr="003B10E2">
        <w:rPr>
          <w:rFonts w:ascii="Times New Roman" w:hAnsi="Times New Roman"/>
          <w:iCs/>
          <w:color w:val="000000"/>
          <w:sz w:val="24"/>
          <w:szCs w:val="24"/>
        </w:rPr>
        <w:t>6</w:t>
      </w:r>
      <w:r w:rsidR="00651284" w:rsidRPr="003B10E2">
        <w:rPr>
          <w:rFonts w:ascii="Times New Roman" w:hAnsi="Times New Roman"/>
          <w:color w:val="000000"/>
          <w:sz w:val="24"/>
          <w:szCs w:val="24"/>
        </w:rPr>
        <w:t xml:space="preserve"> </w:t>
      </w:r>
      <w:r w:rsidR="009671D0" w:rsidRPr="003B10E2">
        <w:rPr>
          <w:rFonts w:ascii="Times New Roman" w:hAnsi="Times New Roman"/>
          <w:color w:val="000000"/>
          <w:sz w:val="24"/>
          <w:szCs w:val="24"/>
        </w:rPr>
        <w:t xml:space="preserve">– </w:t>
      </w:r>
      <w:r w:rsidR="00651284" w:rsidRPr="003B10E2">
        <w:rPr>
          <w:rFonts w:ascii="Times New Roman" w:hAnsi="Times New Roman"/>
          <w:color w:val="000000"/>
          <w:sz w:val="24"/>
          <w:szCs w:val="24"/>
        </w:rPr>
        <w:t>Объем внешнего долга России, мл</w:t>
      </w:r>
      <w:r w:rsidR="0097610E" w:rsidRPr="003B10E2">
        <w:rPr>
          <w:rFonts w:ascii="Times New Roman" w:hAnsi="Times New Roman"/>
          <w:color w:val="000000"/>
          <w:sz w:val="24"/>
          <w:szCs w:val="24"/>
        </w:rPr>
        <w:t>н</w:t>
      </w:r>
      <w:r w:rsidR="00651284" w:rsidRPr="003B10E2">
        <w:rPr>
          <w:rFonts w:ascii="Times New Roman" w:hAnsi="Times New Roman"/>
          <w:color w:val="000000"/>
          <w:sz w:val="24"/>
          <w:szCs w:val="24"/>
        </w:rPr>
        <w:t>. долл.</w:t>
      </w:r>
    </w:p>
    <w:p w14:paraId="39C4A762" w14:textId="77777777" w:rsidR="000E0FE8" w:rsidRPr="003B10E2" w:rsidRDefault="000E0FE8" w:rsidP="0097610E">
      <w:pPr>
        <w:spacing w:after="0" w:line="360" w:lineRule="auto"/>
        <w:ind w:firstLine="851"/>
        <w:jc w:val="both"/>
        <w:rPr>
          <w:rFonts w:ascii="Times New Roman" w:hAnsi="Times New Roman"/>
          <w:color w:val="000000"/>
          <w:sz w:val="28"/>
          <w:szCs w:val="28"/>
        </w:rPr>
      </w:pPr>
    </w:p>
    <w:p w14:paraId="48563F15" w14:textId="77777777" w:rsidR="00651284" w:rsidRPr="003B10E2" w:rsidRDefault="00651284" w:rsidP="0097610E">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Даже небольшие изменения в распределении портфеля крупных инвесторов могут оказать серьезное влияние на цены развивающихся рынков из-за огромного масштаба их инвестиций относительно небольших и неликвидных финансовых рынков развивающихся стран. Их поведение также оказывает влияние на настроения мелких инвесторов. На фоне роста внутреннего долга внешний долг снижается в связи потенциальными санкциями и ограничениями доступа к международным рынкам капитала с 2014 (</w:t>
      </w:r>
      <w:r w:rsidR="00A02EA2" w:rsidRPr="003B10E2">
        <w:rPr>
          <w:rFonts w:ascii="Times New Roman" w:hAnsi="Times New Roman"/>
          <w:color w:val="000000"/>
          <w:sz w:val="28"/>
          <w:szCs w:val="28"/>
        </w:rPr>
        <w:t>р</w:t>
      </w:r>
      <w:r w:rsidRPr="003B10E2">
        <w:rPr>
          <w:rFonts w:ascii="Times New Roman" w:hAnsi="Times New Roman"/>
          <w:color w:val="000000"/>
          <w:sz w:val="28"/>
          <w:szCs w:val="28"/>
        </w:rPr>
        <w:t xml:space="preserve">исунок </w:t>
      </w:r>
      <w:r w:rsidR="009D7B82" w:rsidRPr="003B10E2">
        <w:rPr>
          <w:rFonts w:ascii="Times New Roman" w:hAnsi="Times New Roman"/>
          <w:color w:val="000000"/>
          <w:sz w:val="28"/>
          <w:szCs w:val="28"/>
        </w:rPr>
        <w:t>7</w:t>
      </w:r>
      <w:r w:rsidR="0007473C" w:rsidRPr="003B10E2">
        <w:rPr>
          <w:rFonts w:ascii="Times New Roman" w:hAnsi="Times New Roman"/>
          <w:color w:val="000000"/>
          <w:sz w:val="28"/>
          <w:szCs w:val="28"/>
        </w:rPr>
        <w:t>6</w:t>
      </w:r>
      <w:r w:rsidRPr="003B10E2">
        <w:rPr>
          <w:rFonts w:ascii="Times New Roman" w:hAnsi="Times New Roman"/>
          <w:color w:val="000000"/>
          <w:sz w:val="28"/>
          <w:szCs w:val="28"/>
        </w:rPr>
        <w:t>). Кроме этого, можно выделить следующие структурные изменения, характерные для текущего этапа развития рынка облигаций</w:t>
      </w:r>
      <w:r w:rsidR="00584C53" w:rsidRPr="003B10E2">
        <w:rPr>
          <w:rFonts w:ascii="Times New Roman" w:hAnsi="Times New Roman"/>
          <w:color w:val="000000"/>
          <w:sz w:val="28"/>
          <w:szCs w:val="28"/>
        </w:rPr>
        <w:t xml:space="preserve"> России</w:t>
      </w:r>
      <w:r w:rsidRPr="003B10E2">
        <w:rPr>
          <w:rFonts w:ascii="Times New Roman" w:hAnsi="Times New Roman"/>
          <w:color w:val="000000"/>
          <w:sz w:val="28"/>
          <w:szCs w:val="28"/>
        </w:rPr>
        <w:t>:</w:t>
      </w:r>
    </w:p>
    <w:p w14:paraId="2FBED25C" w14:textId="77777777"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1. Рост объемов торгов инвесторов на рынке долгосрочных ОФЗ, за счет стабилизации новых размещений ОФЗ.</w:t>
      </w:r>
    </w:p>
    <w:p w14:paraId="4698E312" w14:textId="77777777"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2. Доля нерезидентов в объемах торгов росла до 2014 г., а с 2014 по 2020 гг. находилась на стабильном уровне. В 2022 г. началось сильное снижение.</w:t>
      </w:r>
    </w:p>
    <w:p w14:paraId="724C0699" w14:textId="77777777"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3. Снижение системных рисков и как следствие доходностей по ОФЗ.</w:t>
      </w:r>
    </w:p>
    <w:p w14:paraId="69A60C59" w14:textId="77777777"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4. На фоне пандемии владельцы акций и смешанных активов распродали существенные объемы своих вложений и направили средства на денежный рынок и рынок облигаций стран Европы (в том числе России).</w:t>
      </w:r>
    </w:p>
    <w:p w14:paraId="22349A69" w14:textId="77777777" w:rsidR="00651284" w:rsidRDefault="00651284" w:rsidP="00651284">
      <w:pPr>
        <w:spacing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результате можно сделать вывод, что </w:t>
      </w:r>
      <w:bookmarkStart w:id="199" w:name="_Hlk99368191"/>
      <w:r w:rsidRPr="003B10E2">
        <w:rPr>
          <w:rFonts w:ascii="Times New Roman" w:hAnsi="Times New Roman"/>
          <w:color w:val="000000"/>
          <w:sz w:val="28"/>
          <w:szCs w:val="28"/>
        </w:rPr>
        <w:t>изменение формы кривой бескупонной доходности отражало структурные изменения на рынке облигаций, которые происходили за счет расширения участия локальных инвесторов, использующих рост монетизации в экономике России.</w:t>
      </w:r>
      <w:bookmarkEnd w:id="199"/>
    </w:p>
    <w:p w14:paraId="57146D15" w14:textId="77777777" w:rsidR="009A565E" w:rsidRPr="003B10E2" w:rsidRDefault="009A565E" w:rsidP="00651284">
      <w:pPr>
        <w:spacing w:line="360" w:lineRule="auto"/>
        <w:ind w:firstLine="851"/>
        <w:jc w:val="both"/>
        <w:rPr>
          <w:rFonts w:ascii="Times New Roman" w:hAnsi="Times New Roman"/>
          <w:color w:val="000000"/>
          <w:sz w:val="28"/>
          <w:szCs w:val="28"/>
        </w:rPr>
      </w:pPr>
    </w:p>
    <w:p w14:paraId="45A9AEA6" w14:textId="77777777" w:rsidR="00651284" w:rsidRDefault="009240D2" w:rsidP="00F863CC">
      <w:pPr>
        <w:pStyle w:val="2"/>
        <w:spacing w:before="0" w:line="360" w:lineRule="auto"/>
        <w:ind w:firstLine="709"/>
        <w:contextualSpacing/>
        <w:jc w:val="both"/>
        <w:rPr>
          <w:rFonts w:ascii="Times New Roman" w:hAnsi="Times New Roman"/>
          <w:b/>
          <w:color w:val="auto"/>
          <w:sz w:val="28"/>
          <w:szCs w:val="28"/>
        </w:rPr>
      </w:pPr>
      <w:bookmarkStart w:id="200" w:name="_Toc145164385"/>
      <w:r w:rsidRPr="003B10E2">
        <w:rPr>
          <w:rFonts w:ascii="Times New Roman" w:hAnsi="Times New Roman"/>
          <w:b/>
          <w:color w:val="auto"/>
          <w:sz w:val="28"/>
          <w:szCs w:val="28"/>
        </w:rPr>
        <w:t>3</w:t>
      </w:r>
      <w:r w:rsidR="009671D0" w:rsidRPr="003B10E2">
        <w:rPr>
          <w:rFonts w:ascii="Times New Roman" w:hAnsi="Times New Roman"/>
          <w:b/>
          <w:color w:val="auto"/>
          <w:sz w:val="28"/>
          <w:szCs w:val="28"/>
        </w:rPr>
        <w:t>.3</w:t>
      </w:r>
      <w:r w:rsidR="00651284" w:rsidRPr="003B10E2">
        <w:rPr>
          <w:rFonts w:ascii="Times New Roman" w:hAnsi="Times New Roman"/>
          <w:b/>
          <w:color w:val="auto"/>
          <w:sz w:val="28"/>
          <w:szCs w:val="28"/>
        </w:rPr>
        <w:t xml:space="preserve"> Цены на сырье, состояние экономики и валютный курс как факторы, воздействующие на поведение инвесторов, вызывающее структурные изменения на рынке капиталов</w:t>
      </w:r>
      <w:bookmarkEnd w:id="200"/>
    </w:p>
    <w:p w14:paraId="199DDEFD" w14:textId="77777777" w:rsidR="009A565E" w:rsidRPr="009A565E" w:rsidRDefault="009A565E" w:rsidP="009A565E"/>
    <w:p w14:paraId="58804ABA" w14:textId="77777777" w:rsidR="00F863CC" w:rsidRPr="003B10E2" w:rsidRDefault="00F863CC" w:rsidP="00651284">
      <w:pPr>
        <w:spacing w:after="0" w:line="360" w:lineRule="auto"/>
        <w:ind w:firstLine="851"/>
        <w:jc w:val="both"/>
        <w:rPr>
          <w:rFonts w:ascii="Times New Roman" w:hAnsi="Times New Roman"/>
          <w:sz w:val="28"/>
          <w:szCs w:val="28"/>
        </w:rPr>
      </w:pPr>
      <w:r w:rsidRPr="003B10E2">
        <w:rPr>
          <w:rFonts w:ascii="Times New Roman" w:hAnsi="Times New Roman"/>
          <w:sz w:val="28"/>
          <w:szCs w:val="28"/>
        </w:rPr>
        <w:t xml:space="preserve">Поскольку нефтегазовые ресурсы занимают заметную долю российской экономики, то в этом параграфе расмотрена связь рынка капитала России с нефтегазовым сектором экономики. </w:t>
      </w:r>
    </w:p>
    <w:p w14:paraId="4CBFB1F6" w14:textId="77777777" w:rsidR="00651284" w:rsidRPr="003B10E2" w:rsidRDefault="00651284" w:rsidP="00651284">
      <w:pPr>
        <w:spacing w:after="0" w:line="360" w:lineRule="auto"/>
        <w:ind w:firstLine="851"/>
        <w:jc w:val="both"/>
        <w:rPr>
          <w:rFonts w:ascii="Times New Roman" w:hAnsi="Times New Roman"/>
          <w:sz w:val="28"/>
          <w:szCs w:val="28"/>
        </w:rPr>
      </w:pPr>
      <w:r w:rsidRPr="003B10E2">
        <w:rPr>
          <w:rFonts w:ascii="Times New Roman" w:hAnsi="Times New Roman"/>
          <w:sz w:val="28"/>
          <w:szCs w:val="28"/>
        </w:rPr>
        <w:t>Не только канал ликвидности, глобальный риск-аппетит и регулятивный канал определяют поведение инвесторов, но еще и состояние причинно-следственных связей между российской экономикой и внутренним рынком капиталов. В свою очередь на него влияют цены на сырье, состояние экономики и валютный курс.</w:t>
      </w:r>
    </w:p>
    <w:p w14:paraId="711B15E3" w14:textId="77777777" w:rsidR="00651284" w:rsidRPr="003B10E2" w:rsidRDefault="00F863CC" w:rsidP="0047505D">
      <w:pPr>
        <w:spacing w:after="0" w:line="360" w:lineRule="auto"/>
        <w:ind w:firstLine="851"/>
        <w:jc w:val="both"/>
      </w:pPr>
      <w:r w:rsidRPr="003B10E2">
        <w:rPr>
          <w:rFonts w:ascii="Times New Roman" w:hAnsi="Times New Roman"/>
          <w:sz w:val="28"/>
          <w:szCs w:val="28"/>
        </w:rPr>
        <w:t>Кроме этого, д</w:t>
      </w:r>
      <w:r w:rsidR="00651284" w:rsidRPr="003B10E2">
        <w:rPr>
          <w:rFonts w:ascii="Times New Roman" w:hAnsi="Times New Roman"/>
          <w:sz w:val="28"/>
          <w:szCs w:val="28"/>
        </w:rPr>
        <w:t>анный параграф решает задачу анализа этих трех факторов на появление новых шоков и структурных изменений на рынках капитала, используя поведенческий механизм структурных изменений.</w:t>
      </w:r>
      <w:r w:rsidR="00651284" w:rsidRPr="003B10E2">
        <w:t xml:space="preserve"> </w:t>
      </w:r>
      <w:bookmarkStart w:id="201" w:name="_Hlk99366675"/>
      <w:r w:rsidR="00651284" w:rsidRPr="003B10E2">
        <w:rPr>
          <w:rFonts w:ascii="Times New Roman" w:hAnsi="Times New Roman"/>
          <w:sz w:val="28"/>
          <w:szCs w:val="28"/>
        </w:rPr>
        <w:t>Рынки капитала связаны между собой перетоками волатильности (тезис приведен в предыдущей главе) и ликвидности (не рассматриваются в рамках данной работы), а внешние шоки волатильности (тоже экзогенный фактор) вызывали структурные изменения на российском рынке капитала.</w:t>
      </w:r>
      <w:r w:rsidR="00651284" w:rsidRPr="003B10E2">
        <w:t xml:space="preserve"> </w:t>
      </w:r>
      <w:r w:rsidR="00651284" w:rsidRPr="003B10E2">
        <w:rPr>
          <w:rFonts w:ascii="Times New Roman" w:hAnsi="Times New Roman"/>
          <w:sz w:val="28"/>
          <w:szCs w:val="28"/>
        </w:rPr>
        <w:t>При этом можно сказать, что приведенные ниже модели можно использовать для прогнозирования будущих структурных изменений.</w:t>
      </w:r>
      <w:r w:rsidR="00651284" w:rsidRPr="003B10E2">
        <w:rPr>
          <w:rFonts w:ascii="Arial" w:hAnsi="Arial" w:cs="Arial"/>
          <w:color w:val="000000"/>
          <w:sz w:val="23"/>
          <w:szCs w:val="23"/>
          <w:shd w:val="clear" w:color="auto" w:fill="FFFFFF"/>
        </w:rPr>
        <w:t xml:space="preserve"> </w:t>
      </w:r>
    </w:p>
    <w:p w14:paraId="37239868" w14:textId="77777777" w:rsidR="009A565E" w:rsidRDefault="00C72198" w:rsidP="0047505D">
      <w:pPr>
        <w:spacing w:after="0" w:line="240" w:lineRule="auto"/>
        <w:jc w:val="center"/>
        <w:rPr>
          <w:rFonts w:ascii="Times New Roman" w:hAnsi="Times New Roman"/>
          <w:color w:val="000000"/>
          <w:sz w:val="24"/>
          <w:szCs w:val="24"/>
        </w:rPr>
      </w:pPr>
      <w:bookmarkStart w:id="202" w:name="_Hlk85743608"/>
      <w:r>
        <w:rPr>
          <w:rFonts w:ascii="Times New Roman" w:hAnsi="Times New Roman"/>
          <w:noProof/>
          <w:color w:val="000000"/>
          <w:sz w:val="24"/>
          <w:szCs w:val="24"/>
        </w:rPr>
        <w:drawing>
          <wp:inline distT="0" distB="0" distL="0" distR="0" wp14:anchorId="6B705749" wp14:editId="4FD16F2D">
            <wp:extent cx="4752340" cy="2790190"/>
            <wp:effectExtent l="0" t="0" r="0" b="0"/>
            <wp:docPr id="2077055072" name="Рисунок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6"/>
                    <pic:cNvPicPr>
                      <a:picLocks/>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52340" cy="2790190"/>
                    </a:xfrm>
                    <a:prstGeom prst="rect">
                      <a:avLst/>
                    </a:prstGeom>
                    <a:noFill/>
                  </pic:spPr>
                </pic:pic>
              </a:graphicData>
            </a:graphic>
          </wp:inline>
        </w:drawing>
      </w:r>
    </w:p>
    <w:p w14:paraId="6B9A99D5" w14:textId="77777777" w:rsidR="0040151F" w:rsidRPr="003B10E2" w:rsidRDefault="0040151F" w:rsidP="0047505D">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Источник: составлено автором.</w:t>
      </w:r>
    </w:p>
    <w:p w14:paraId="250C683B" w14:textId="77777777" w:rsidR="00651284" w:rsidRPr="003B10E2" w:rsidRDefault="00356F59" w:rsidP="0047505D">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07473C" w:rsidRPr="003B10E2">
        <w:rPr>
          <w:rFonts w:ascii="Times New Roman" w:hAnsi="Times New Roman"/>
          <w:color w:val="000000"/>
          <w:sz w:val="24"/>
          <w:szCs w:val="24"/>
        </w:rPr>
        <w:t>77</w:t>
      </w:r>
      <w:r w:rsidR="0040151F" w:rsidRPr="003B10E2">
        <w:rPr>
          <w:rFonts w:ascii="Times New Roman" w:hAnsi="Times New Roman"/>
          <w:color w:val="000000"/>
          <w:sz w:val="24"/>
          <w:szCs w:val="24"/>
        </w:rPr>
        <w:t xml:space="preserve"> –</w:t>
      </w:r>
      <w:r w:rsidR="00651284" w:rsidRPr="003B10E2">
        <w:rPr>
          <w:rFonts w:ascii="Times New Roman" w:hAnsi="Times New Roman"/>
          <w:color w:val="000000"/>
          <w:sz w:val="24"/>
          <w:szCs w:val="24"/>
        </w:rPr>
        <w:t xml:space="preserve"> Все факторы финансовых шоков, меняющих поведение инвесторов и вызывающих структурные изменения </w:t>
      </w:r>
      <w:r w:rsidR="005D427A" w:rsidRPr="003B10E2">
        <w:rPr>
          <w:rFonts w:ascii="Times New Roman" w:hAnsi="Times New Roman"/>
          <w:color w:val="000000"/>
          <w:sz w:val="24"/>
          <w:szCs w:val="24"/>
        </w:rPr>
        <w:t>мирового рынка капитала</w:t>
      </w:r>
      <w:bookmarkEnd w:id="202"/>
    </w:p>
    <w:p w14:paraId="68076FFB" w14:textId="77777777" w:rsidR="002C3A2F" w:rsidRPr="003B10E2" w:rsidRDefault="00651284" w:rsidP="002C3A2F">
      <w:pPr>
        <w:spacing w:after="0" w:line="360" w:lineRule="auto"/>
        <w:ind w:firstLine="851"/>
        <w:jc w:val="both"/>
        <w:rPr>
          <w:rFonts w:ascii="Times New Roman" w:hAnsi="Times New Roman"/>
          <w:color w:val="ED7D31"/>
          <w:sz w:val="28"/>
          <w:szCs w:val="28"/>
        </w:rPr>
      </w:pPr>
      <w:r w:rsidRPr="003B10E2">
        <w:rPr>
          <w:rFonts w:ascii="Times New Roman" w:hAnsi="Times New Roman"/>
          <w:sz w:val="28"/>
          <w:szCs w:val="28"/>
        </w:rPr>
        <w:t>Взаимосвязь</w:t>
      </w:r>
      <w:r w:rsidR="009671D0" w:rsidRPr="003B10E2">
        <w:rPr>
          <w:rFonts w:ascii="Times New Roman" w:hAnsi="Times New Roman"/>
          <w:sz w:val="28"/>
          <w:szCs w:val="28"/>
        </w:rPr>
        <w:t>.</w:t>
      </w:r>
    </w:p>
    <w:p w14:paraId="005FD424" w14:textId="77777777" w:rsidR="00651284" w:rsidRPr="003B10E2" w:rsidRDefault="00651284" w:rsidP="002C3A2F">
      <w:pPr>
        <w:spacing w:after="0" w:line="360" w:lineRule="auto"/>
        <w:ind w:firstLine="851"/>
        <w:jc w:val="both"/>
        <w:rPr>
          <w:rFonts w:ascii="Times New Roman" w:hAnsi="Times New Roman"/>
          <w:color w:val="ED7D31"/>
          <w:sz w:val="28"/>
          <w:szCs w:val="28"/>
        </w:rPr>
      </w:pPr>
      <w:r w:rsidRPr="003B10E2">
        <w:rPr>
          <w:rFonts w:ascii="Times New Roman" w:hAnsi="Times New Roman"/>
          <w:color w:val="000000"/>
          <w:sz w:val="28"/>
          <w:szCs w:val="28"/>
        </w:rPr>
        <w:t xml:space="preserve">В более ранних исследованиях [52, 53] выявлены переменные </w:t>
      </w:r>
      <w:r w:rsidRPr="003B10E2">
        <w:rPr>
          <w:rFonts w:ascii="Times New Roman" w:hAnsi="Times New Roman"/>
          <w:color w:val="000000"/>
          <w:sz w:val="28"/>
          <w:szCs w:val="28"/>
          <w:lang w:val="en-US"/>
        </w:rPr>
        <w:t>GARCH</w:t>
      </w:r>
      <w:r w:rsidRPr="003B10E2">
        <w:rPr>
          <w:rFonts w:ascii="Times New Roman" w:hAnsi="Times New Roman"/>
          <w:color w:val="000000"/>
          <w:sz w:val="28"/>
          <w:szCs w:val="28"/>
        </w:rPr>
        <w:t xml:space="preserve"> и </w:t>
      </w:r>
      <w:r w:rsidRPr="003B10E2">
        <w:rPr>
          <w:rFonts w:ascii="Times New Roman" w:hAnsi="Times New Roman"/>
          <w:color w:val="000000"/>
          <w:sz w:val="28"/>
          <w:szCs w:val="28"/>
          <w:lang w:val="en-US"/>
        </w:rPr>
        <w:t>DSGE</w:t>
      </w:r>
      <w:r w:rsidRPr="003B10E2">
        <w:rPr>
          <w:rFonts w:ascii="Times New Roman" w:hAnsi="Times New Roman"/>
          <w:color w:val="000000"/>
          <w:sz w:val="28"/>
          <w:szCs w:val="28"/>
        </w:rPr>
        <w:t xml:space="preserve"> моделей россий</w:t>
      </w:r>
      <w:r w:rsidRPr="003B10E2">
        <w:rPr>
          <w:rFonts w:ascii="Times New Roman" w:hAnsi="Times New Roman"/>
          <w:color w:val="000000"/>
          <w:sz w:val="28"/>
          <w:szCs w:val="28"/>
          <w:lang w:val="en-US"/>
        </w:rPr>
        <w:t>c</w:t>
      </w:r>
      <w:r w:rsidRPr="003B10E2">
        <w:rPr>
          <w:rFonts w:ascii="Times New Roman" w:hAnsi="Times New Roman"/>
          <w:color w:val="000000"/>
          <w:sz w:val="28"/>
          <w:szCs w:val="28"/>
        </w:rPr>
        <w:t xml:space="preserve">кой экономики. </w:t>
      </w:r>
      <w:r w:rsidRPr="003B10E2">
        <w:rPr>
          <w:rFonts w:ascii="Times New Roman" w:hAnsi="Times New Roman"/>
          <w:sz w:val="28"/>
          <w:szCs w:val="28"/>
        </w:rPr>
        <w:t xml:space="preserve">Состояние экономики — </w:t>
      </w:r>
      <w:r w:rsidR="0040151F" w:rsidRPr="003B10E2">
        <w:rPr>
          <w:rFonts w:ascii="Times New Roman" w:hAnsi="Times New Roman"/>
          <w:sz w:val="28"/>
          <w:szCs w:val="28"/>
        </w:rPr>
        <w:t xml:space="preserve">это отдельный фактор (рисунок </w:t>
      </w:r>
      <w:r w:rsidR="0007473C" w:rsidRPr="003B10E2">
        <w:rPr>
          <w:rFonts w:ascii="Times New Roman" w:hAnsi="Times New Roman"/>
          <w:sz w:val="28"/>
          <w:szCs w:val="28"/>
        </w:rPr>
        <w:t>77</w:t>
      </w:r>
      <w:r w:rsidRPr="003B10E2">
        <w:rPr>
          <w:rFonts w:ascii="Times New Roman" w:hAnsi="Times New Roman"/>
          <w:sz w:val="28"/>
          <w:szCs w:val="28"/>
        </w:rPr>
        <w:t>), который действует через следующие элементы:</w:t>
      </w:r>
    </w:p>
    <w:p w14:paraId="775A2864" w14:textId="77777777" w:rsidR="00651284" w:rsidRPr="003B10E2" w:rsidRDefault="00356F59" w:rsidP="00356F59">
      <w:pPr>
        <w:spacing w:after="0" w:line="360" w:lineRule="auto"/>
        <w:jc w:val="both"/>
        <w:rPr>
          <w:rFonts w:ascii="Times New Roman" w:hAnsi="Times New Roman"/>
          <w:sz w:val="28"/>
          <w:szCs w:val="28"/>
        </w:rPr>
      </w:pPr>
      <w:r w:rsidRPr="003B10E2">
        <w:rPr>
          <w:rFonts w:ascii="Times New Roman" w:hAnsi="Times New Roman"/>
          <w:sz w:val="28"/>
          <w:szCs w:val="28"/>
        </w:rPr>
        <w:t xml:space="preserve">- </w:t>
      </w:r>
      <w:r w:rsidR="0040151F" w:rsidRPr="003B10E2">
        <w:rPr>
          <w:rFonts w:ascii="Times New Roman" w:hAnsi="Times New Roman"/>
          <w:sz w:val="28"/>
          <w:szCs w:val="28"/>
        </w:rPr>
        <w:t>объем экспорта;</w:t>
      </w:r>
      <w:r w:rsidR="00651284" w:rsidRPr="003B10E2">
        <w:rPr>
          <w:rFonts w:ascii="Times New Roman" w:hAnsi="Times New Roman"/>
          <w:sz w:val="28"/>
          <w:szCs w:val="28"/>
        </w:rPr>
        <w:t xml:space="preserve"> </w:t>
      </w:r>
    </w:p>
    <w:p w14:paraId="58CC70D3" w14:textId="77777777" w:rsidR="00651284" w:rsidRPr="003B10E2" w:rsidRDefault="00356F59" w:rsidP="0040151F">
      <w:pPr>
        <w:spacing w:after="0" w:line="360" w:lineRule="auto"/>
        <w:jc w:val="both"/>
        <w:rPr>
          <w:rFonts w:ascii="Times New Roman" w:hAnsi="Times New Roman"/>
          <w:sz w:val="28"/>
          <w:szCs w:val="28"/>
        </w:rPr>
      </w:pPr>
      <w:r w:rsidRPr="003B10E2">
        <w:rPr>
          <w:rFonts w:ascii="Times New Roman" w:hAnsi="Times New Roman"/>
          <w:sz w:val="28"/>
          <w:szCs w:val="28"/>
        </w:rPr>
        <w:t xml:space="preserve">- </w:t>
      </w:r>
      <w:r w:rsidR="0040151F" w:rsidRPr="003B10E2">
        <w:rPr>
          <w:rFonts w:ascii="Times New Roman" w:hAnsi="Times New Roman"/>
          <w:sz w:val="28"/>
          <w:szCs w:val="28"/>
        </w:rPr>
        <w:t>индекс потребительских цен;</w:t>
      </w:r>
    </w:p>
    <w:p w14:paraId="3611377A" w14:textId="77777777" w:rsidR="00651284" w:rsidRPr="003B10E2" w:rsidRDefault="00356F59" w:rsidP="0040151F">
      <w:pPr>
        <w:spacing w:after="0" w:line="360" w:lineRule="auto"/>
        <w:jc w:val="both"/>
        <w:rPr>
          <w:rFonts w:ascii="Times New Roman" w:hAnsi="Times New Roman"/>
          <w:sz w:val="28"/>
          <w:szCs w:val="28"/>
        </w:rPr>
      </w:pPr>
      <w:r w:rsidRPr="003B10E2">
        <w:rPr>
          <w:rFonts w:ascii="Times New Roman" w:hAnsi="Times New Roman"/>
          <w:sz w:val="28"/>
          <w:szCs w:val="28"/>
        </w:rPr>
        <w:t xml:space="preserve">- </w:t>
      </w:r>
      <w:r w:rsidR="0040151F" w:rsidRPr="003B10E2">
        <w:rPr>
          <w:rFonts w:ascii="Times New Roman" w:hAnsi="Times New Roman"/>
          <w:sz w:val="28"/>
          <w:szCs w:val="28"/>
        </w:rPr>
        <w:t>объем ВВП;</w:t>
      </w:r>
    </w:p>
    <w:p w14:paraId="4D8A2194" w14:textId="77777777" w:rsidR="00651284" w:rsidRPr="003B10E2" w:rsidRDefault="00356F59" w:rsidP="0040151F">
      <w:pPr>
        <w:spacing w:after="0" w:line="360" w:lineRule="auto"/>
        <w:jc w:val="both"/>
        <w:rPr>
          <w:rFonts w:ascii="Times New Roman" w:hAnsi="Times New Roman"/>
          <w:sz w:val="28"/>
          <w:szCs w:val="28"/>
        </w:rPr>
      </w:pPr>
      <w:r w:rsidRPr="003B10E2">
        <w:rPr>
          <w:rFonts w:ascii="Times New Roman" w:hAnsi="Times New Roman"/>
          <w:sz w:val="28"/>
          <w:szCs w:val="28"/>
        </w:rPr>
        <w:t xml:space="preserve">- </w:t>
      </w:r>
      <w:r w:rsidR="0040151F" w:rsidRPr="003B10E2">
        <w:rPr>
          <w:rFonts w:ascii="Times New Roman" w:hAnsi="Times New Roman"/>
          <w:sz w:val="28"/>
          <w:szCs w:val="28"/>
        </w:rPr>
        <w:t>цена нефти;</w:t>
      </w:r>
    </w:p>
    <w:p w14:paraId="473717F0" w14:textId="77777777" w:rsidR="002C3A2F" w:rsidRPr="003B10E2" w:rsidRDefault="00356F59" w:rsidP="002C3A2F">
      <w:pPr>
        <w:spacing w:after="0" w:line="360" w:lineRule="auto"/>
        <w:jc w:val="both"/>
        <w:rPr>
          <w:rFonts w:ascii="Times New Roman" w:hAnsi="Times New Roman"/>
          <w:color w:val="FF0000"/>
          <w:sz w:val="28"/>
          <w:szCs w:val="28"/>
        </w:rPr>
      </w:pPr>
      <w:r w:rsidRPr="003B10E2">
        <w:rPr>
          <w:rFonts w:ascii="Times New Roman" w:hAnsi="Times New Roman"/>
          <w:sz w:val="28"/>
          <w:szCs w:val="28"/>
        </w:rPr>
        <w:t xml:space="preserve">- </w:t>
      </w:r>
      <w:r w:rsidR="0040151F" w:rsidRPr="003B10E2">
        <w:rPr>
          <w:rFonts w:ascii="Times New Roman" w:hAnsi="Times New Roman"/>
          <w:sz w:val="28"/>
          <w:szCs w:val="28"/>
        </w:rPr>
        <w:t>к</w:t>
      </w:r>
      <w:r w:rsidR="00651284" w:rsidRPr="003B10E2">
        <w:rPr>
          <w:rFonts w:ascii="Times New Roman" w:hAnsi="Times New Roman"/>
          <w:sz w:val="28"/>
          <w:szCs w:val="28"/>
        </w:rPr>
        <w:t xml:space="preserve">урс доллара США в рублях. </w:t>
      </w:r>
    </w:p>
    <w:p w14:paraId="279E1E9E" w14:textId="77777777" w:rsidR="00651284" w:rsidRPr="003B10E2" w:rsidRDefault="00651284" w:rsidP="002C3A2F">
      <w:pPr>
        <w:spacing w:after="0" w:line="360" w:lineRule="auto"/>
        <w:ind w:firstLine="851"/>
        <w:jc w:val="both"/>
        <w:rPr>
          <w:rFonts w:ascii="Times New Roman" w:hAnsi="Times New Roman"/>
          <w:color w:val="FF0000"/>
          <w:sz w:val="28"/>
          <w:szCs w:val="28"/>
        </w:rPr>
      </w:pPr>
      <w:r w:rsidRPr="003B10E2">
        <w:rPr>
          <w:rFonts w:ascii="Times New Roman" w:hAnsi="Times New Roman"/>
          <w:sz w:val="28"/>
          <w:szCs w:val="28"/>
        </w:rPr>
        <w:t>Когда курс доллара, выраженный в рублях</w:t>
      </w:r>
      <w:r w:rsidR="00584C53" w:rsidRPr="003B10E2">
        <w:rPr>
          <w:rFonts w:ascii="Times New Roman" w:hAnsi="Times New Roman"/>
          <w:sz w:val="28"/>
          <w:szCs w:val="28"/>
        </w:rPr>
        <w:t xml:space="preserve"> (китайских юанях)</w:t>
      </w:r>
      <w:r w:rsidRPr="003B10E2">
        <w:rPr>
          <w:rFonts w:ascii="Times New Roman" w:hAnsi="Times New Roman"/>
          <w:sz w:val="28"/>
          <w:szCs w:val="28"/>
        </w:rPr>
        <w:t>, растет (и, соответственно, рубль</w:t>
      </w:r>
      <w:r w:rsidR="00584C53" w:rsidRPr="003B10E2">
        <w:rPr>
          <w:rFonts w:ascii="Times New Roman" w:hAnsi="Times New Roman"/>
          <w:sz w:val="28"/>
          <w:szCs w:val="28"/>
        </w:rPr>
        <w:t xml:space="preserve"> (юань)</w:t>
      </w:r>
      <w:r w:rsidRPr="003B10E2">
        <w:rPr>
          <w:rFonts w:ascii="Times New Roman" w:hAnsi="Times New Roman"/>
          <w:sz w:val="28"/>
          <w:szCs w:val="28"/>
        </w:rPr>
        <w:t xml:space="preserve"> падает по отношению к доллару), капитализация рынков акций в долларах США падает» (что естественно: при усилении доллара капитализация рынка акций в </w:t>
      </w:r>
      <w:r w:rsidR="00584C53" w:rsidRPr="003B10E2">
        <w:rPr>
          <w:rFonts w:ascii="Times New Roman" w:hAnsi="Times New Roman"/>
          <w:sz w:val="28"/>
          <w:szCs w:val="28"/>
        </w:rPr>
        <w:t>нациоанальной валюте</w:t>
      </w:r>
      <w:r w:rsidRPr="003B10E2">
        <w:rPr>
          <w:rFonts w:ascii="Times New Roman" w:hAnsi="Times New Roman"/>
          <w:sz w:val="28"/>
          <w:szCs w:val="28"/>
        </w:rPr>
        <w:t xml:space="preserve"> будет, будучи пересчитанной в доллары США, выражать меньшую сумму долларов). При усилении доллара к </w:t>
      </w:r>
      <w:r w:rsidR="00584C53" w:rsidRPr="003B10E2">
        <w:rPr>
          <w:rFonts w:ascii="Times New Roman" w:hAnsi="Times New Roman"/>
          <w:sz w:val="28"/>
          <w:szCs w:val="28"/>
        </w:rPr>
        <w:t xml:space="preserve">национальным валютам </w:t>
      </w:r>
      <w:r w:rsidRPr="003B10E2">
        <w:rPr>
          <w:rFonts w:ascii="Times New Roman" w:hAnsi="Times New Roman"/>
          <w:sz w:val="28"/>
          <w:szCs w:val="28"/>
        </w:rPr>
        <w:t>капитализация в долларах падает и наоборот.</w:t>
      </w:r>
    </w:p>
    <w:p w14:paraId="7809515C" w14:textId="77777777" w:rsidR="002C3A2F" w:rsidRPr="003B10E2" w:rsidRDefault="00651284" w:rsidP="002C3A2F">
      <w:pPr>
        <w:spacing w:after="0" w:line="360" w:lineRule="auto"/>
        <w:ind w:firstLine="851"/>
        <w:jc w:val="both"/>
        <w:rPr>
          <w:rFonts w:ascii="Times New Roman" w:hAnsi="Times New Roman"/>
          <w:sz w:val="28"/>
          <w:szCs w:val="28"/>
        </w:rPr>
      </w:pPr>
      <w:r w:rsidRPr="003B10E2">
        <w:rPr>
          <w:rFonts w:ascii="Times New Roman" w:hAnsi="Times New Roman"/>
          <w:sz w:val="28"/>
          <w:szCs w:val="28"/>
        </w:rPr>
        <w:t xml:space="preserve">Модель </w:t>
      </w:r>
      <w:r w:rsidR="0097610E" w:rsidRPr="003B10E2">
        <w:rPr>
          <w:rFonts w:ascii="Times New Roman" w:hAnsi="Times New Roman"/>
          <w:sz w:val="28"/>
          <w:szCs w:val="28"/>
        </w:rPr>
        <w:t xml:space="preserve">прогнозирования </w:t>
      </w:r>
      <w:r w:rsidRPr="003B10E2">
        <w:rPr>
          <w:rFonts w:ascii="Times New Roman" w:hAnsi="Times New Roman"/>
          <w:sz w:val="28"/>
          <w:szCs w:val="28"/>
        </w:rPr>
        <w:t xml:space="preserve">капитализации компаний, входящих в индекс Московской биржи (IMOEX) построена с использованием этих переменных: индекса потребительских цен, валового внутреннего продукта, цены на нефть, общего экспорта страны. </w:t>
      </w:r>
      <w:r w:rsidR="00584C53" w:rsidRPr="003B10E2">
        <w:rPr>
          <w:rFonts w:ascii="Times New Roman" w:hAnsi="Times New Roman"/>
          <w:sz w:val="28"/>
          <w:szCs w:val="28"/>
        </w:rPr>
        <w:t xml:space="preserve">Аналогичная модель может быть использована и для китайского рынка акций. </w:t>
      </w:r>
      <w:r w:rsidRPr="003B10E2">
        <w:rPr>
          <w:rFonts w:ascii="Times New Roman" w:hAnsi="Times New Roman"/>
          <w:sz w:val="28"/>
          <w:szCs w:val="28"/>
        </w:rPr>
        <w:t>Она задается следующим образом:</w:t>
      </w:r>
    </w:p>
    <w:p w14:paraId="18833EF2" w14:textId="77777777" w:rsidR="002C3A2F" w:rsidRPr="003B10E2" w:rsidRDefault="002C3A2F" w:rsidP="002C3A2F">
      <w:pPr>
        <w:spacing w:after="0" w:line="360" w:lineRule="auto"/>
        <w:ind w:firstLine="708"/>
        <w:jc w:val="both"/>
        <w:rPr>
          <w:rFonts w:ascii="Times New Roman" w:hAnsi="Times New Roman"/>
          <w:sz w:val="28"/>
          <w:szCs w:val="28"/>
        </w:rPr>
      </w:pPr>
    </w:p>
    <w:p w14:paraId="7E127B97" w14:textId="77777777" w:rsidR="002C3A2F" w:rsidRPr="003B10E2" w:rsidRDefault="002D341E" w:rsidP="002C3A2F">
      <w:pPr>
        <w:spacing w:after="0" w:line="360" w:lineRule="auto"/>
        <w:jc w:val="both"/>
        <w:rPr>
          <w:rFonts w:ascii="Times New Roman" w:hAnsi="Times New Roman"/>
          <w:sz w:val="28"/>
          <w:szCs w:val="28"/>
        </w:rPr>
      </w:pPr>
      <w:r w:rsidRPr="003B10E2">
        <w:rPr>
          <w:rFonts w:ascii="Times New Roman" w:hAnsi="Times New Roman"/>
        </w:rPr>
        <w:fldChar w:fldCharType="begin"/>
      </w:r>
      <w:r w:rsidRPr="003B10E2">
        <w:rPr>
          <w:rFonts w:ascii="Times New Roman" w:hAnsi="Times New Roman"/>
        </w:rPr>
        <w:instrText xml:space="preserve"> QUOTE </w:instrText>
      </w:r>
      <w:r w:rsidR="00F276E9">
        <w:rPr>
          <w:noProof/>
          <w:position w:val="-6"/>
        </w:rPr>
      </w:r>
      <w:r w:rsidR="00F276E9">
        <w:rPr>
          <w:noProof/>
          <w:position w:val="-6"/>
        </w:rPr>
        <w:pict w14:anchorId="30A2E6B1">
          <v:shape id="_x0000_i1039" type="#_x0000_t75" style="width:434.2pt;height:14.1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3539&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323539&quot; wsp:rsidP=&quot;00323539&quot;&gt;&lt;m:oMathPara&gt;&lt;m:oMath&gt;&lt;m:r&gt;&lt;w:rPr&gt;&lt;w:rFonts w:ascii=&quot;Cambria Math&quot; w:h-ansi=&quot;Cambria Math&quot;/&gt;&lt;wx:font wx:val=&quot;Cambria Math&quot;/&gt;&lt;w:i/&gt;&lt;/w:rPr&gt;&lt;m:t&gt;LogEXC&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H&lt;/m:t&gt;&lt;/m:r&gt;&lt;/m:e&gt;&lt;m:sub&gt;&lt;m:r&gt;&lt;w:rPr&gt;&lt;w:rFonts w:ascii=&quot;Cambria Math&quot; w:h-ansi=&quot;Cambria Math&quot;/&gt;&lt;wx:font wx:val=&quot;Cambria Math&quot;/&gt;&lt;w:i/&gt;&lt;/w:rPr&gt;&lt;m:t&gt;t&lt;/m:t&gt;&lt;/m:r&gt;&lt;/m:sub&gt;&lt;/m:sSub&gt;&lt;m:r&gt;&lt;w:rPr&gt;&lt;w:rFonts w:ascii=&quot;Cambria Math&quot; w:h-ansi=&quot;Cambria Math&quot;/&gt;&lt;wx:font wx:val=&quot;Cambria Math&quot;/&gt;&lt;w:i/&gt;&lt;/w:rPr&gt;&lt;m:t&gt;=О±+&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ogCP&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I&lt;/m:t&gt;&lt;/m:r&gt;&lt;/m:e&gt;&lt;m:sub&gt;&lt;m:r&gt;&lt;w:rPr&gt;&lt;w:rFonts w:ascii=&quot;Cambria Math&quot; w:h-ansi=&quot;Cambria Math&quot;/&gt;&lt;wx:font wx:val=&quot;Cambria Math&quot;/&gt;&lt;w:i/&gt;&lt;/w:rPr&gt;&lt;m:t&gt;t&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logOI&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t&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3&lt;/m:t&gt;&lt;/m:r&gt;&lt;/m:sub&gt;&lt;/m:sSub&gt;&lt;m:r&gt;&lt;w:rPr&gt;&lt;w:rFonts w:ascii=&quot;Cambria Math&quot; w:h-ansi=&quot;Cambria Math&quot;/&gt;&lt;wx:font wx:val=&quot;Cambria Math&quot;/&gt;&lt;w:i/&gt;&lt;/w:rPr&gt;&lt;m:t&gt;logGD&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t&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4&lt;/m:t&gt;&lt;/m:r&gt;&lt;/m:sub&gt;&lt;/m:sSub&gt;&lt;m:r&gt;&lt;w:rPr&gt;&lt;w:rFonts w:ascii=&quot;Cambria Math&quot; w:h-ansi=&quot;Cambria Math&quot;/&gt;&lt;wx:font wx:val=&quot;Cambria Math&quot;/&gt;&lt;w:i/&gt;&lt;/w:rPr&gt;&lt;m:t&gt;logEXPOR&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t&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5&lt;/m:t&gt;&lt;/m:r&gt;&lt;/m:sub&gt;&lt;/m:sSub&gt;&lt;m:r&gt;&lt;w:rPr&gt;&lt;w:rFonts w:ascii=&quot;Cambria Math&quot; w:h-ansi=&quot;Cambria Math&quot;/&gt;&lt;wx:font wx:val=&quot;Cambria Math&quot;/&gt;&lt;w:i/&gt;&lt;/w:rPr&gt;&lt;m:t&gt;l&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ogRUB&lt;/m:t&gt;&lt;/m:r&gt;&lt;/m:e&gt;&lt;m:sub&gt;&lt;m:r&gt;&lt;w:rPr&gt;&lt;w:rFonts w:ascii=&quot;Cambria Math&quot; w:h-ansi=&quot;Cambria Math&quot;/&gt;&lt;wx:font wx:val=&quot;Cambria Math&quot;/&gt;&lt;w:i/&gt;&lt;/w:rPr&gt;&lt;m:t&gt;t&lt;/m:t&gt;&lt;/m:r&gt;&lt;/m:sub&gt;&lt;/m:sSub&gt;&lt;m:r&gt;&lt;w:rPr&gt;&lt;w:rFonts w:ascii=&quot;Cambria Math&quot; w:h-ansi=&quot;Cambria Math&quot;/&gt;&lt;wx:font wx:val=&quot;Cambria Math&quot;/&gt;&lt;w:i/&gt;&lt;/w:rPr&gt;&lt;m:t&gt;+Оµ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0" o:title="" chromakey="white"/>
          </v:shape>
        </w:pict>
      </w:r>
      <w:r w:rsidRPr="003B10E2">
        <w:rPr>
          <w:rFonts w:ascii="Times New Roman" w:hAnsi="Times New Roman"/>
        </w:rPr>
        <w:instrText xml:space="preserve"> </w:instrText>
      </w:r>
      <w:r w:rsidRPr="003B10E2">
        <w:rPr>
          <w:rFonts w:ascii="Times New Roman" w:hAnsi="Times New Roman"/>
        </w:rPr>
        <w:fldChar w:fldCharType="separate"/>
      </w:r>
      <w:r w:rsidR="00F276E9">
        <w:rPr>
          <w:noProof/>
          <w:position w:val="-6"/>
        </w:rPr>
      </w:r>
      <w:r w:rsidR="00F276E9">
        <w:rPr>
          <w:noProof/>
          <w:position w:val="-6"/>
        </w:rPr>
        <w:pict w14:anchorId="7478E9DE">
          <v:shape id="_x0000_i1040" type="#_x0000_t75" style="width:434.2pt;height:14.1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3539&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323539&quot; wsp:rsidP=&quot;00323539&quot;&gt;&lt;m:oMathPara&gt;&lt;m:oMath&gt;&lt;m:r&gt;&lt;w:rPr&gt;&lt;w:rFonts w:ascii=&quot;Cambria Math&quot; w:h-ansi=&quot;Cambria Math&quot;/&gt;&lt;wx:font wx:val=&quot;Cambria Math&quot;/&gt;&lt;w:i/&gt;&lt;/w:rPr&gt;&lt;m:t&gt;LogEXC&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H&lt;/m:t&gt;&lt;/m:r&gt;&lt;/m:e&gt;&lt;m:sub&gt;&lt;m:r&gt;&lt;w:rPr&gt;&lt;w:rFonts w:ascii=&quot;Cambria Math&quot; w:h-ansi=&quot;Cambria Math&quot;/&gt;&lt;wx:font wx:val=&quot;Cambria Math&quot;/&gt;&lt;w:i/&gt;&lt;/w:rPr&gt;&lt;m:t&gt;t&lt;/m:t&gt;&lt;/m:r&gt;&lt;/m:sub&gt;&lt;/m:sSub&gt;&lt;m:r&gt;&lt;w:rPr&gt;&lt;w:rFonts w:ascii=&quot;Cambria Math&quot; w:h-ansi=&quot;Cambria Math&quot;/&gt;&lt;wx:font wx:val=&quot;Cambria Math&quot;/&gt;&lt;w:i/&gt;&lt;/w:rPr&gt;&lt;m:t&gt;=О±+&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ogCP&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I&lt;/m:t&gt;&lt;/m:r&gt;&lt;/m:e&gt;&lt;m:sub&gt;&lt;m:r&gt;&lt;w:rPr&gt;&lt;w:rFonts w:ascii=&quot;Cambria Math&quot; w:h-ansi=&quot;Cambria Math&quot;/&gt;&lt;wx:font wx:val=&quot;Cambria Math&quot;/&gt;&lt;w:i/&gt;&lt;/w:rPr&gt;&lt;m:t&gt;t&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logOI&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t&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3&lt;/m:t&gt;&lt;/m:r&gt;&lt;/m:sub&gt;&lt;/m:sSub&gt;&lt;m:r&gt;&lt;w:rPr&gt;&lt;w:rFonts w:ascii=&quot;Cambria Math&quot; w:h-ansi=&quot;Cambria Math&quot;/&gt;&lt;wx:font wx:val=&quot;Cambria Math&quot;/&gt;&lt;w:i/&gt;&lt;/w:rPr&gt;&lt;m:t&gt;logGD&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t&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4&lt;/m:t&gt;&lt;/m:r&gt;&lt;/m:sub&gt;&lt;/m:sSub&gt;&lt;m:r&gt;&lt;w:rPr&gt;&lt;w:rFonts w:ascii=&quot;Cambria Math&quot; w:h-ansi=&quot;Cambria Math&quot;/&gt;&lt;wx:font wx:val=&quot;Cambria Math&quot;/&gt;&lt;w:i/&gt;&lt;/w:rPr&gt;&lt;m:t&gt;logEXPOR&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t&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5&lt;/m:t&gt;&lt;/m:r&gt;&lt;/m:sub&gt;&lt;/m:sSub&gt;&lt;m:r&gt;&lt;w:rPr&gt;&lt;w:rFonts w:ascii=&quot;Cambria Math&quot; w:h-ansi=&quot;Cambria Math&quot;/&gt;&lt;wx:font wx:val=&quot;Cambria Math&quot;/&gt;&lt;w:i/&gt;&lt;/w:rPr&gt;&lt;m:t&gt;l&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ogRUB&lt;/m:t&gt;&lt;/m:r&gt;&lt;/m:e&gt;&lt;m:sub&gt;&lt;m:r&gt;&lt;w:rPr&gt;&lt;w:rFonts w:ascii=&quot;Cambria Math&quot; w:h-ansi=&quot;Cambria Math&quot;/&gt;&lt;wx:font wx:val=&quot;Cambria Math&quot;/&gt;&lt;w:i/&gt;&lt;/w:rPr&gt;&lt;m:t&gt;t&lt;/m:t&gt;&lt;/m:r&gt;&lt;/m:sub&gt;&lt;/m:sSub&gt;&lt;m:r&gt;&lt;w:rPr&gt;&lt;w:rFonts w:ascii=&quot;Cambria Math&quot; w:h-ansi=&quot;Cambria Math&quot;/&gt;&lt;wx:font wx:val=&quot;Cambria Math&quot;/&gt;&lt;w:i/&gt;&lt;/w:rPr&gt;&lt;m:t&gt;+Оµ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0" o:title="" chromakey="white"/>
          </v:shape>
        </w:pict>
      </w:r>
      <w:r w:rsidRPr="003B10E2">
        <w:rPr>
          <w:rFonts w:ascii="Times New Roman" w:hAnsi="Times New Roman"/>
        </w:rPr>
        <w:fldChar w:fldCharType="end"/>
      </w:r>
      <w:r w:rsidR="002C3A2F" w:rsidRPr="003B10E2">
        <w:rPr>
          <w:rFonts w:ascii="Times New Roman" w:hAnsi="Times New Roman"/>
        </w:rPr>
        <w:t>,</w:t>
      </w:r>
      <w:r w:rsidR="00243FAC" w:rsidRPr="003B10E2">
        <w:rPr>
          <w:rFonts w:ascii="Times New Roman" w:hAnsi="Times New Roman"/>
        </w:rPr>
        <w:t xml:space="preserve"> </w:t>
      </w:r>
      <w:r w:rsidR="002C3A2F" w:rsidRPr="003B10E2">
        <w:rPr>
          <w:rFonts w:ascii="Times New Roman" w:hAnsi="Times New Roman"/>
          <w:sz w:val="28"/>
          <w:szCs w:val="28"/>
        </w:rPr>
        <w:br/>
        <w:t xml:space="preserve">           </w:t>
      </w:r>
      <w:r w:rsidR="002C3A2F" w:rsidRPr="003B10E2">
        <w:rPr>
          <w:rFonts w:ascii="Times New Roman" w:hAnsi="Times New Roman"/>
          <w:sz w:val="28"/>
          <w:szCs w:val="28"/>
        </w:rPr>
        <w:tab/>
      </w:r>
      <w:r w:rsidR="002C3A2F" w:rsidRPr="003B10E2">
        <w:rPr>
          <w:rFonts w:ascii="Times New Roman" w:hAnsi="Times New Roman"/>
          <w:sz w:val="28"/>
          <w:szCs w:val="28"/>
        </w:rPr>
        <w:tab/>
      </w:r>
      <w:r w:rsidR="002C3A2F" w:rsidRPr="003B10E2">
        <w:rPr>
          <w:rFonts w:ascii="Times New Roman" w:hAnsi="Times New Roman"/>
          <w:sz w:val="28"/>
          <w:szCs w:val="28"/>
        </w:rPr>
        <w:tab/>
      </w:r>
      <w:r w:rsidR="002C3A2F" w:rsidRPr="003B10E2">
        <w:rPr>
          <w:rFonts w:ascii="Times New Roman" w:hAnsi="Times New Roman"/>
          <w:sz w:val="28"/>
          <w:szCs w:val="28"/>
        </w:rPr>
        <w:tab/>
      </w:r>
      <w:r w:rsidR="002C3A2F" w:rsidRPr="003B10E2">
        <w:rPr>
          <w:rFonts w:ascii="Times New Roman" w:hAnsi="Times New Roman"/>
          <w:sz w:val="28"/>
          <w:szCs w:val="28"/>
        </w:rPr>
        <w:tab/>
      </w:r>
      <w:r w:rsidR="002C3A2F" w:rsidRPr="003B10E2">
        <w:rPr>
          <w:rFonts w:ascii="Times New Roman" w:hAnsi="Times New Roman"/>
          <w:sz w:val="28"/>
          <w:szCs w:val="28"/>
        </w:rPr>
        <w:tab/>
      </w:r>
      <w:r w:rsidR="002C3A2F" w:rsidRPr="003B10E2">
        <w:rPr>
          <w:rFonts w:ascii="Times New Roman" w:hAnsi="Times New Roman"/>
          <w:sz w:val="28"/>
          <w:szCs w:val="28"/>
        </w:rPr>
        <w:tab/>
      </w:r>
      <w:r w:rsidR="002C3A2F" w:rsidRPr="003B10E2">
        <w:rPr>
          <w:rFonts w:ascii="Times New Roman" w:hAnsi="Times New Roman"/>
          <w:sz w:val="28"/>
          <w:szCs w:val="28"/>
        </w:rPr>
        <w:tab/>
      </w:r>
      <w:r w:rsidR="002C3A2F" w:rsidRPr="003B10E2">
        <w:rPr>
          <w:rFonts w:ascii="Times New Roman" w:hAnsi="Times New Roman"/>
          <w:sz w:val="28"/>
          <w:szCs w:val="28"/>
        </w:rPr>
        <w:tab/>
      </w:r>
      <w:r w:rsidR="002C3A2F" w:rsidRPr="003B10E2">
        <w:rPr>
          <w:rFonts w:ascii="Times New Roman" w:hAnsi="Times New Roman"/>
          <w:sz w:val="28"/>
          <w:szCs w:val="28"/>
        </w:rPr>
        <w:tab/>
      </w:r>
      <w:r w:rsidR="002C3A2F" w:rsidRPr="003B10E2">
        <w:rPr>
          <w:rFonts w:ascii="Times New Roman" w:hAnsi="Times New Roman"/>
          <w:sz w:val="28"/>
          <w:szCs w:val="28"/>
        </w:rPr>
        <w:tab/>
        <w:t xml:space="preserve">  (2.13)</w:t>
      </w:r>
      <w:r w:rsidR="002C3A2F" w:rsidRPr="003B10E2">
        <w:rPr>
          <w:rFonts w:ascii="Times New Roman" w:hAnsi="Times New Roman"/>
          <w:sz w:val="28"/>
          <w:szCs w:val="28"/>
        </w:rPr>
        <w:tab/>
      </w:r>
    </w:p>
    <w:p w14:paraId="261C3A1B" w14:textId="77777777" w:rsidR="002C3A2F" w:rsidRPr="003B10E2" w:rsidRDefault="002C3A2F" w:rsidP="002C3A2F">
      <w:pPr>
        <w:spacing w:after="0" w:line="360" w:lineRule="auto"/>
        <w:jc w:val="both"/>
        <w:rPr>
          <w:rFonts w:ascii="Times New Roman" w:hAnsi="Times New Roman"/>
          <w:sz w:val="28"/>
          <w:szCs w:val="28"/>
        </w:rPr>
      </w:pPr>
      <w:r w:rsidRPr="003B10E2">
        <w:rPr>
          <w:rFonts w:ascii="Times New Roman" w:hAnsi="Times New Roman"/>
          <w:sz w:val="28"/>
          <w:szCs w:val="28"/>
        </w:rPr>
        <w:t xml:space="preserve">где </w:t>
      </w:r>
      <w:r w:rsidRPr="003B10E2">
        <w:rPr>
          <w:rFonts w:ascii="Times New Roman" w:hAnsi="Times New Roman"/>
          <w:sz w:val="28"/>
          <w:szCs w:val="28"/>
        </w:rPr>
        <w:tab/>
      </w:r>
      <w:r w:rsidR="00651284" w:rsidRPr="003B10E2">
        <w:rPr>
          <w:rFonts w:ascii="Times New Roman" w:hAnsi="Times New Roman"/>
          <w:i/>
          <w:sz w:val="28"/>
          <w:szCs w:val="28"/>
          <w:lang w:val="en-US"/>
        </w:rPr>
        <w:t>Log</w:t>
      </w:r>
      <w:r w:rsidR="00651284" w:rsidRPr="003B10E2">
        <w:rPr>
          <w:rFonts w:ascii="Times New Roman" w:hAnsi="Times New Roman"/>
          <w:i/>
          <w:sz w:val="28"/>
          <w:szCs w:val="28"/>
        </w:rPr>
        <w:t>EXCH</w:t>
      </w:r>
      <w:r w:rsidR="00651284" w:rsidRPr="003B10E2">
        <w:rPr>
          <w:rFonts w:ascii="Times New Roman" w:hAnsi="Times New Roman"/>
          <w:sz w:val="28"/>
          <w:szCs w:val="28"/>
        </w:rPr>
        <w:t xml:space="preserve"> </w:t>
      </w:r>
      <w:r w:rsidRPr="003B10E2">
        <w:rPr>
          <w:rFonts w:ascii="Times New Roman" w:hAnsi="Times New Roman"/>
          <w:sz w:val="28"/>
          <w:szCs w:val="28"/>
        </w:rPr>
        <w:t>—</w:t>
      </w:r>
      <w:r w:rsidR="00651284" w:rsidRPr="003B10E2">
        <w:t xml:space="preserve"> </w:t>
      </w:r>
      <w:r w:rsidR="00651284" w:rsidRPr="003B10E2">
        <w:rPr>
          <w:rFonts w:ascii="Times New Roman" w:hAnsi="Times New Roman"/>
          <w:sz w:val="28"/>
          <w:szCs w:val="28"/>
        </w:rPr>
        <w:t>капитализация компани</w:t>
      </w:r>
      <w:r w:rsidRPr="003B10E2">
        <w:rPr>
          <w:rFonts w:ascii="Times New Roman" w:hAnsi="Times New Roman"/>
          <w:sz w:val="28"/>
          <w:szCs w:val="28"/>
        </w:rPr>
        <w:t>й, входящих в индекс Московской</w:t>
      </w:r>
    </w:p>
    <w:p w14:paraId="23EDE72A" w14:textId="77777777" w:rsidR="00651284" w:rsidRPr="003B10E2" w:rsidRDefault="00651284" w:rsidP="002C3A2F">
      <w:pPr>
        <w:spacing w:after="0" w:line="360" w:lineRule="auto"/>
        <w:ind w:firstLine="708"/>
        <w:jc w:val="both"/>
        <w:rPr>
          <w:rFonts w:ascii="Times New Roman" w:hAnsi="Times New Roman"/>
          <w:sz w:val="28"/>
          <w:szCs w:val="28"/>
        </w:rPr>
      </w:pPr>
      <w:r w:rsidRPr="003B10E2">
        <w:rPr>
          <w:rFonts w:ascii="Times New Roman" w:hAnsi="Times New Roman"/>
          <w:sz w:val="28"/>
          <w:szCs w:val="28"/>
        </w:rPr>
        <w:t>биржи (IMOEX) в миллионах долларов США;</w:t>
      </w:r>
    </w:p>
    <w:p w14:paraId="78CA096D" w14:textId="77777777" w:rsidR="00651284" w:rsidRPr="003B10E2" w:rsidRDefault="00651284" w:rsidP="00651284">
      <w:pPr>
        <w:spacing w:after="0" w:line="360" w:lineRule="auto"/>
        <w:ind w:firstLine="708"/>
        <w:jc w:val="both"/>
        <w:rPr>
          <w:rFonts w:ascii="Times New Roman" w:hAnsi="Times New Roman"/>
          <w:sz w:val="28"/>
          <w:szCs w:val="28"/>
        </w:rPr>
      </w:pPr>
      <w:r w:rsidRPr="003B10E2">
        <w:rPr>
          <w:rFonts w:ascii="Times New Roman" w:hAnsi="Times New Roman"/>
          <w:sz w:val="28"/>
          <w:szCs w:val="28"/>
        </w:rPr>
        <w:t xml:space="preserve">CPI — индекс потребительских цен в пунктах; </w:t>
      </w:r>
    </w:p>
    <w:p w14:paraId="79D88C43" w14:textId="77777777" w:rsidR="00651284" w:rsidRPr="003B10E2" w:rsidRDefault="00651284" w:rsidP="00651284">
      <w:pPr>
        <w:spacing w:after="0" w:line="360" w:lineRule="auto"/>
        <w:ind w:firstLine="708"/>
        <w:jc w:val="both"/>
        <w:rPr>
          <w:rFonts w:ascii="Times New Roman" w:hAnsi="Times New Roman"/>
          <w:sz w:val="28"/>
          <w:szCs w:val="28"/>
        </w:rPr>
      </w:pPr>
      <w:r w:rsidRPr="003B10E2">
        <w:rPr>
          <w:rFonts w:ascii="Times New Roman" w:hAnsi="Times New Roman"/>
          <w:sz w:val="28"/>
          <w:szCs w:val="28"/>
        </w:rPr>
        <w:t>GDP — валовой внутренний продукт в миллионах долларов США;</w:t>
      </w:r>
    </w:p>
    <w:p w14:paraId="0389D550" w14:textId="77777777" w:rsidR="00651284" w:rsidRPr="003B10E2" w:rsidRDefault="00651284" w:rsidP="00651284">
      <w:pPr>
        <w:spacing w:after="0" w:line="360" w:lineRule="auto"/>
        <w:ind w:firstLine="708"/>
        <w:jc w:val="both"/>
        <w:rPr>
          <w:rFonts w:ascii="Times New Roman" w:hAnsi="Times New Roman"/>
          <w:sz w:val="28"/>
          <w:szCs w:val="28"/>
        </w:rPr>
      </w:pPr>
      <w:r w:rsidRPr="003B10E2">
        <w:rPr>
          <w:rFonts w:ascii="Times New Roman" w:hAnsi="Times New Roman"/>
          <w:sz w:val="28"/>
          <w:szCs w:val="28"/>
        </w:rPr>
        <w:t xml:space="preserve">OIL — средняя цена за месяц на нефть Brent в долларах США за баррель; </w:t>
      </w:r>
    </w:p>
    <w:p w14:paraId="59C911FD" w14:textId="77777777" w:rsidR="00651284" w:rsidRPr="003B10E2" w:rsidRDefault="00651284" w:rsidP="00651284">
      <w:pPr>
        <w:spacing w:after="0" w:line="360" w:lineRule="auto"/>
        <w:ind w:firstLine="708"/>
        <w:jc w:val="both"/>
        <w:rPr>
          <w:rFonts w:ascii="Times New Roman" w:hAnsi="Times New Roman"/>
          <w:sz w:val="28"/>
          <w:szCs w:val="28"/>
        </w:rPr>
      </w:pPr>
      <w:r w:rsidRPr="003B10E2">
        <w:rPr>
          <w:rFonts w:ascii="Times New Roman" w:hAnsi="Times New Roman"/>
          <w:sz w:val="28"/>
          <w:szCs w:val="28"/>
        </w:rPr>
        <w:t>EXPORT — общий объем экспорта страны в миллионах долларов США;</w:t>
      </w:r>
    </w:p>
    <w:p w14:paraId="11C3EC08" w14:textId="77777777" w:rsidR="00651284" w:rsidRPr="003B10E2" w:rsidRDefault="00651284" w:rsidP="00651284">
      <w:pPr>
        <w:spacing w:after="0" w:line="360" w:lineRule="auto"/>
        <w:ind w:firstLine="708"/>
        <w:jc w:val="both"/>
        <w:rPr>
          <w:rFonts w:ascii="Times New Roman" w:hAnsi="Times New Roman"/>
          <w:color w:val="FF0000"/>
          <w:sz w:val="28"/>
          <w:szCs w:val="28"/>
        </w:rPr>
      </w:pPr>
      <w:r w:rsidRPr="003B10E2">
        <w:rPr>
          <w:rFonts w:ascii="Times New Roman" w:hAnsi="Times New Roman"/>
          <w:sz w:val="28"/>
          <w:szCs w:val="28"/>
        </w:rPr>
        <w:t>RU</w:t>
      </w:r>
      <w:r w:rsidRPr="003B10E2">
        <w:rPr>
          <w:rFonts w:ascii="Times New Roman" w:hAnsi="Times New Roman"/>
          <w:sz w:val="28"/>
          <w:szCs w:val="28"/>
          <w:lang w:val="en-GB"/>
        </w:rPr>
        <w:t>B</w:t>
      </w:r>
      <w:r w:rsidRPr="003B10E2">
        <w:rPr>
          <w:rFonts w:ascii="Times New Roman" w:hAnsi="Times New Roman"/>
          <w:sz w:val="28"/>
          <w:szCs w:val="28"/>
        </w:rPr>
        <w:t xml:space="preserve"> — среднее арифметическое официальных курсов доллара США в рублях на первый и последний день месяца; </w:t>
      </w:r>
    </w:p>
    <w:p w14:paraId="2442AF92" w14:textId="77777777" w:rsidR="00651284" w:rsidRPr="003B10E2" w:rsidRDefault="002D341E" w:rsidP="00651284">
      <w:pPr>
        <w:spacing w:after="0" w:line="360" w:lineRule="auto"/>
        <w:ind w:firstLine="708"/>
        <w:jc w:val="both"/>
        <w:rPr>
          <w:rFonts w:ascii="Times New Roman" w:hAnsi="Times New Roman"/>
          <w:sz w:val="28"/>
          <w:szCs w:val="28"/>
        </w:rPr>
      </w:pPr>
      <w:r w:rsidRPr="003B10E2">
        <w:rPr>
          <w:rFonts w:ascii="Times New Roman" w:hAnsi="Times New Roman"/>
          <w:sz w:val="28"/>
          <w:szCs w:val="28"/>
        </w:rPr>
        <w:fldChar w:fldCharType="begin"/>
      </w:r>
      <w:r w:rsidRPr="003B10E2">
        <w:rPr>
          <w:rFonts w:ascii="Times New Roman" w:hAnsi="Times New Roman"/>
          <w:sz w:val="28"/>
          <w:szCs w:val="28"/>
        </w:rPr>
        <w:instrText xml:space="preserve"> QUOTE </w:instrText>
      </w:r>
      <w:r w:rsidR="00F276E9">
        <w:rPr>
          <w:noProof/>
          <w:position w:val="-6"/>
        </w:rPr>
      </w:r>
      <w:r w:rsidR="00F276E9">
        <w:rPr>
          <w:noProof/>
          <w:position w:val="-6"/>
        </w:rPr>
        <w:pict w14:anchorId="5DB0D41F">
          <v:shape id="_x0000_i1041" type="#_x0000_t75" style="width:10.15pt;height:14.1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53347&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253347&quot; wsp:rsidP=&quot;00253347&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1" o:title="" chromakey="white"/>
          </v:shape>
        </w:pict>
      </w:r>
      <w:r w:rsidRPr="003B10E2">
        <w:rPr>
          <w:rFonts w:ascii="Times New Roman" w:hAnsi="Times New Roman"/>
          <w:sz w:val="28"/>
          <w:szCs w:val="28"/>
        </w:rPr>
        <w:instrText xml:space="preserve"> </w:instrText>
      </w:r>
      <w:r w:rsidRPr="003B10E2">
        <w:rPr>
          <w:rFonts w:ascii="Times New Roman" w:hAnsi="Times New Roman"/>
          <w:sz w:val="28"/>
          <w:szCs w:val="28"/>
        </w:rPr>
        <w:fldChar w:fldCharType="separate"/>
      </w:r>
      <w:r w:rsidR="00F276E9">
        <w:rPr>
          <w:noProof/>
          <w:position w:val="-6"/>
        </w:rPr>
      </w:r>
      <w:r w:rsidR="00F276E9">
        <w:rPr>
          <w:noProof/>
          <w:position w:val="-6"/>
        </w:rPr>
        <w:pict w14:anchorId="63C68772">
          <v:shape id="_x0000_i1042" type="#_x0000_t75" style="width:10.15pt;height:14.1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53347&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253347&quot; wsp:rsidP=&quot;00253347&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1" o:title="" chromakey="white"/>
          </v:shape>
        </w:pict>
      </w:r>
      <w:r w:rsidRPr="003B10E2">
        <w:rPr>
          <w:rFonts w:ascii="Times New Roman" w:hAnsi="Times New Roman"/>
          <w:sz w:val="28"/>
          <w:szCs w:val="28"/>
        </w:rPr>
        <w:fldChar w:fldCharType="end"/>
      </w:r>
      <w:r w:rsidR="00651284" w:rsidRPr="003B10E2">
        <w:rPr>
          <w:rFonts w:ascii="Times New Roman" w:hAnsi="Times New Roman"/>
          <w:sz w:val="28"/>
          <w:szCs w:val="28"/>
        </w:rPr>
        <w:t xml:space="preserve">, </w:t>
      </w:r>
      <w:r w:rsidRPr="003B10E2">
        <w:rPr>
          <w:rFonts w:ascii="Times New Roman" w:hAnsi="Times New Roman"/>
          <w:sz w:val="28"/>
          <w:szCs w:val="28"/>
        </w:rPr>
        <w:fldChar w:fldCharType="begin"/>
      </w:r>
      <w:r w:rsidRPr="003B10E2">
        <w:rPr>
          <w:rFonts w:ascii="Times New Roman" w:hAnsi="Times New Roman"/>
          <w:sz w:val="28"/>
          <w:szCs w:val="28"/>
        </w:rPr>
        <w:instrText xml:space="preserve"> QUOTE </w:instrText>
      </w:r>
      <w:r w:rsidR="00F276E9">
        <w:rPr>
          <w:noProof/>
          <w:position w:val="-6"/>
        </w:rPr>
      </w:r>
      <w:r w:rsidR="00F276E9">
        <w:rPr>
          <w:noProof/>
          <w:position w:val="-6"/>
        </w:rPr>
        <w:pict w14:anchorId="5247069E">
          <v:shape id="_x0000_i1043" type="#_x0000_t75" style="width:11.5pt;height:14.1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23916&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A23916&quot; wsp:rsidP=&quot;00A23916&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2" o:title="" chromakey="white"/>
          </v:shape>
        </w:pict>
      </w:r>
      <w:r w:rsidRPr="003B10E2">
        <w:rPr>
          <w:rFonts w:ascii="Times New Roman" w:hAnsi="Times New Roman"/>
          <w:sz w:val="28"/>
          <w:szCs w:val="28"/>
        </w:rPr>
        <w:instrText xml:space="preserve"> </w:instrText>
      </w:r>
      <w:r w:rsidRPr="003B10E2">
        <w:rPr>
          <w:rFonts w:ascii="Times New Roman" w:hAnsi="Times New Roman"/>
          <w:sz w:val="28"/>
          <w:szCs w:val="28"/>
        </w:rPr>
        <w:fldChar w:fldCharType="separate"/>
      </w:r>
      <w:r w:rsidR="00F276E9">
        <w:rPr>
          <w:noProof/>
          <w:position w:val="-6"/>
        </w:rPr>
      </w:r>
      <w:r w:rsidR="00F276E9">
        <w:rPr>
          <w:noProof/>
          <w:position w:val="-6"/>
        </w:rPr>
        <w:pict w14:anchorId="09D5ABF3">
          <v:shape id="_x0000_i1044" type="#_x0000_t75" style="width:11.5pt;height:14.1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23916&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A23916&quot; wsp:rsidP=&quot;00A23916&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2" o:title="" chromakey="white"/>
          </v:shape>
        </w:pict>
      </w:r>
      <w:r w:rsidRPr="003B10E2">
        <w:rPr>
          <w:rFonts w:ascii="Times New Roman" w:hAnsi="Times New Roman"/>
          <w:sz w:val="28"/>
          <w:szCs w:val="28"/>
        </w:rPr>
        <w:fldChar w:fldCharType="end"/>
      </w:r>
      <w:r w:rsidR="00651284" w:rsidRPr="003B10E2">
        <w:rPr>
          <w:rFonts w:ascii="Times New Roman" w:hAnsi="Times New Roman"/>
          <w:sz w:val="28"/>
          <w:szCs w:val="28"/>
        </w:rPr>
        <w:t xml:space="preserve">, </w:t>
      </w:r>
      <w:r w:rsidRPr="003B10E2">
        <w:rPr>
          <w:rFonts w:ascii="Times New Roman" w:hAnsi="Times New Roman"/>
          <w:sz w:val="28"/>
          <w:szCs w:val="28"/>
        </w:rPr>
        <w:fldChar w:fldCharType="begin"/>
      </w:r>
      <w:r w:rsidRPr="003B10E2">
        <w:rPr>
          <w:rFonts w:ascii="Times New Roman" w:hAnsi="Times New Roman"/>
          <w:sz w:val="28"/>
          <w:szCs w:val="28"/>
        </w:rPr>
        <w:instrText xml:space="preserve"> QUOTE </w:instrText>
      </w:r>
      <w:r w:rsidR="00F276E9">
        <w:rPr>
          <w:noProof/>
          <w:position w:val="-6"/>
        </w:rPr>
      </w:r>
      <w:r w:rsidR="00F276E9">
        <w:rPr>
          <w:noProof/>
          <w:position w:val="-6"/>
        </w:rPr>
        <w:pict w14:anchorId="653246DE">
          <v:shape id="_x0000_i1045" type="#_x0000_t75" style="width:11.5pt;height:14.1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848C8&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4848C8&quot; wsp:rsidP=&quot;004848C8&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3" o:title="" chromakey="white"/>
          </v:shape>
        </w:pict>
      </w:r>
      <w:r w:rsidRPr="003B10E2">
        <w:rPr>
          <w:rFonts w:ascii="Times New Roman" w:hAnsi="Times New Roman"/>
          <w:sz w:val="28"/>
          <w:szCs w:val="28"/>
        </w:rPr>
        <w:instrText xml:space="preserve"> </w:instrText>
      </w:r>
      <w:r w:rsidRPr="003B10E2">
        <w:rPr>
          <w:rFonts w:ascii="Times New Roman" w:hAnsi="Times New Roman"/>
          <w:sz w:val="28"/>
          <w:szCs w:val="28"/>
        </w:rPr>
        <w:fldChar w:fldCharType="separate"/>
      </w:r>
      <w:r w:rsidR="00F276E9">
        <w:rPr>
          <w:noProof/>
          <w:position w:val="-6"/>
        </w:rPr>
      </w:r>
      <w:r w:rsidR="00F276E9">
        <w:rPr>
          <w:noProof/>
          <w:position w:val="-6"/>
        </w:rPr>
        <w:pict w14:anchorId="54D59853">
          <v:shape id="_x0000_i1046" type="#_x0000_t75" style="width:11.5pt;height:14.1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848C8&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4848C8&quot; wsp:rsidP=&quot;004848C8&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3" o:title="" chromakey="white"/>
          </v:shape>
        </w:pict>
      </w:r>
      <w:r w:rsidRPr="003B10E2">
        <w:rPr>
          <w:rFonts w:ascii="Times New Roman" w:hAnsi="Times New Roman"/>
          <w:sz w:val="28"/>
          <w:szCs w:val="28"/>
        </w:rPr>
        <w:fldChar w:fldCharType="end"/>
      </w:r>
      <w:r w:rsidR="00651284" w:rsidRPr="003B10E2">
        <w:rPr>
          <w:rFonts w:ascii="Times New Roman" w:hAnsi="Times New Roman"/>
          <w:sz w:val="28"/>
          <w:szCs w:val="28"/>
        </w:rPr>
        <w:t xml:space="preserve">, </w:t>
      </w:r>
      <w:r w:rsidRPr="003B10E2">
        <w:rPr>
          <w:rFonts w:ascii="Times New Roman" w:hAnsi="Times New Roman"/>
          <w:sz w:val="28"/>
          <w:szCs w:val="28"/>
        </w:rPr>
        <w:fldChar w:fldCharType="begin"/>
      </w:r>
      <w:r w:rsidRPr="003B10E2">
        <w:rPr>
          <w:rFonts w:ascii="Times New Roman" w:hAnsi="Times New Roman"/>
          <w:sz w:val="28"/>
          <w:szCs w:val="28"/>
        </w:rPr>
        <w:instrText xml:space="preserve"> QUOTE </w:instrText>
      </w:r>
      <w:r w:rsidR="00F276E9">
        <w:rPr>
          <w:noProof/>
          <w:position w:val="-6"/>
        </w:rPr>
      </w:r>
      <w:r w:rsidR="00F276E9">
        <w:rPr>
          <w:noProof/>
          <w:position w:val="-6"/>
        </w:rPr>
        <w:pict w14:anchorId="214194A7">
          <v:shape id="_x0000_i1047" type="#_x0000_t75" style="width:25.6pt;height:14.1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E393B&quot;/&gt;&lt;wsp:rsid wsp:val=&quot;00FF138F&quot;/&gt;&lt;/wsp:rsids&gt;&lt;/w:docPr&gt;&lt;w:body&gt;&lt;wx:sect&gt;&lt;w:p wsp:rsidR=&quot;00000000&quot; wsp:rsidRDefault=&quot;00FE393B&quot; wsp:rsidP=&quot;00FE393B&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4&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4" o:title="" chromakey="white"/>
          </v:shape>
        </w:pict>
      </w:r>
      <w:r w:rsidRPr="003B10E2">
        <w:rPr>
          <w:rFonts w:ascii="Times New Roman" w:hAnsi="Times New Roman"/>
          <w:sz w:val="28"/>
          <w:szCs w:val="28"/>
        </w:rPr>
        <w:instrText xml:space="preserve"> </w:instrText>
      </w:r>
      <w:r w:rsidRPr="003B10E2">
        <w:rPr>
          <w:rFonts w:ascii="Times New Roman" w:hAnsi="Times New Roman"/>
          <w:sz w:val="28"/>
          <w:szCs w:val="28"/>
        </w:rPr>
        <w:fldChar w:fldCharType="separate"/>
      </w:r>
      <w:r w:rsidR="00F276E9">
        <w:rPr>
          <w:noProof/>
          <w:position w:val="-6"/>
        </w:rPr>
      </w:r>
      <w:r w:rsidR="00F276E9">
        <w:rPr>
          <w:noProof/>
          <w:position w:val="-6"/>
        </w:rPr>
        <w:pict w14:anchorId="6BF07EBE">
          <v:shape id="_x0000_i1048" type="#_x0000_t75" style="width:25.6pt;height:14.1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E393B&quot;/&gt;&lt;wsp:rsid wsp:val=&quot;00FF138F&quot;/&gt;&lt;/wsp:rsids&gt;&lt;/w:docPr&gt;&lt;w:body&gt;&lt;wx:sect&gt;&lt;w:p wsp:rsidR=&quot;00000000&quot; wsp:rsidRDefault=&quot;00FE393B&quot; wsp:rsidP=&quot;00FE393B&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4&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4" o:title="" chromakey="white"/>
          </v:shape>
        </w:pict>
      </w:r>
      <w:r w:rsidRPr="003B10E2">
        <w:rPr>
          <w:rFonts w:ascii="Times New Roman" w:hAnsi="Times New Roman"/>
          <w:sz w:val="28"/>
          <w:szCs w:val="28"/>
        </w:rPr>
        <w:fldChar w:fldCharType="end"/>
      </w:r>
      <w:r w:rsidR="00651284" w:rsidRPr="003B10E2">
        <w:rPr>
          <w:rFonts w:ascii="Times New Roman" w:hAnsi="Times New Roman"/>
          <w:sz w:val="28"/>
          <w:szCs w:val="28"/>
        </w:rPr>
        <w:t xml:space="preserve"> — коэффициенты модели;</w:t>
      </w:r>
    </w:p>
    <w:p w14:paraId="2D564483" w14:textId="77777777" w:rsidR="00651284" w:rsidRPr="003B10E2" w:rsidRDefault="002D341E" w:rsidP="00651284">
      <w:pPr>
        <w:spacing w:after="0" w:line="360" w:lineRule="auto"/>
        <w:ind w:firstLine="708"/>
        <w:jc w:val="both"/>
        <w:rPr>
          <w:rFonts w:ascii="Times New Roman" w:hAnsi="Times New Roman"/>
          <w:sz w:val="28"/>
          <w:szCs w:val="28"/>
        </w:rPr>
      </w:pPr>
      <w:r w:rsidRPr="003B10E2">
        <w:rPr>
          <w:rFonts w:ascii="Times New Roman" w:hAnsi="Times New Roman"/>
          <w:sz w:val="28"/>
          <w:szCs w:val="28"/>
        </w:rPr>
        <w:fldChar w:fldCharType="begin"/>
      </w:r>
      <w:r w:rsidRPr="003B10E2">
        <w:rPr>
          <w:rFonts w:ascii="Times New Roman" w:hAnsi="Times New Roman"/>
          <w:sz w:val="28"/>
          <w:szCs w:val="28"/>
        </w:rPr>
        <w:instrText xml:space="preserve"> QUOTE </w:instrText>
      </w:r>
      <w:r w:rsidR="00F276E9">
        <w:rPr>
          <w:noProof/>
          <w:position w:val="-6"/>
        </w:rPr>
      </w:r>
      <w:r w:rsidR="00F276E9">
        <w:rPr>
          <w:noProof/>
          <w:position w:val="-6"/>
        </w:rPr>
        <w:pict w14:anchorId="043B2215">
          <v:shape id="_x0000_i1049" type="#_x0000_t75" style="width:6.65pt;height:14.1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56154&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B56154&quot; wsp:rsidP=&quot;00B56154&quot;&gt;&lt;m:oMathPara&gt;&lt;m:oMath&gt;&lt;m:r&gt;&lt;w:rPr&gt;&lt;w:rFonts w:ascii=&quot;Cambria Math&quot; w:h-ansi=&quot;Cambria Math&quot;/&gt;&lt;wx:font wx:val=&quot;Cambria Math&quot;/&gt;&lt;w:i/&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5" o:title="" chromakey="white"/>
          </v:shape>
        </w:pict>
      </w:r>
      <w:r w:rsidRPr="003B10E2">
        <w:rPr>
          <w:rFonts w:ascii="Times New Roman" w:hAnsi="Times New Roman"/>
          <w:sz w:val="28"/>
          <w:szCs w:val="28"/>
        </w:rPr>
        <w:instrText xml:space="preserve"> </w:instrText>
      </w:r>
      <w:r w:rsidRPr="003B10E2">
        <w:rPr>
          <w:rFonts w:ascii="Times New Roman" w:hAnsi="Times New Roman"/>
          <w:sz w:val="28"/>
          <w:szCs w:val="28"/>
        </w:rPr>
        <w:fldChar w:fldCharType="separate"/>
      </w:r>
      <w:r w:rsidR="00F276E9">
        <w:rPr>
          <w:noProof/>
          <w:position w:val="-6"/>
        </w:rPr>
      </w:r>
      <w:r w:rsidR="00F276E9">
        <w:rPr>
          <w:noProof/>
          <w:position w:val="-6"/>
        </w:rPr>
        <w:pict w14:anchorId="6B973833">
          <v:shape id="_x0000_i1050" type="#_x0000_t75" style="width:6.65pt;height:14.1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56154&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B56154&quot; wsp:rsidP=&quot;00B56154&quot;&gt;&lt;m:oMathPara&gt;&lt;m:oMath&gt;&lt;m:r&gt;&lt;w:rPr&gt;&lt;w:rFonts w:ascii=&quot;Cambria Math&quot; w:h-ansi=&quot;Cambria Math&quot;/&gt;&lt;wx:font wx:val=&quot;Cambria Math&quot;/&gt;&lt;w:i/&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5" o:title="" chromakey="white"/>
          </v:shape>
        </w:pict>
      </w:r>
      <w:r w:rsidRPr="003B10E2">
        <w:rPr>
          <w:rFonts w:ascii="Times New Roman" w:hAnsi="Times New Roman"/>
          <w:sz w:val="28"/>
          <w:szCs w:val="28"/>
        </w:rPr>
        <w:fldChar w:fldCharType="end"/>
      </w:r>
      <w:r w:rsidR="00651284" w:rsidRPr="003B10E2">
        <w:rPr>
          <w:rFonts w:ascii="Times New Roman" w:hAnsi="Times New Roman"/>
          <w:sz w:val="28"/>
          <w:szCs w:val="28"/>
        </w:rPr>
        <w:t xml:space="preserve"> — независимая переменная; </w:t>
      </w:r>
    </w:p>
    <w:p w14:paraId="618F3293" w14:textId="77777777" w:rsidR="00651284" w:rsidRPr="003B10E2" w:rsidRDefault="002D341E" w:rsidP="00651284">
      <w:pPr>
        <w:spacing w:after="0" w:line="360" w:lineRule="auto"/>
        <w:ind w:firstLine="708"/>
        <w:jc w:val="both"/>
        <w:rPr>
          <w:rFonts w:ascii="Times New Roman" w:hAnsi="Times New Roman"/>
          <w:sz w:val="28"/>
          <w:szCs w:val="28"/>
        </w:rPr>
      </w:pPr>
      <w:r w:rsidRPr="003B10E2">
        <w:rPr>
          <w:rFonts w:ascii="Times New Roman" w:hAnsi="Times New Roman"/>
          <w:sz w:val="28"/>
          <w:szCs w:val="28"/>
        </w:rPr>
        <w:fldChar w:fldCharType="begin"/>
      </w:r>
      <w:r w:rsidRPr="003B10E2">
        <w:rPr>
          <w:rFonts w:ascii="Times New Roman" w:hAnsi="Times New Roman"/>
          <w:sz w:val="28"/>
          <w:szCs w:val="28"/>
        </w:rPr>
        <w:instrText xml:space="preserve"> QUOTE </w:instrText>
      </w:r>
      <w:r w:rsidR="00F276E9">
        <w:rPr>
          <w:noProof/>
          <w:position w:val="-6"/>
        </w:rPr>
      </w:r>
      <w:r w:rsidR="00F276E9">
        <w:rPr>
          <w:noProof/>
          <w:position w:val="-6"/>
        </w:rPr>
        <w:pict w14:anchorId="2353DBB0">
          <v:shape id="_x0000_i1051" type="#_x0000_t75" style="width:9.7pt;height:14.1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C3ECD&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DC3ECD&quot; wsp:rsidP=&quot;00DC3ECD&quot;&gt;&lt;m:oMathPara&gt;&lt;m:oMath&gt;&lt;m:r&gt;&lt;w:rPr&gt;&lt;w:rFonts w:ascii=&quot;Cambria Math&quot; w:h-ansi=&quot;Cambria Math&quot;/&gt;&lt;wx:font wx:val=&quot;Cambria Math&quot;/&gt;&lt;w:i/&gt;&lt;/w:rPr&gt;&lt;m:t&gt;Оµ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6" o:title="" chromakey="white"/>
          </v:shape>
        </w:pict>
      </w:r>
      <w:r w:rsidRPr="003B10E2">
        <w:rPr>
          <w:rFonts w:ascii="Times New Roman" w:hAnsi="Times New Roman"/>
          <w:sz w:val="28"/>
          <w:szCs w:val="28"/>
        </w:rPr>
        <w:instrText xml:space="preserve"> </w:instrText>
      </w:r>
      <w:r w:rsidRPr="003B10E2">
        <w:rPr>
          <w:rFonts w:ascii="Times New Roman" w:hAnsi="Times New Roman"/>
          <w:sz w:val="28"/>
          <w:szCs w:val="28"/>
        </w:rPr>
        <w:fldChar w:fldCharType="separate"/>
      </w:r>
      <w:r w:rsidR="00F276E9">
        <w:rPr>
          <w:noProof/>
          <w:position w:val="-6"/>
        </w:rPr>
      </w:r>
      <w:r w:rsidR="00F276E9">
        <w:rPr>
          <w:noProof/>
          <w:position w:val="-6"/>
        </w:rPr>
        <w:pict w14:anchorId="631FBCC9">
          <v:shape id="_x0000_i1052" type="#_x0000_t75" style="width:9.7pt;height:14.1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C3ECD&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DC3ECD&quot; wsp:rsidP=&quot;00DC3ECD&quot;&gt;&lt;m:oMathPara&gt;&lt;m:oMath&gt;&lt;m:r&gt;&lt;w:rPr&gt;&lt;w:rFonts w:ascii=&quot;Cambria Math&quot; w:h-ansi=&quot;Cambria Math&quot;/&gt;&lt;wx:font wx:val=&quot;Cambria Math&quot;/&gt;&lt;w:i/&gt;&lt;/w:rPr&gt;&lt;m:t&gt;Оµ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6" o:title="" chromakey="white"/>
          </v:shape>
        </w:pict>
      </w:r>
      <w:r w:rsidRPr="003B10E2">
        <w:rPr>
          <w:rFonts w:ascii="Times New Roman" w:hAnsi="Times New Roman"/>
          <w:sz w:val="28"/>
          <w:szCs w:val="28"/>
        </w:rPr>
        <w:fldChar w:fldCharType="end"/>
      </w:r>
      <w:r w:rsidR="00651284" w:rsidRPr="003B10E2">
        <w:rPr>
          <w:rFonts w:ascii="Times New Roman" w:hAnsi="Times New Roman"/>
          <w:sz w:val="28"/>
          <w:szCs w:val="28"/>
        </w:rPr>
        <w:t xml:space="preserve"> — коэффициент белого шума.</w:t>
      </w:r>
    </w:p>
    <w:p w14:paraId="4D941B33" w14:textId="77777777" w:rsidR="002C3A2F" w:rsidRPr="003B10E2" w:rsidRDefault="002C3A2F" w:rsidP="00651284">
      <w:pPr>
        <w:spacing w:after="0" w:line="360" w:lineRule="auto"/>
        <w:ind w:firstLine="708"/>
        <w:jc w:val="both"/>
        <w:rPr>
          <w:rFonts w:ascii="Times New Roman" w:hAnsi="Times New Roman"/>
          <w:sz w:val="28"/>
          <w:szCs w:val="28"/>
        </w:rPr>
      </w:pPr>
    </w:p>
    <w:p w14:paraId="45E45FA6" w14:textId="77777777" w:rsidR="002C3A2F" w:rsidRPr="003B10E2" w:rsidRDefault="00651284" w:rsidP="002C3A2F">
      <w:pPr>
        <w:spacing w:after="0" w:line="360" w:lineRule="auto"/>
        <w:ind w:firstLine="851"/>
        <w:jc w:val="both"/>
        <w:rPr>
          <w:rFonts w:ascii="Times New Roman" w:hAnsi="Times New Roman"/>
          <w:color w:val="FF0000"/>
          <w:sz w:val="28"/>
          <w:szCs w:val="28"/>
        </w:rPr>
      </w:pPr>
      <w:r w:rsidRPr="003B10E2">
        <w:rPr>
          <w:rFonts w:ascii="Times New Roman" w:hAnsi="Times New Roman"/>
          <w:sz w:val="28"/>
          <w:szCs w:val="28"/>
        </w:rPr>
        <w:t>В исследовании использованы временные ряды данных с шагом один месяц, экспортированные из Thomson Reuters. Набор данных состоит из нормализованных параметров за 2014-2021 г.: валового внутреннего продукта, общего объема экспорта страны (Федеральная таможенная служба), индекса потребительских цен (Росстат), средней цены за месяц на нефть Brent (</w:t>
      </w:r>
      <w:r w:rsidRPr="003B10E2">
        <w:rPr>
          <w:rFonts w:ascii="Times New Roman" w:hAnsi="Times New Roman"/>
          <w:sz w:val="28"/>
          <w:szCs w:val="28"/>
          <w:lang w:val="en-US"/>
        </w:rPr>
        <w:t>ICE</w:t>
      </w:r>
      <w:r w:rsidRPr="003B10E2">
        <w:rPr>
          <w:rFonts w:ascii="Times New Roman" w:hAnsi="Times New Roman"/>
          <w:sz w:val="28"/>
          <w:szCs w:val="28"/>
        </w:rPr>
        <w:t xml:space="preserve">), среднее арифметическое официальных курсов доллара США в рублях на первый и последний день месяца (Банк России). Этот период времени является оптимальным для предлагаемых моделей. </w:t>
      </w:r>
    </w:p>
    <w:p w14:paraId="65364143" w14:textId="77777777" w:rsidR="002C3A2F" w:rsidRPr="003B10E2" w:rsidRDefault="00651284" w:rsidP="002C3A2F">
      <w:pPr>
        <w:spacing w:after="0" w:line="360" w:lineRule="auto"/>
        <w:ind w:firstLine="851"/>
        <w:jc w:val="both"/>
        <w:rPr>
          <w:rFonts w:ascii="Times New Roman" w:hAnsi="Times New Roman"/>
          <w:color w:val="FF0000"/>
          <w:sz w:val="28"/>
          <w:szCs w:val="28"/>
        </w:rPr>
      </w:pPr>
      <w:r w:rsidRPr="003B10E2">
        <w:rPr>
          <w:rFonts w:ascii="Times New Roman" w:hAnsi="Times New Roman"/>
          <w:sz w:val="28"/>
          <w:szCs w:val="28"/>
        </w:rPr>
        <w:t>При этом данные за период до 2014 г. не использовались по причине высокой волатильности.</w:t>
      </w:r>
      <w:r w:rsidRPr="003B10E2">
        <w:t xml:space="preserve"> </w:t>
      </w:r>
      <w:r w:rsidRPr="003B10E2">
        <w:rPr>
          <w:rFonts w:ascii="Times New Roman" w:hAnsi="Times New Roman"/>
          <w:sz w:val="28"/>
          <w:szCs w:val="28"/>
        </w:rPr>
        <w:t xml:space="preserve">Общий объем экспорта России за месяц в миллионах долларов США получен из данных Федеральной таможенной службы. Индекс потребительских цен за месяц в процентных пунктах используется в годовом выражении. </w:t>
      </w:r>
    </w:p>
    <w:p w14:paraId="6D729EFF" w14:textId="77777777" w:rsidR="00651284" w:rsidRPr="003B10E2" w:rsidRDefault="00651284" w:rsidP="002C3A2F">
      <w:pPr>
        <w:spacing w:after="0" w:line="360" w:lineRule="auto"/>
        <w:ind w:firstLine="851"/>
        <w:jc w:val="both"/>
        <w:rPr>
          <w:rFonts w:ascii="Times New Roman" w:hAnsi="Times New Roman"/>
          <w:color w:val="FF0000"/>
          <w:sz w:val="28"/>
          <w:szCs w:val="28"/>
        </w:rPr>
      </w:pPr>
      <w:r w:rsidRPr="003B10E2">
        <w:rPr>
          <w:rFonts w:ascii="Times New Roman" w:hAnsi="Times New Roman"/>
          <w:sz w:val="28"/>
          <w:szCs w:val="28"/>
        </w:rPr>
        <w:t xml:space="preserve">Валовой внутренний продукт за месяц в миллионах долларов США рассчитывается как 1/3 квартальных значений ВВП (Росстат), умноженный на среднее арифметическое официальных курсов доллара Банка России на первый и последний день месяца. Капитализация </w:t>
      </w:r>
      <w:r w:rsidR="00CE6182" w:rsidRPr="003B10E2">
        <w:rPr>
          <w:rFonts w:ascii="Times New Roman" w:hAnsi="Times New Roman"/>
          <w:sz w:val="28"/>
          <w:szCs w:val="28"/>
        </w:rPr>
        <w:t>компаний, входящих в индекс Московской биржи (IMOEX)», — разделенная на официальный курс доллара США в рублях Банка России на последний день месяца</w:t>
      </w:r>
      <w:r w:rsidRPr="003B10E2">
        <w:rPr>
          <w:rFonts w:ascii="Times New Roman" w:hAnsi="Times New Roman"/>
          <w:sz w:val="28"/>
          <w:szCs w:val="28"/>
        </w:rPr>
        <w:t xml:space="preserve"> [126, 216, 276]. </w:t>
      </w:r>
    </w:p>
    <w:p w14:paraId="614A9FE9" w14:textId="77777777" w:rsidR="00651284" w:rsidRPr="003B10E2" w:rsidRDefault="00651284" w:rsidP="002C3A2F">
      <w:pPr>
        <w:spacing w:after="0" w:line="360" w:lineRule="auto"/>
        <w:ind w:firstLine="851"/>
        <w:jc w:val="both"/>
        <w:rPr>
          <w:rFonts w:ascii="Times New Roman" w:hAnsi="Times New Roman"/>
          <w:color w:val="FF0000"/>
          <w:sz w:val="28"/>
          <w:szCs w:val="28"/>
        </w:rPr>
      </w:pPr>
      <w:r w:rsidRPr="003B10E2">
        <w:rPr>
          <w:rFonts w:ascii="Times New Roman" w:hAnsi="Times New Roman"/>
          <w:sz w:val="28"/>
          <w:szCs w:val="28"/>
        </w:rPr>
        <w:t xml:space="preserve">Рыночная капитализация отражает только стоимость капитала компании. Конечно, более точным критерием оценки является стоимость предприятия (EV), которая учитывает непогашенный долг, привилегированные акции и другие факторы. Рыночная капитализация используется инвестиционным сообществом при ранжировании компаний по размеру [276-279]. Она также используется при ранжировании относительного размера фондовых бирж, являясь мерой суммы рыночной капитализации всех компаний, котирующихся на каждой фондовой бирже. При выполнении таких рейтингов рыночная капитализация рассчитывается обычно в твердой валюте на конец месяца или года [354-357]. Капитализация компаний, входящих в индекс Московской биржи (IMOEX), дает объективное представление о общей капитализации рынка акций России [247-251]. </w:t>
      </w:r>
    </w:p>
    <w:p w14:paraId="06E5907B" w14:textId="77777777" w:rsidR="00651284" w:rsidRPr="003B10E2" w:rsidRDefault="00651284" w:rsidP="002C3A2F">
      <w:pPr>
        <w:spacing w:after="0" w:line="360" w:lineRule="auto"/>
        <w:ind w:firstLine="851"/>
        <w:jc w:val="both"/>
        <w:rPr>
          <w:rFonts w:ascii="Times New Roman" w:hAnsi="Times New Roman"/>
          <w:sz w:val="28"/>
          <w:szCs w:val="28"/>
        </w:rPr>
      </w:pPr>
      <w:r w:rsidRPr="003B10E2">
        <w:rPr>
          <w:rFonts w:ascii="Times New Roman" w:hAnsi="Times New Roman"/>
          <w:sz w:val="28"/>
          <w:szCs w:val="28"/>
        </w:rPr>
        <w:t xml:space="preserve">Для определения стационарности будем использовать тест ADF. Процедура тестирования для теста ADF такая же, как и для теста Дики-Фуллера (таблица </w:t>
      </w:r>
      <w:r w:rsidR="00A02EA2" w:rsidRPr="003B10E2">
        <w:rPr>
          <w:rFonts w:ascii="Times New Roman" w:hAnsi="Times New Roman"/>
          <w:sz w:val="28"/>
          <w:szCs w:val="28"/>
        </w:rPr>
        <w:t>8</w:t>
      </w:r>
      <w:r w:rsidRPr="003B10E2">
        <w:rPr>
          <w:rFonts w:ascii="Times New Roman" w:hAnsi="Times New Roman"/>
          <w:sz w:val="28"/>
          <w:szCs w:val="28"/>
        </w:rPr>
        <w:t>). E-views используется для проверки стационарности переменных, чтобы подтвердить стационарность временных рядов для изучения долгосрочного равновесия.</w:t>
      </w:r>
    </w:p>
    <w:p w14:paraId="2FE46233" w14:textId="77777777" w:rsidR="002C3A2F" w:rsidRPr="003B10E2" w:rsidRDefault="00651284" w:rsidP="002C3A2F">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Результаты показывают, что все переменные в модели являются стационарными, поскольку значение тестовой статистики отклоняется в пределах уровня значимости 5%. Следовательно, этот ряд может быть использован для построения регрессионных моделей. </w:t>
      </w:r>
    </w:p>
    <w:p w14:paraId="67981C1C" w14:textId="77777777" w:rsidR="00D727AE" w:rsidRPr="003B10E2" w:rsidRDefault="00651284"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Далее целесообразно проверить долгосрочную связь между переменными. Этот процесс определяется в два этапа; первый основан на статистике трассировки, а второй — на статистике максимальных собственных значений. До вышесказанного необходимо определить оптимальный лаговый порядок для модели VAR на основе информационного критерия Акаике. Следующий шаг позволяет изучить длительные отношения между переменными. </w:t>
      </w:r>
    </w:p>
    <w:p w14:paraId="517B595A" w14:textId="77777777" w:rsidR="00243FAC" w:rsidRPr="003B10E2" w:rsidRDefault="00243FAC" w:rsidP="00243FAC">
      <w:pPr>
        <w:spacing w:after="0" w:line="240" w:lineRule="auto"/>
        <w:rPr>
          <w:rFonts w:ascii="Times New Roman" w:hAnsi="Times New Roman"/>
          <w:color w:val="000000"/>
          <w:sz w:val="28"/>
          <w:szCs w:val="28"/>
        </w:rPr>
      </w:pPr>
    </w:p>
    <w:p w14:paraId="041FC337" w14:textId="77777777" w:rsidR="00243FAC" w:rsidRPr="003B10E2" w:rsidRDefault="00D727AE" w:rsidP="00243FAC">
      <w:pPr>
        <w:spacing w:after="0" w:line="240" w:lineRule="auto"/>
        <w:rPr>
          <w:rFonts w:ascii="Times New Roman" w:hAnsi="Times New Roman"/>
          <w:bCs/>
          <w:color w:val="000000"/>
          <w:sz w:val="24"/>
          <w:szCs w:val="24"/>
        </w:rPr>
      </w:pPr>
      <w:r w:rsidRPr="003B10E2">
        <w:rPr>
          <w:rFonts w:ascii="Times New Roman" w:hAnsi="Times New Roman"/>
          <w:bCs/>
          <w:color w:val="000000"/>
          <w:sz w:val="24"/>
          <w:szCs w:val="24"/>
        </w:rPr>
        <w:t xml:space="preserve">Таблица </w:t>
      </w:r>
      <w:r w:rsidR="009D7B82" w:rsidRPr="003B10E2">
        <w:rPr>
          <w:rFonts w:ascii="Times New Roman" w:hAnsi="Times New Roman"/>
          <w:bCs/>
          <w:color w:val="000000"/>
          <w:sz w:val="24"/>
          <w:szCs w:val="24"/>
        </w:rPr>
        <w:t>15</w:t>
      </w:r>
      <w:r w:rsidR="00356F59" w:rsidRPr="003B10E2">
        <w:rPr>
          <w:rFonts w:ascii="Times New Roman" w:hAnsi="Times New Roman"/>
          <w:bCs/>
          <w:color w:val="000000"/>
          <w:sz w:val="24"/>
          <w:szCs w:val="24"/>
        </w:rPr>
        <w:t xml:space="preserve"> – Результат теста на коинтеграцию (трассировка)</w:t>
      </w:r>
    </w:p>
    <w:p w14:paraId="5190CF93" w14:textId="77777777" w:rsidR="00243FAC" w:rsidRPr="003B10E2" w:rsidRDefault="00243FAC" w:rsidP="00243FAC">
      <w:pPr>
        <w:spacing w:after="0" w:line="240" w:lineRule="auto"/>
        <w:rPr>
          <w:rFonts w:ascii="Times New Roman" w:hAnsi="Times New Roman"/>
          <w:bCs/>
          <w:color w:val="000000"/>
          <w:sz w:val="24"/>
          <w:szCs w:val="24"/>
        </w:rPr>
      </w:pPr>
    </w:p>
    <w:tbl>
      <w:tblPr>
        <w:tblW w:w="7474" w:type="dxa"/>
        <w:tblInd w:w="-5" w:type="dxa"/>
        <w:tblLayout w:type="fixed"/>
        <w:tblLook w:val="04A0" w:firstRow="1" w:lastRow="0" w:firstColumn="1" w:lastColumn="0" w:noHBand="0" w:noVBand="1"/>
      </w:tblPr>
      <w:tblGrid>
        <w:gridCol w:w="1866"/>
        <w:gridCol w:w="1867"/>
        <w:gridCol w:w="1867"/>
        <w:gridCol w:w="1874"/>
      </w:tblGrid>
      <w:tr w:rsidR="0097610E" w:rsidRPr="003B10E2" w14:paraId="06144996" w14:textId="77777777" w:rsidTr="0097610E">
        <w:tc>
          <w:tcPr>
            <w:tcW w:w="1866" w:type="dxa"/>
            <w:tcBorders>
              <w:top w:val="single" w:sz="4" w:space="0" w:color="000000"/>
              <w:left w:val="single" w:sz="4" w:space="0" w:color="000000"/>
              <w:bottom w:val="double" w:sz="4" w:space="0" w:color="000000"/>
              <w:right w:val="single" w:sz="4" w:space="0" w:color="000000"/>
            </w:tcBorders>
            <w:shd w:val="clear" w:color="auto" w:fill="auto"/>
          </w:tcPr>
          <w:p w14:paraId="3B7815E4" w14:textId="77777777"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Количество</w:t>
            </w:r>
          </w:p>
        </w:tc>
        <w:tc>
          <w:tcPr>
            <w:tcW w:w="1867" w:type="dxa"/>
            <w:tcBorders>
              <w:top w:val="single" w:sz="4" w:space="0" w:color="000000"/>
              <w:left w:val="single" w:sz="4" w:space="0" w:color="000000"/>
              <w:bottom w:val="double" w:sz="4" w:space="0" w:color="000000"/>
              <w:right w:val="single" w:sz="4" w:space="0" w:color="000000"/>
            </w:tcBorders>
            <w:shd w:val="clear" w:color="auto" w:fill="auto"/>
          </w:tcPr>
          <w:p w14:paraId="08EC9D5B" w14:textId="77777777"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Значение</w:t>
            </w:r>
          </w:p>
        </w:tc>
        <w:tc>
          <w:tcPr>
            <w:tcW w:w="1867" w:type="dxa"/>
            <w:tcBorders>
              <w:top w:val="single" w:sz="4" w:space="0" w:color="000000"/>
              <w:left w:val="single" w:sz="4" w:space="0" w:color="000000"/>
              <w:bottom w:val="double" w:sz="4" w:space="0" w:color="000000"/>
              <w:right w:val="single" w:sz="4" w:space="0" w:color="000000"/>
            </w:tcBorders>
            <w:shd w:val="clear" w:color="auto" w:fill="auto"/>
          </w:tcPr>
          <w:p w14:paraId="785D5125" w14:textId="77777777"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Трассировка</w:t>
            </w:r>
          </w:p>
        </w:tc>
        <w:tc>
          <w:tcPr>
            <w:tcW w:w="1874" w:type="dxa"/>
            <w:tcBorders>
              <w:top w:val="single" w:sz="4" w:space="0" w:color="000000"/>
              <w:left w:val="single" w:sz="4" w:space="0" w:color="000000"/>
              <w:bottom w:val="double" w:sz="4" w:space="0" w:color="000000"/>
              <w:right w:val="single" w:sz="4" w:space="0" w:color="000000"/>
            </w:tcBorders>
            <w:shd w:val="clear" w:color="auto" w:fill="auto"/>
          </w:tcPr>
          <w:p w14:paraId="2EFEF546" w14:textId="77777777"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Вероятность</w:t>
            </w:r>
          </w:p>
        </w:tc>
      </w:tr>
      <w:tr w:rsidR="0097610E" w:rsidRPr="003B10E2" w14:paraId="049F1F3A" w14:textId="77777777" w:rsidTr="0097610E">
        <w:tc>
          <w:tcPr>
            <w:tcW w:w="1866" w:type="dxa"/>
            <w:tcBorders>
              <w:top w:val="double" w:sz="4" w:space="0" w:color="000000"/>
              <w:left w:val="single" w:sz="4" w:space="0" w:color="000000"/>
              <w:bottom w:val="single" w:sz="4" w:space="0" w:color="000000"/>
              <w:right w:val="single" w:sz="4" w:space="0" w:color="000000"/>
            </w:tcBorders>
            <w:shd w:val="clear" w:color="auto" w:fill="auto"/>
          </w:tcPr>
          <w:p w14:paraId="5357BA16" w14:textId="77777777" w:rsidR="0097610E" w:rsidRPr="003B10E2" w:rsidRDefault="0097610E" w:rsidP="00651284">
            <w:pPr>
              <w:widowControl w:val="0"/>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Нет</w:t>
            </w: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8AB97A" w14:textId="77777777"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0.95</w:t>
            </w:r>
          </w:p>
        </w:tc>
        <w:tc>
          <w:tcPr>
            <w:tcW w:w="1867" w:type="dxa"/>
            <w:tcBorders>
              <w:top w:val="single" w:sz="4" w:space="0" w:color="000000"/>
              <w:bottom w:val="single" w:sz="4" w:space="0" w:color="000000"/>
              <w:right w:val="single" w:sz="4" w:space="0" w:color="000000"/>
            </w:tcBorders>
            <w:shd w:val="clear" w:color="auto" w:fill="auto"/>
            <w:vAlign w:val="bottom"/>
          </w:tcPr>
          <w:p w14:paraId="4FFA7534" w14:textId="77777777"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265.06</w:t>
            </w:r>
          </w:p>
        </w:tc>
        <w:tc>
          <w:tcPr>
            <w:tcW w:w="1874" w:type="dxa"/>
            <w:tcBorders>
              <w:top w:val="single" w:sz="4" w:space="0" w:color="000000"/>
              <w:bottom w:val="single" w:sz="4" w:space="0" w:color="000000"/>
              <w:right w:val="single" w:sz="4" w:space="0" w:color="000000"/>
            </w:tcBorders>
            <w:shd w:val="clear" w:color="auto" w:fill="auto"/>
            <w:vAlign w:val="bottom"/>
          </w:tcPr>
          <w:p w14:paraId="566F3DB5" w14:textId="77777777"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0.00</w:t>
            </w:r>
          </w:p>
        </w:tc>
      </w:tr>
      <w:tr w:rsidR="0097610E" w:rsidRPr="003B10E2" w14:paraId="636CD8EF" w14:textId="77777777" w:rsidTr="0097610E">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677D98B5" w14:textId="77777777" w:rsidR="0097610E" w:rsidRPr="003B10E2" w:rsidRDefault="0097610E" w:rsidP="00651284">
            <w:pPr>
              <w:widowControl w:val="0"/>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Не более 1</w:t>
            </w:r>
          </w:p>
        </w:tc>
        <w:tc>
          <w:tcPr>
            <w:tcW w:w="1867" w:type="dxa"/>
            <w:tcBorders>
              <w:left w:val="single" w:sz="4" w:space="0" w:color="000000"/>
              <w:bottom w:val="single" w:sz="4" w:space="0" w:color="000000"/>
              <w:right w:val="single" w:sz="4" w:space="0" w:color="000000"/>
            </w:tcBorders>
            <w:shd w:val="clear" w:color="auto" w:fill="auto"/>
            <w:vAlign w:val="bottom"/>
          </w:tcPr>
          <w:p w14:paraId="58585123" w14:textId="77777777"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0.93</w:t>
            </w:r>
          </w:p>
        </w:tc>
        <w:tc>
          <w:tcPr>
            <w:tcW w:w="1867" w:type="dxa"/>
            <w:tcBorders>
              <w:bottom w:val="single" w:sz="4" w:space="0" w:color="000000"/>
              <w:right w:val="single" w:sz="4" w:space="0" w:color="000000"/>
            </w:tcBorders>
            <w:shd w:val="clear" w:color="auto" w:fill="auto"/>
            <w:vAlign w:val="bottom"/>
          </w:tcPr>
          <w:p w14:paraId="4F2D8F72" w14:textId="77777777"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120.69</w:t>
            </w:r>
          </w:p>
        </w:tc>
        <w:tc>
          <w:tcPr>
            <w:tcW w:w="1874" w:type="dxa"/>
            <w:tcBorders>
              <w:bottom w:val="single" w:sz="4" w:space="0" w:color="000000"/>
              <w:right w:val="single" w:sz="4" w:space="0" w:color="000000"/>
            </w:tcBorders>
            <w:shd w:val="clear" w:color="auto" w:fill="auto"/>
            <w:vAlign w:val="bottom"/>
          </w:tcPr>
          <w:p w14:paraId="21E4D930" w14:textId="77777777"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0.00</w:t>
            </w:r>
          </w:p>
        </w:tc>
      </w:tr>
      <w:tr w:rsidR="0097610E" w:rsidRPr="003B10E2" w14:paraId="1DF81DE8" w14:textId="77777777" w:rsidTr="0097610E">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61CB2223" w14:textId="77777777" w:rsidR="0097610E" w:rsidRPr="003B10E2" w:rsidRDefault="0097610E" w:rsidP="00651284">
            <w:pPr>
              <w:widowControl w:val="0"/>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Не более 2</w:t>
            </w:r>
          </w:p>
        </w:tc>
        <w:tc>
          <w:tcPr>
            <w:tcW w:w="1867" w:type="dxa"/>
            <w:tcBorders>
              <w:left w:val="single" w:sz="4" w:space="0" w:color="000000"/>
              <w:bottom w:val="single" w:sz="4" w:space="0" w:color="000000"/>
              <w:right w:val="single" w:sz="4" w:space="0" w:color="000000"/>
            </w:tcBorders>
            <w:shd w:val="clear" w:color="auto" w:fill="auto"/>
            <w:vAlign w:val="bottom"/>
          </w:tcPr>
          <w:p w14:paraId="48E98656" w14:textId="77777777"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0.73</w:t>
            </w:r>
          </w:p>
        </w:tc>
        <w:tc>
          <w:tcPr>
            <w:tcW w:w="1867" w:type="dxa"/>
            <w:tcBorders>
              <w:bottom w:val="single" w:sz="4" w:space="0" w:color="000000"/>
              <w:right w:val="single" w:sz="4" w:space="0" w:color="000000"/>
            </w:tcBorders>
            <w:shd w:val="clear" w:color="auto" w:fill="auto"/>
            <w:vAlign w:val="bottom"/>
          </w:tcPr>
          <w:p w14:paraId="41D3611E" w14:textId="77777777"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39.82</w:t>
            </w:r>
          </w:p>
        </w:tc>
        <w:tc>
          <w:tcPr>
            <w:tcW w:w="1874" w:type="dxa"/>
            <w:tcBorders>
              <w:bottom w:val="single" w:sz="4" w:space="0" w:color="000000"/>
              <w:right w:val="single" w:sz="4" w:space="0" w:color="000000"/>
            </w:tcBorders>
            <w:shd w:val="clear" w:color="auto" w:fill="auto"/>
            <w:vAlign w:val="bottom"/>
          </w:tcPr>
          <w:p w14:paraId="65418780" w14:textId="77777777"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0.00</w:t>
            </w:r>
          </w:p>
        </w:tc>
      </w:tr>
      <w:tr w:rsidR="0097610E" w:rsidRPr="003B10E2" w14:paraId="66AE9A5B" w14:textId="77777777" w:rsidTr="0097610E">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52A0100B" w14:textId="77777777" w:rsidR="0097610E" w:rsidRPr="003B10E2" w:rsidRDefault="0097610E" w:rsidP="00651284">
            <w:pPr>
              <w:widowControl w:val="0"/>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Не более 3</w:t>
            </w:r>
          </w:p>
        </w:tc>
        <w:tc>
          <w:tcPr>
            <w:tcW w:w="1867" w:type="dxa"/>
            <w:tcBorders>
              <w:left w:val="single" w:sz="4" w:space="0" w:color="000000"/>
              <w:bottom w:val="single" w:sz="4" w:space="0" w:color="000000"/>
              <w:right w:val="single" w:sz="4" w:space="0" w:color="000000"/>
            </w:tcBorders>
            <w:shd w:val="clear" w:color="auto" w:fill="auto"/>
            <w:vAlign w:val="bottom"/>
          </w:tcPr>
          <w:p w14:paraId="619449C4" w14:textId="77777777"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0.38</w:t>
            </w:r>
          </w:p>
        </w:tc>
        <w:tc>
          <w:tcPr>
            <w:tcW w:w="1867" w:type="dxa"/>
            <w:tcBorders>
              <w:bottom w:val="single" w:sz="4" w:space="0" w:color="000000"/>
              <w:right w:val="single" w:sz="4" w:space="0" w:color="000000"/>
            </w:tcBorders>
            <w:shd w:val="clear" w:color="auto" w:fill="auto"/>
            <w:vAlign w:val="bottom"/>
          </w:tcPr>
          <w:p w14:paraId="10DEC0E5" w14:textId="77777777"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10.92</w:t>
            </w:r>
          </w:p>
        </w:tc>
        <w:tc>
          <w:tcPr>
            <w:tcW w:w="1874" w:type="dxa"/>
            <w:tcBorders>
              <w:bottom w:val="single" w:sz="4" w:space="0" w:color="000000"/>
              <w:right w:val="single" w:sz="4" w:space="0" w:color="000000"/>
            </w:tcBorders>
            <w:shd w:val="clear" w:color="auto" w:fill="auto"/>
            <w:vAlign w:val="bottom"/>
          </w:tcPr>
          <w:p w14:paraId="4C9AB8C1" w14:textId="77777777"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0.17</w:t>
            </w:r>
          </w:p>
        </w:tc>
      </w:tr>
      <w:tr w:rsidR="0097610E" w:rsidRPr="003B10E2" w14:paraId="65AED462" w14:textId="77777777" w:rsidTr="0097610E">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53647185" w14:textId="77777777" w:rsidR="0097610E" w:rsidRPr="003B10E2" w:rsidRDefault="0097610E" w:rsidP="00651284">
            <w:pPr>
              <w:widowControl w:val="0"/>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Не более 4</w:t>
            </w:r>
          </w:p>
        </w:tc>
        <w:tc>
          <w:tcPr>
            <w:tcW w:w="1867" w:type="dxa"/>
            <w:tcBorders>
              <w:left w:val="single" w:sz="4" w:space="0" w:color="000000"/>
              <w:bottom w:val="single" w:sz="4" w:space="0" w:color="000000"/>
              <w:right w:val="single" w:sz="4" w:space="0" w:color="000000"/>
            </w:tcBorders>
            <w:shd w:val="clear" w:color="auto" w:fill="auto"/>
            <w:vAlign w:val="bottom"/>
          </w:tcPr>
          <w:p w14:paraId="4F63DAB3" w14:textId="77777777"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0.04</w:t>
            </w:r>
          </w:p>
        </w:tc>
        <w:tc>
          <w:tcPr>
            <w:tcW w:w="1867" w:type="dxa"/>
            <w:tcBorders>
              <w:bottom w:val="single" w:sz="4" w:space="0" w:color="000000"/>
              <w:right w:val="single" w:sz="4" w:space="0" w:color="000000"/>
            </w:tcBorders>
            <w:shd w:val="clear" w:color="auto" w:fill="auto"/>
            <w:vAlign w:val="bottom"/>
          </w:tcPr>
          <w:p w14:paraId="44C9E7A2" w14:textId="77777777"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0.77</w:t>
            </w:r>
          </w:p>
        </w:tc>
        <w:tc>
          <w:tcPr>
            <w:tcW w:w="1874" w:type="dxa"/>
            <w:tcBorders>
              <w:bottom w:val="single" w:sz="4" w:space="0" w:color="000000"/>
              <w:right w:val="single" w:sz="4" w:space="0" w:color="000000"/>
            </w:tcBorders>
            <w:shd w:val="clear" w:color="auto" w:fill="auto"/>
            <w:vAlign w:val="bottom"/>
          </w:tcPr>
          <w:p w14:paraId="10C80D31" w14:textId="77777777"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0.35</w:t>
            </w:r>
          </w:p>
        </w:tc>
      </w:tr>
    </w:tbl>
    <w:p w14:paraId="7F16ADA8" w14:textId="77777777" w:rsidR="00651284" w:rsidRPr="003B10E2" w:rsidRDefault="00651284" w:rsidP="00356F59">
      <w:pPr>
        <w:spacing w:after="0" w:line="360" w:lineRule="auto"/>
      </w:pPr>
      <w:r w:rsidRPr="003B10E2">
        <w:rPr>
          <w:rFonts w:ascii="Times New Roman" w:hAnsi="Times New Roman"/>
          <w:color w:val="000000"/>
          <w:sz w:val="24"/>
          <w:szCs w:val="24"/>
        </w:rPr>
        <w:t>Источник: расчеты автора.</w:t>
      </w:r>
    </w:p>
    <w:p w14:paraId="2411021D" w14:textId="77777777" w:rsidR="00D727AE" w:rsidRPr="003B10E2" w:rsidRDefault="00D727AE" w:rsidP="00651284">
      <w:pPr>
        <w:spacing w:after="0" w:line="360" w:lineRule="auto"/>
        <w:ind w:firstLine="708"/>
        <w:jc w:val="both"/>
        <w:rPr>
          <w:rFonts w:ascii="Times New Roman" w:hAnsi="Times New Roman"/>
          <w:color w:val="000000"/>
          <w:sz w:val="28"/>
          <w:szCs w:val="28"/>
        </w:rPr>
      </w:pPr>
    </w:p>
    <w:p w14:paraId="3B8AE495" w14:textId="77777777" w:rsidR="00356F59" w:rsidRPr="003B10E2" w:rsidRDefault="00D727AE" w:rsidP="00243FAC">
      <w:pPr>
        <w:spacing w:after="0" w:line="240" w:lineRule="auto"/>
        <w:rPr>
          <w:rFonts w:ascii="Times New Roman" w:hAnsi="Times New Roman"/>
          <w:color w:val="000000"/>
          <w:sz w:val="24"/>
          <w:szCs w:val="24"/>
        </w:rPr>
      </w:pPr>
      <w:r w:rsidRPr="003B10E2">
        <w:rPr>
          <w:rFonts w:ascii="Times New Roman" w:hAnsi="Times New Roman"/>
          <w:color w:val="000000"/>
          <w:sz w:val="24"/>
          <w:szCs w:val="24"/>
        </w:rPr>
        <w:t>Таблица 1</w:t>
      </w:r>
      <w:r w:rsidR="009D7B82" w:rsidRPr="003B10E2">
        <w:rPr>
          <w:rFonts w:ascii="Times New Roman" w:hAnsi="Times New Roman"/>
          <w:color w:val="000000"/>
          <w:sz w:val="24"/>
          <w:szCs w:val="24"/>
        </w:rPr>
        <w:t>6</w:t>
      </w:r>
      <w:r w:rsidR="00356F59" w:rsidRPr="003B10E2">
        <w:rPr>
          <w:rFonts w:ascii="Times New Roman" w:hAnsi="Times New Roman"/>
          <w:color w:val="000000"/>
          <w:sz w:val="24"/>
          <w:szCs w:val="24"/>
        </w:rPr>
        <w:t xml:space="preserve"> – Результат теста на коинтеграцию (максимальное собственное значение)</w:t>
      </w:r>
    </w:p>
    <w:p w14:paraId="5A6FFDFF" w14:textId="77777777" w:rsidR="00243FAC" w:rsidRPr="003B10E2" w:rsidRDefault="00243FAC" w:rsidP="00243FAC">
      <w:pPr>
        <w:spacing w:after="0" w:line="240" w:lineRule="auto"/>
        <w:rPr>
          <w:rFonts w:ascii="Times New Roman" w:hAnsi="Times New Roman"/>
          <w:color w:val="000000"/>
          <w:sz w:val="24"/>
          <w:szCs w:val="24"/>
        </w:rPr>
      </w:pPr>
    </w:p>
    <w:tbl>
      <w:tblPr>
        <w:tblW w:w="7474" w:type="dxa"/>
        <w:tblInd w:w="-5" w:type="dxa"/>
        <w:tblLayout w:type="fixed"/>
        <w:tblLook w:val="04A0" w:firstRow="1" w:lastRow="0" w:firstColumn="1" w:lastColumn="0" w:noHBand="0" w:noVBand="1"/>
      </w:tblPr>
      <w:tblGrid>
        <w:gridCol w:w="1866"/>
        <w:gridCol w:w="1867"/>
        <w:gridCol w:w="1867"/>
        <w:gridCol w:w="1874"/>
      </w:tblGrid>
      <w:tr w:rsidR="0097610E" w:rsidRPr="003B10E2" w14:paraId="29E40D8F" w14:textId="77777777" w:rsidTr="0097610E">
        <w:tc>
          <w:tcPr>
            <w:tcW w:w="1866" w:type="dxa"/>
            <w:tcBorders>
              <w:top w:val="single" w:sz="4" w:space="0" w:color="000000"/>
              <w:left w:val="single" w:sz="4" w:space="0" w:color="000000"/>
              <w:bottom w:val="double" w:sz="4" w:space="0" w:color="000000"/>
              <w:right w:val="single" w:sz="4" w:space="0" w:color="000000"/>
            </w:tcBorders>
            <w:shd w:val="clear" w:color="auto" w:fill="auto"/>
          </w:tcPr>
          <w:p w14:paraId="156FFF9F" w14:textId="77777777" w:rsidR="0097610E" w:rsidRPr="003B10E2" w:rsidRDefault="0097610E" w:rsidP="00651284">
            <w:pPr>
              <w:widowControl w:val="0"/>
              <w:spacing w:after="0" w:line="240" w:lineRule="auto"/>
              <w:jc w:val="center"/>
            </w:pPr>
            <w:r w:rsidRPr="003B10E2">
              <w:rPr>
                <w:rFonts w:ascii="Times New Roman" w:hAnsi="Times New Roman"/>
                <w:color w:val="000000"/>
                <w:sz w:val="24"/>
                <w:szCs w:val="24"/>
              </w:rPr>
              <w:t>Количество</w:t>
            </w:r>
          </w:p>
        </w:tc>
        <w:tc>
          <w:tcPr>
            <w:tcW w:w="1867" w:type="dxa"/>
            <w:tcBorders>
              <w:top w:val="single" w:sz="4" w:space="0" w:color="000000"/>
              <w:left w:val="single" w:sz="4" w:space="0" w:color="000000"/>
              <w:bottom w:val="double" w:sz="4" w:space="0" w:color="000000"/>
              <w:right w:val="single" w:sz="4" w:space="0" w:color="000000"/>
            </w:tcBorders>
            <w:shd w:val="clear" w:color="auto" w:fill="auto"/>
          </w:tcPr>
          <w:p w14:paraId="04AE4464" w14:textId="77777777" w:rsidR="0097610E" w:rsidRPr="003B10E2" w:rsidRDefault="0097610E" w:rsidP="00651284">
            <w:pPr>
              <w:widowControl w:val="0"/>
              <w:spacing w:after="0" w:line="240" w:lineRule="auto"/>
              <w:jc w:val="center"/>
            </w:pPr>
            <w:r w:rsidRPr="003B10E2">
              <w:rPr>
                <w:rFonts w:ascii="Times New Roman" w:hAnsi="Times New Roman"/>
                <w:color w:val="000000"/>
                <w:sz w:val="24"/>
                <w:szCs w:val="24"/>
              </w:rPr>
              <w:t>Значение</w:t>
            </w:r>
          </w:p>
        </w:tc>
        <w:tc>
          <w:tcPr>
            <w:tcW w:w="1867" w:type="dxa"/>
            <w:tcBorders>
              <w:top w:val="single" w:sz="4" w:space="0" w:color="000000"/>
              <w:left w:val="single" w:sz="4" w:space="0" w:color="000000"/>
              <w:bottom w:val="double" w:sz="4" w:space="0" w:color="000000"/>
              <w:right w:val="single" w:sz="4" w:space="0" w:color="000000"/>
            </w:tcBorders>
            <w:shd w:val="clear" w:color="auto" w:fill="auto"/>
          </w:tcPr>
          <w:p w14:paraId="2C826AB3" w14:textId="77777777" w:rsidR="0097610E" w:rsidRPr="003B10E2" w:rsidRDefault="0097610E" w:rsidP="00651284">
            <w:pPr>
              <w:widowControl w:val="0"/>
              <w:spacing w:after="0" w:line="240" w:lineRule="auto"/>
              <w:jc w:val="center"/>
            </w:pPr>
            <w:r w:rsidRPr="003B10E2">
              <w:rPr>
                <w:rFonts w:ascii="Times New Roman" w:hAnsi="Times New Roman"/>
                <w:color w:val="000000"/>
                <w:sz w:val="24"/>
                <w:szCs w:val="24"/>
              </w:rPr>
              <w:t>Трассировка</w:t>
            </w:r>
          </w:p>
        </w:tc>
        <w:tc>
          <w:tcPr>
            <w:tcW w:w="1874" w:type="dxa"/>
            <w:tcBorders>
              <w:top w:val="single" w:sz="4" w:space="0" w:color="000000"/>
              <w:left w:val="single" w:sz="4" w:space="0" w:color="000000"/>
              <w:bottom w:val="double" w:sz="4" w:space="0" w:color="000000"/>
              <w:right w:val="single" w:sz="4" w:space="0" w:color="000000"/>
            </w:tcBorders>
            <w:shd w:val="clear" w:color="auto" w:fill="auto"/>
          </w:tcPr>
          <w:p w14:paraId="22441B9D" w14:textId="77777777" w:rsidR="0097610E" w:rsidRPr="003B10E2" w:rsidRDefault="0097610E" w:rsidP="00651284">
            <w:pPr>
              <w:widowControl w:val="0"/>
              <w:spacing w:after="0" w:line="240" w:lineRule="auto"/>
              <w:jc w:val="center"/>
            </w:pPr>
            <w:r w:rsidRPr="003B10E2">
              <w:rPr>
                <w:rFonts w:ascii="Times New Roman" w:hAnsi="Times New Roman"/>
                <w:color w:val="000000"/>
                <w:sz w:val="24"/>
                <w:szCs w:val="24"/>
              </w:rPr>
              <w:t>Вероятность</w:t>
            </w:r>
          </w:p>
        </w:tc>
      </w:tr>
      <w:tr w:rsidR="0097610E" w:rsidRPr="003B10E2" w14:paraId="1C16D40C" w14:textId="77777777" w:rsidTr="0097610E">
        <w:tc>
          <w:tcPr>
            <w:tcW w:w="1866" w:type="dxa"/>
            <w:tcBorders>
              <w:top w:val="double" w:sz="4" w:space="0" w:color="000000"/>
              <w:left w:val="single" w:sz="4" w:space="0" w:color="000000"/>
              <w:bottom w:val="single" w:sz="4" w:space="0" w:color="000000"/>
              <w:right w:val="single" w:sz="4" w:space="0" w:color="000000"/>
            </w:tcBorders>
            <w:shd w:val="clear" w:color="auto" w:fill="FFFFFF"/>
            <w:vAlign w:val="bottom"/>
          </w:tcPr>
          <w:p w14:paraId="2CE8F148" w14:textId="77777777" w:rsidR="0097610E" w:rsidRPr="003B10E2" w:rsidRDefault="0097610E" w:rsidP="00651284">
            <w:pPr>
              <w:widowControl w:val="0"/>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Нет</w:t>
            </w: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7D11D2" w14:textId="77777777"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rPr>
              <w:t>0.95</w:t>
            </w:r>
          </w:p>
        </w:tc>
        <w:tc>
          <w:tcPr>
            <w:tcW w:w="1867" w:type="dxa"/>
            <w:tcBorders>
              <w:top w:val="single" w:sz="4" w:space="0" w:color="000000"/>
              <w:bottom w:val="single" w:sz="4" w:space="0" w:color="000000"/>
              <w:right w:val="single" w:sz="4" w:space="0" w:color="000000"/>
            </w:tcBorders>
            <w:shd w:val="clear" w:color="auto" w:fill="auto"/>
            <w:vAlign w:val="bottom"/>
          </w:tcPr>
          <w:p w14:paraId="7C21AE1B" w14:textId="77777777"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rPr>
              <w:t>144.37</w:t>
            </w:r>
          </w:p>
        </w:tc>
        <w:tc>
          <w:tcPr>
            <w:tcW w:w="1874" w:type="dxa"/>
            <w:tcBorders>
              <w:top w:val="single" w:sz="4" w:space="0" w:color="000000"/>
              <w:bottom w:val="single" w:sz="4" w:space="0" w:color="000000"/>
              <w:right w:val="single" w:sz="4" w:space="0" w:color="000000"/>
            </w:tcBorders>
            <w:shd w:val="clear" w:color="auto" w:fill="auto"/>
            <w:vAlign w:val="bottom"/>
          </w:tcPr>
          <w:p w14:paraId="332135B9" w14:textId="77777777"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rPr>
              <w:t>0.00</w:t>
            </w:r>
          </w:p>
        </w:tc>
      </w:tr>
      <w:tr w:rsidR="0097610E" w:rsidRPr="003B10E2" w14:paraId="4E5F141D" w14:textId="77777777" w:rsidTr="0097610E">
        <w:tc>
          <w:tcPr>
            <w:tcW w:w="186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2D1A208" w14:textId="77777777" w:rsidR="0097610E" w:rsidRPr="003B10E2" w:rsidRDefault="0097610E" w:rsidP="00651284">
            <w:pPr>
              <w:widowControl w:val="0"/>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Не более 1</w:t>
            </w:r>
          </w:p>
        </w:tc>
        <w:tc>
          <w:tcPr>
            <w:tcW w:w="1867" w:type="dxa"/>
            <w:tcBorders>
              <w:left w:val="single" w:sz="4" w:space="0" w:color="000000"/>
              <w:bottom w:val="single" w:sz="4" w:space="0" w:color="000000"/>
              <w:right w:val="single" w:sz="4" w:space="0" w:color="000000"/>
            </w:tcBorders>
            <w:shd w:val="clear" w:color="auto" w:fill="auto"/>
            <w:vAlign w:val="bottom"/>
          </w:tcPr>
          <w:p w14:paraId="2F41E64C" w14:textId="77777777"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rPr>
              <w:t>0.93</w:t>
            </w:r>
          </w:p>
        </w:tc>
        <w:tc>
          <w:tcPr>
            <w:tcW w:w="1867" w:type="dxa"/>
            <w:tcBorders>
              <w:bottom w:val="single" w:sz="4" w:space="0" w:color="000000"/>
              <w:right w:val="single" w:sz="4" w:space="0" w:color="000000"/>
            </w:tcBorders>
            <w:shd w:val="clear" w:color="auto" w:fill="auto"/>
            <w:vAlign w:val="bottom"/>
          </w:tcPr>
          <w:p w14:paraId="0E2CBFD6" w14:textId="77777777"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rPr>
              <w:t>80.86</w:t>
            </w:r>
          </w:p>
        </w:tc>
        <w:tc>
          <w:tcPr>
            <w:tcW w:w="1874" w:type="dxa"/>
            <w:tcBorders>
              <w:bottom w:val="single" w:sz="4" w:space="0" w:color="000000"/>
              <w:right w:val="single" w:sz="4" w:space="0" w:color="000000"/>
            </w:tcBorders>
            <w:shd w:val="clear" w:color="auto" w:fill="auto"/>
            <w:vAlign w:val="bottom"/>
          </w:tcPr>
          <w:p w14:paraId="65C8407E" w14:textId="77777777"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rPr>
              <w:t>0.00</w:t>
            </w:r>
          </w:p>
        </w:tc>
      </w:tr>
      <w:tr w:rsidR="0097610E" w:rsidRPr="003B10E2" w14:paraId="0867A7C3" w14:textId="77777777" w:rsidTr="0097610E">
        <w:tc>
          <w:tcPr>
            <w:tcW w:w="1866" w:type="dxa"/>
            <w:tcBorders>
              <w:top w:val="single" w:sz="4" w:space="0" w:color="000000"/>
              <w:left w:val="single" w:sz="4" w:space="0" w:color="000000"/>
              <w:bottom w:val="single" w:sz="4" w:space="0" w:color="000000"/>
              <w:right w:val="single" w:sz="4" w:space="0" w:color="000000"/>
            </w:tcBorders>
            <w:shd w:val="clear" w:color="auto" w:fill="FFFFFF"/>
          </w:tcPr>
          <w:p w14:paraId="30937D6B" w14:textId="77777777" w:rsidR="0097610E" w:rsidRPr="003B10E2" w:rsidRDefault="0097610E" w:rsidP="00651284">
            <w:pPr>
              <w:widowControl w:val="0"/>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Не более 2</w:t>
            </w:r>
          </w:p>
        </w:tc>
        <w:tc>
          <w:tcPr>
            <w:tcW w:w="1867" w:type="dxa"/>
            <w:tcBorders>
              <w:left w:val="single" w:sz="4" w:space="0" w:color="000000"/>
              <w:bottom w:val="single" w:sz="4" w:space="0" w:color="000000"/>
              <w:right w:val="single" w:sz="4" w:space="0" w:color="000000"/>
            </w:tcBorders>
            <w:shd w:val="clear" w:color="auto" w:fill="auto"/>
            <w:vAlign w:val="bottom"/>
          </w:tcPr>
          <w:p w14:paraId="253F4664" w14:textId="77777777"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rPr>
              <w:t>0.73</w:t>
            </w:r>
          </w:p>
        </w:tc>
        <w:tc>
          <w:tcPr>
            <w:tcW w:w="1867" w:type="dxa"/>
            <w:tcBorders>
              <w:bottom w:val="single" w:sz="4" w:space="0" w:color="000000"/>
              <w:right w:val="single" w:sz="4" w:space="0" w:color="000000"/>
            </w:tcBorders>
            <w:shd w:val="clear" w:color="auto" w:fill="auto"/>
            <w:vAlign w:val="bottom"/>
          </w:tcPr>
          <w:p w14:paraId="077C3FFA" w14:textId="77777777"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rPr>
              <w:t>28.91</w:t>
            </w:r>
          </w:p>
        </w:tc>
        <w:tc>
          <w:tcPr>
            <w:tcW w:w="1874" w:type="dxa"/>
            <w:tcBorders>
              <w:bottom w:val="single" w:sz="4" w:space="0" w:color="000000"/>
              <w:right w:val="single" w:sz="4" w:space="0" w:color="000000"/>
            </w:tcBorders>
            <w:shd w:val="clear" w:color="auto" w:fill="auto"/>
            <w:vAlign w:val="bottom"/>
          </w:tcPr>
          <w:p w14:paraId="44AEFE89" w14:textId="77777777"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rPr>
              <w:t>0.00</w:t>
            </w:r>
          </w:p>
        </w:tc>
      </w:tr>
      <w:tr w:rsidR="0097610E" w:rsidRPr="003B10E2" w14:paraId="5D42F60E" w14:textId="77777777" w:rsidTr="0097610E">
        <w:tc>
          <w:tcPr>
            <w:tcW w:w="1866" w:type="dxa"/>
            <w:tcBorders>
              <w:top w:val="single" w:sz="4" w:space="0" w:color="000000"/>
              <w:left w:val="single" w:sz="4" w:space="0" w:color="000000"/>
              <w:bottom w:val="single" w:sz="4" w:space="0" w:color="000000"/>
              <w:right w:val="single" w:sz="4" w:space="0" w:color="000000"/>
            </w:tcBorders>
            <w:shd w:val="clear" w:color="auto" w:fill="FFFFFF"/>
          </w:tcPr>
          <w:p w14:paraId="0B9B9D17" w14:textId="77777777" w:rsidR="0097610E" w:rsidRPr="003B10E2" w:rsidRDefault="0097610E" w:rsidP="00651284">
            <w:pPr>
              <w:widowControl w:val="0"/>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Не более 3</w:t>
            </w:r>
          </w:p>
        </w:tc>
        <w:tc>
          <w:tcPr>
            <w:tcW w:w="1867" w:type="dxa"/>
            <w:tcBorders>
              <w:left w:val="single" w:sz="4" w:space="0" w:color="000000"/>
              <w:bottom w:val="single" w:sz="4" w:space="0" w:color="000000"/>
              <w:right w:val="single" w:sz="4" w:space="0" w:color="000000"/>
            </w:tcBorders>
            <w:shd w:val="clear" w:color="auto" w:fill="auto"/>
            <w:vAlign w:val="bottom"/>
          </w:tcPr>
          <w:p w14:paraId="6BE62623" w14:textId="77777777"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rPr>
              <w:t>0.38</w:t>
            </w:r>
          </w:p>
        </w:tc>
        <w:tc>
          <w:tcPr>
            <w:tcW w:w="1867" w:type="dxa"/>
            <w:tcBorders>
              <w:bottom w:val="single" w:sz="4" w:space="0" w:color="000000"/>
              <w:right w:val="single" w:sz="4" w:space="0" w:color="000000"/>
            </w:tcBorders>
            <w:shd w:val="clear" w:color="auto" w:fill="auto"/>
            <w:vAlign w:val="bottom"/>
          </w:tcPr>
          <w:p w14:paraId="7752020D" w14:textId="77777777"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rPr>
              <w:t>10.14</w:t>
            </w:r>
          </w:p>
        </w:tc>
        <w:tc>
          <w:tcPr>
            <w:tcW w:w="1874" w:type="dxa"/>
            <w:tcBorders>
              <w:bottom w:val="single" w:sz="4" w:space="0" w:color="000000"/>
              <w:right w:val="single" w:sz="4" w:space="0" w:color="000000"/>
            </w:tcBorders>
            <w:shd w:val="clear" w:color="auto" w:fill="auto"/>
            <w:vAlign w:val="bottom"/>
          </w:tcPr>
          <w:p w14:paraId="202597F3" w14:textId="77777777"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rPr>
              <w:t>0.16</w:t>
            </w:r>
          </w:p>
        </w:tc>
      </w:tr>
      <w:tr w:rsidR="0097610E" w:rsidRPr="003B10E2" w14:paraId="371CFCF1" w14:textId="77777777" w:rsidTr="0097610E">
        <w:tc>
          <w:tcPr>
            <w:tcW w:w="1866" w:type="dxa"/>
            <w:tcBorders>
              <w:top w:val="single" w:sz="4" w:space="0" w:color="000000"/>
              <w:left w:val="single" w:sz="4" w:space="0" w:color="000000"/>
              <w:bottom w:val="single" w:sz="4" w:space="0" w:color="000000"/>
              <w:right w:val="single" w:sz="4" w:space="0" w:color="000000"/>
            </w:tcBorders>
            <w:shd w:val="clear" w:color="auto" w:fill="FFFFFF"/>
          </w:tcPr>
          <w:p w14:paraId="6CE65A70" w14:textId="77777777" w:rsidR="0097610E" w:rsidRPr="003B10E2" w:rsidRDefault="0097610E" w:rsidP="00651284">
            <w:pPr>
              <w:widowControl w:val="0"/>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Не более 4</w:t>
            </w:r>
          </w:p>
        </w:tc>
        <w:tc>
          <w:tcPr>
            <w:tcW w:w="1867" w:type="dxa"/>
            <w:tcBorders>
              <w:left w:val="single" w:sz="4" w:space="0" w:color="000000"/>
              <w:bottom w:val="single" w:sz="4" w:space="0" w:color="000000"/>
              <w:right w:val="single" w:sz="4" w:space="0" w:color="000000"/>
            </w:tcBorders>
            <w:shd w:val="clear" w:color="auto" w:fill="auto"/>
            <w:vAlign w:val="bottom"/>
          </w:tcPr>
          <w:p w14:paraId="5C287558" w14:textId="77777777"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rPr>
              <w:t>0.04</w:t>
            </w:r>
          </w:p>
        </w:tc>
        <w:tc>
          <w:tcPr>
            <w:tcW w:w="1867" w:type="dxa"/>
            <w:tcBorders>
              <w:bottom w:val="single" w:sz="4" w:space="0" w:color="000000"/>
              <w:right w:val="single" w:sz="4" w:space="0" w:color="000000"/>
            </w:tcBorders>
            <w:shd w:val="clear" w:color="auto" w:fill="auto"/>
            <w:vAlign w:val="bottom"/>
          </w:tcPr>
          <w:p w14:paraId="172A9826" w14:textId="77777777"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rPr>
              <w:t>0.77</w:t>
            </w:r>
          </w:p>
        </w:tc>
        <w:tc>
          <w:tcPr>
            <w:tcW w:w="1874" w:type="dxa"/>
            <w:tcBorders>
              <w:bottom w:val="single" w:sz="4" w:space="0" w:color="000000"/>
              <w:right w:val="single" w:sz="4" w:space="0" w:color="000000"/>
            </w:tcBorders>
            <w:shd w:val="clear" w:color="auto" w:fill="auto"/>
            <w:vAlign w:val="bottom"/>
          </w:tcPr>
          <w:p w14:paraId="581BA1DA" w14:textId="77777777"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rPr>
              <w:t>0.35</w:t>
            </w:r>
          </w:p>
        </w:tc>
      </w:tr>
    </w:tbl>
    <w:p w14:paraId="6E206DBC" w14:textId="77777777" w:rsidR="00651284" w:rsidRPr="003B10E2" w:rsidRDefault="00651284" w:rsidP="00356F59">
      <w:pPr>
        <w:spacing w:after="0" w:line="360" w:lineRule="auto"/>
        <w:rPr>
          <w:rFonts w:ascii="Times New Roman" w:hAnsi="Times New Roman"/>
          <w:color w:val="000000"/>
          <w:sz w:val="24"/>
          <w:szCs w:val="24"/>
        </w:rPr>
      </w:pPr>
      <w:r w:rsidRPr="003B10E2">
        <w:rPr>
          <w:rFonts w:ascii="Times New Roman" w:hAnsi="Times New Roman"/>
          <w:color w:val="000000"/>
          <w:sz w:val="24"/>
          <w:szCs w:val="24"/>
        </w:rPr>
        <w:t>Источник: расчеты автора.</w:t>
      </w:r>
    </w:p>
    <w:p w14:paraId="6D1EAA5F" w14:textId="77777777" w:rsidR="00D727AE" w:rsidRPr="003B10E2" w:rsidRDefault="00D727AE" w:rsidP="00356F59">
      <w:pPr>
        <w:spacing w:after="0" w:line="360" w:lineRule="auto"/>
      </w:pPr>
    </w:p>
    <w:p w14:paraId="4C7B0010" w14:textId="77777777" w:rsidR="00651284" w:rsidRPr="003B10E2" w:rsidRDefault="00651284" w:rsidP="00651284">
      <w:pPr>
        <w:spacing w:after="0" w:line="360" w:lineRule="auto"/>
        <w:ind w:firstLine="708"/>
        <w:jc w:val="both"/>
        <w:rPr>
          <w:rFonts w:ascii="Times New Roman" w:hAnsi="Times New Roman"/>
          <w:b/>
          <w:color w:val="FF0000"/>
          <w:sz w:val="28"/>
          <w:szCs w:val="28"/>
        </w:rPr>
      </w:pPr>
      <w:r w:rsidRPr="003B10E2">
        <w:rPr>
          <w:rFonts w:ascii="Times New Roman" w:hAnsi="Times New Roman"/>
          <w:color w:val="000000"/>
          <w:sz w:val="28"/>
          <w:szCs w:val="28"/>
        </w:rPr>
        <w:t>Тест Йохансена указывает на долгосрочную связь между индексом потребительских цен, валовым внутренним продуктом, ценой на нефть, общим экспортом страны,</w:t>
      </w:r>
      <w:r w:rsidRPr="003B10E2">
        <w:t xml:space="preserve"> </w:t>
      </w:r>
      <w:r w:rsidRPr="003B10E2">
        <w:rPr>
          <w:rFonts w:ascii="Times New Roman" w:hAnsi="Times New Roman"/>
          <w:color w:val="000000"/>
          <w:sz w:val="28"/>
          <w:szCs w:val="28"/>
        </w:rPr>
        <w:t xml:space="preserve">курсом доллара США в рублях и капитализацией компаний индекса Московской биржи (таблицы </w:t>
      </w:r>
      <w:r w:rsidR="009D7B82" w:rsidRPr="003B10E2">
        <w:rPr>
          <w:rFonts w:ascii="Times New Roman" w:hAnsi="Times New Roman"/>
          <w:color w:val="000000"/>
          <w:sz w:val="28"/>
          <w:szCs w:val="28"/>
        </w:rPr>
        <w:t>15</w:t>
      </w:r>
      <w:r w:rsidR="00D727AE" w:rsidRPr="003B10E2">
        <w:rPr>
          <w:rFonts w:ascii="Times New Roman" w:hAnsi="Times New Roman"/>
          <w:color w:val="000000"/>
          <w:sz w:val="28"/>
          <w:szCs w:val="28"/>
        </w:rPr>
        <w:t xml:space="preserve"> – 1</w:t>
      </w:r>
      <w:r w:rsidR="009D7B82" w:rsidRPr="003B10E2">
        <w:rPr>
          <w:rFonts w:ascii="Times New Roman" w:hAnsi="Times New Roman"/>
          <w:color w:val="000000"/>
          <w:sz w:val="28"/>
          <w:szCs w:val="28"/>
        </w:rPr>
        <w:t>6</w:t>
      </w:r>
      <w:r w:rsidRPr="003B10E2">
        <w:rPr>
          <w:rFonts w:ascii="Times New Roman" w:hAnsi="Times New Roman"/>
          <w:color w:val="000000"/>
          <w:sz w:val="28"/>
          <w:szCs w:val="28"/>
        </w:rPr>
        <w:t>).</w:t>
      </w:r>
      <w:r w:rsidRPr="003B10E2">
        <w:rPr>
          <w:rFonts w:ascii="Times New Roman" w:hAnsi="Times New Roman"/>
          <w:b/>
          <w:color w:val="FF0000"/>
          <w:sz w:val="28"/>
          <w:szCs w:val="28"/>
        </w:rPr>
        <w:t xml:space="preserve"> </w:t>
      </w:r>
    </w:p>
    <w:p w14:paraId="25BE41E7" w14:textId="77777777" w:rsidR="00243FAC" w:rsidRPr="003B10E2" w:rsidRDefault="00243FAC" w:rsidP="00243FAC">
      <w:pPr>
        <w:spacing w:after="0" w:line="240" w:lineRule="auto"/>
        <w:rPr>
          <w:rFonts w:ascii="Times New Roman" w:hAnsi="Times New Roman"/>
          <w:color w:val="000000"/>
          <w:sz w:val="28"/>
          <w:szCs w:val="28"/>
        </w:rPr>
      </w:pPr>
    </w:p>
    <w:p w14:paraId="0EF2F777" w14:textId="77777777" w:rsidR="00BD4CB0" w:rsidRPr="003B10E2" w:rsidRDefault="00BD4CB0" w:rsidP="00243FAC">
      <w:pPr>
        <w:spacing w:after="0" w:line="240" w:lineRule="auto"/>
        <w:rPr>
          <w:rFonts w:ascii="Times New Roman" w:hAnsi="Times New Roman"/>
          <w:color w:val="000000"/>
          <w:sz w:val="24"/>
          <w:szCs w:val="24"/>
        </w:rPr>
      </w:pPr>
    </w:p>
    <w:p w14:paraId="1A0C3AB8" w14:textId="77777777" w:rsidR="00651284" w:rsidRPr="003B10E2" w:rsidRDefault="00D727AE" w:rsidP="00243FAC">
      <w:pPr>
        <w:spacing w:after="0" w:line="240" w:lineRule="auto"/>
        <w:rPr>
          <w:rFonts w:ascii="Times New Roman" w:hAnsi="Times New Roman"/>
          <w:color w:val="000000"/>
          <w:sz w:val="24"/>
          <w:szCs w:val="24"/>
        </w:rPr>
      </w:pPr>
      <w:r w:rsidRPr="003B10E2">
        <w:rPr>
          <w:rFonts w:ascii="Times New Roman" w:hAnsi="Times New Roman"/>
          <w:color w:val="000000"/>
          <w:sz w:val="24"/>
          <w:szCs w:val="24"/>
        </w:rPr>
        <w:t>Таблица 1</w:t>
      </w:r>
      <w:r w:rsidR="009D7B82" w:rsidRPr="003B10E2">
        <w:rPr>
          <w:rFonts w:ascii="Times New Roman" w:hAnsi="Times New Roman"/>
          <w:color w:val="000000"/>
          <w:sz w:val="24"/>
          <w:szCs w:val="24"/>
        </w:rPr>
        <w:t>7</w:t>
      </w:r>
      <w:r w:rsidR="00356F59" w:rsidRPr="003B10E2">
        <w:rPr>
          <w:rFonts w:ascii="Times New Roman" w:hAnsi="Times New Roman"/>
          <w:color w:val="000000"/>
          <w:sz w:val="24"/>
          <w:szCs w:val="24"/>
        </w:rPr>
        <w:t xml:space="preserve"> – Норм</w:t>
      </w:r>
      <w:r w:rsidR="009671D0" w:rsidRPr="003B10E2">
        <w:rPr>
          <w:rFonts w:ascii="Times New Roman" w:hAnsi="Times New Roman"/>
          <w:color w:val="000000"/>
          <w:sz w:val="24"/>
          <w:szCs w:val="24"/>
        </w:rPr>
        <w:t>ализованный вектор коинтеграции</w:t>
      </w:r>
    </w:p>
    <w:p w14:paraId="623557F1" w14:textId="77777777" w:rsidR="00243FAC" w:rsidRPr="003B10E2" w:rsidRDefault="00243FAC" w:rsidP="00243FAC">
      <w:pPr>
        <w:spacing w:after="0" w:line="240" w:lineRule="auto"/>
        <w:rPr>
          <w:rFonts w:ascii="Times New Roman" w:hAnsi="Times New Roman"/>
          <w:color w:val="000000"/>
          <w:sz w:val="24"/>
          <w:szCs w:val="24"/>
        </w:rPr>
      </w:pPr>
    </w:p>
    <w:tbl>
      <w:tblPr>
        <w:tblW w:w="9344" w:type="dxa"/>
        <w:tblLayout w:type="fixed"/>
        <w:tblLook w:val="04A0" w:firstRow="1" w:lastRow="0" w:firstColumn="1" w:lastColumn="0" w:noHBand="0" w:noVBand="1"/>
      </w:tblPr>
      <w:tblGrid>
        <w:gridCol w:w="3256"/>
        <w:gridCol w:w="1134"/>
        <w:gridCol w:w="1559"/>
        <w:gridCol w:w="1134"/>
        <w:gridCol w:w="1051"/>
        <w:gridCol w:w="1210"/>
      </w:tblGrid>
      <w:tr w:rsidR="00651284" w:rsidRPr="003B10E2" w14:paraId="33FC67B3" w14:textId="77777777" w:rsidTr="00356F59">
        <w:tc>
          <w:tcPr>
            <w:tcW w:w="3256" w:type="dxa"/>
            <w:tcBorders>
              <w:top w:val="single" w:sz="4" w:space="0" w:color="000000"/>
              <w:left w:val="single" w:sz="4" w:space="0" w:color="000000"/>
              <w:bottom w:val="double" w:sz="4" w:space="0" w:color="000000"/>
              <w:right w:val="single" w:sz="4" w:space="0" w:color="000000"/>
            </w:tcBorders>
            <w:shd w:val="clear" w:color="auto" w:fill="auto"/>
          </w:tcPr>
          <w:p w14:paraId="337BB41C" w14:textId="77777777" w:rsidR="00651284" w:rsidRPr="003B10E2" w:rsidRDefault="00651284" w:rsidP="009671D0">
            <w:pPr>
              <w:widowControl w:val="0"/>
              <w:spacing w:after="0" w:line="240" w:lineRule="auto"/>
              <w:jc w:val="center"/>
              <w:rPr>
                <w:rFonts w:ascii="Times New Roman" w:hAnsi="Times New Roman"/>
                <w:color w:val="000000"/>
                <w:sz w:val="24"/>
                <w:szCs w:val="24"/>
                <w:lang w:val="en-US"/>
              </w:rPr>
            </w:pPr>
            <w:r w:rsidRPr="003B10E2">
              <w:rPr>
                <w:rFonts w:ascii="Times New Roman" w:hAnsi="Times New Roman"/>
                <w:color w:val="000000"/>
                <w:sz w:val="24"/>
                <w:szCs w:val="24"/>
              </w:rPr>
              <w:t>LGEXC</w:t>
            </w:r>
            <w:r w:rsidRPr="003B10E2">
              <w:rPr>
                <w:rFonts w:ascii="Times New Roman" w:hAnsi="Times New Roman"/>
                <w:color w:val="000000"/>
                <w:sz w:val="24"/>
                <w:szCs w:val="24"/>
                <w:lang w:val="en-US"/>
              </w:rPr>
              <w:t>H</w:t>
            </w:r>
          </w:p>
        </w:tc>
        <w:tc>
          <w:tcPr>
            <w:tcW w:w="1134" w:type="dxa"/>
            <w:tcBorders>
              <w:top w:val="single" w:sz="4" w:space="0" w:color="000000"/>
              <w:left w:val="single" w:sz="4" w:space="0" w:color="000000"/>
              <w:bottom w:val="double" w:sz="4" w:space="0" w:color="000000"/>
              <w:right w:val="single" w:sz="4" w:space="0" w:color="000000"/>
            </w:tcBorders>
            <w:shd w:val="clear" w:color="auto" w:fill="auto"/>
          </w:tcPr>
          <w:p w14:paraId="2BB95DCE" w14:textId="77777777" w:rsidR="00651284" w:rsidRPr="003B10E2" w:rsidRDefault="00651284" w:rsidP="009671D0">
            <w:pPr>
              <w:widowControl w:val="0"/>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LGCPI</w:t>
            </w:r>
          </w:p>
        </w:tc>
        <w:tc>
          <w:tcPr>
            <w:tcW w:w="1559" w:type="dxa"/>
            <w:tcBorders>
              <w:top w:val="single" w:sz="4" w:space="0" w:color="000000"/>
              <w:left w:val="single" w:sz="4" w:space="0" w:color="000000"/>
              <w:bottom w:val="double" w:sz="4" w:space="0" w:color="000000"/>
              <w:right w:val="single" w:sz="4" w:space="0" w:color="000000"/>
            </w:tcBorders>
            <w:shd w:val="clear" w:color="auto" w:fill="auto"/>
          </w:tcPr>
          <w:p w14:paraId="01507431" w14:textId="77777777" w:rsidR="00651284" w:rsidRPr="003B10E2" w:rsidRDefault="00651284" w:rsidP="009671D0">
            <w:pPr>
              <w:widowControl w:val="0"/>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LGEXPORT</w:t>
            </w:r>
          </w:p>
        </w:tc>
        <w:tc>
          <w:tcPr>
            <w:tcW w:w="1134" w:type="dxa"/>
            <w:tcBorders>
              <w:top w:val="single" w:sz="4" w:space="0" w:color="000000"/>
              <w:left w:val="single" w:sz="4" w:space="0" w:color="000000"/>
              <w:bottom w:val="double" w:sz="4" w:space="0" w:color="000000"/>
              <w:right w:val="single" w:sz="4" w:space="0" w:color="000000"/>
            </w:tcBorders>
            <w:shd w:val="clear" w:color="auto" w:fill="auto"/>
          </w:tcPr>
          <w:p w14:paraId="068632CD" w14:textId="77777777" w:rsidR="00651284" w:rsidRPr="003B10E2" w:rsidRDefault="00651284" w:rsidP="009671D0">
            <w:pPr>
              <w:widowControl w:val="0"/>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LGGDP</w:t>
            </w:r>
          </w:p>
        </w:tc>
        <w:tc>
          <w:tcPr>
            <w:tcW w:w="1051" w:type="dxa"/>
            <w:tcBorders>
              <w:top w:val="single" w:sz="4" w:space="0" w:color="000000"/>
              <w:left w:val="single" w:sz="4" w:space="0" w:color="000000"/>
              <w:bottom w:val="double" w:sz="4" w:space="0" w:color="000000"/>
              <w:right w:val="single" w:sz="4" w:space="0" w:color="000000"/>
            </w:tcBorders>
            <w:shd w:val="clear" w:color="auto" w:fill="auto"/>
          </w:tcPr>
          <w:p w14:paraId="6557A263" w14:textId="77777777" w:rsidR="00651284" w:rsidRPr="003B10E2" w:rsidRDefault="00651284" w:rsidP="009671D0">
            <w:pPr>
              <w:widowControl w:val="0"/>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LGOIL</w:t>
            </w:r>
          </w:p>
        </w:tc>
        <w:tc>
          <w:tcPr>
            <w:tcW w:w="1210" w:type="dxa"/>
            <w:tcBorders>
              <w:top w:val="single" w:sz="4" w:space="0" w:color="000000"/>
              <w:left w:val="single" w:sz="4" w:space="0" w:color="000000"/>
              <w:bottom w:val="double" w:sz="4" w:space="0" w:color="000000"/>
              <w:right w:val="single" w:sz="4" w:space="0" w:color="000000"/>
            </w:tcBorders>
            <w:shd w:val="clear" w:color="auto" w:fill="auto"/>
          </w:tcPr>
          <w:p w14:paraId="6DFD92FA" w14:textId="77777777" w:rsidR="00651284" w:rsidRPr="003B10E2" w:rsidRDefault="00651284" w:rsidP="009671D0">
            <w:pPr>
              <w:widowControl w:val="0"/>
              <w:spacing w:after="0" w:line="240" w:lineRule="auto"/>
              <w:jc w:val="center"/>
              <w:rPr>
                <w:rFonts w:ascii="Times New Roman" w:hAnsi="Times New Roman"/>
                <w:color w:val="000000"/>
                <w:sz w:val="24"/>
                <w:szCs w:val="24"/>
                <w:lang w:val="en-GB"/>
              </w:rPr>
            </w:pPr>
            <w:r w:rsidRPr="003B10E2">
              <w:rPr>
                <w:rFonts w:ascii="Times New Roman" w:hAnsi="Times New Roman"/>
                <w:color w:val="000000"/>
                <w:sz w:val="24"/>
                <w:szCs w:val="24"/>
                <w:lang w:val="en-GB"/>
              </w:rPr>
              <w:t>LGRUB</w:t>
            </w:r>
          </w:p>
        </w:tc>
      </w:tr>
      <w:tr w:rsidR="00651284" w:rsidRPr="003B10E2" w14:paraId="62DA0D0B" w14:textId="77777777" w:rsidTr="00356F59">
        <w:tc>
          <w:tcPr>
            <w:tcW w:w="3256" w:type="dxa"/>
            <w:tcBorders>
              <w:top w:val="double" w:sz="4" w:space="0" w:color="000000"/>
              <w:left w:val="single" w:sz="4" w:space="0" w:color="000000"/>
              <w:bottom w:val="single" w:sz="4" w:space="0" w:color="000000"/>
              <w:right w:val="single" w:sz="4" w:space="0" w:color="000000"/>
            </w:tcBorders>
            <w:shd w:val="clear" w:color="auto" w:fill="auto"/>
            <w:vAlign w:val="bottom"/>
          </w:tcPr>
          <w:p w14:paraId="752300A3" w14:textId="77777777" w:rsidR="00651284" w:rsidRPr="003B10E2" w:rsidRDefault="00651284" w:rsidP="009671D0">
            <w:pPr>
              <w:widowControl w:val="0"/>
              <w:spacing w:after="0" w:line="240" w:lineRule="auto"/>
              <w:rPr>
                <w:rFonts w:ascii="Times New Roman" w:hAnsi="Times New Roman"/>
                <w:color w:val="000000"/>
                <w:sz w:val="24"/>
                <w:szCs w:val="24"/>
              </w:rPr>
            </w:pPr>
            <w:r w:rsidRPr="003B10E2">
              <w:rPr>
                <w:rFonts w:ascii="Times New Roman" w:hAnsi="Times New Roman"/>
                <w:color w:val="000000"/>
                <w:sz w:val="24"/>
                <w:szCs w:val="24"/>
              </w:rPr>
              <w:t>1.00</w:t>
            </w:r>
          </w:p>
        </w:tc>
        <w:tc>
          <w:tcPr>
            <w:tcW w:w="1134" w:type="dxa"/>
            <w:tcBorders>
              <w:top w:val="double" w:sz="4" w:space="0" w:color="000000"/>
              <w:left w:val="single" w:sz="4" w:space="0" w:color="000000"/>
              <w:bottom w:val="single" w:sz="4" w:space="0" w:color="000000"/>
              <w:right w:val="single" w:sz="4" w:space="0" w:color="000000"/>
            </w:tcBorders>
            <w:shd w:val="clear" w:color="auto" w:fill="auto"/>
            <w:vAlign w:val="bottom"/>
          </w:tcPr>
          <w:p w14:paraId="5ADC5969" w14:textId="77777777" w:rsidR="00651284" w:rsidRPr="003B10E2" w:rsidRDefault="00651284" w:rsidP="009671D0">
            <w:pPr>
              <w:widowControl w:val="0"/>
              <w:spacing w:after="0" w:line="240" w:lineRule="auto"/>
              <w:rPr>
                <w:rFonts w:ascii="Times New Roman" w:hAnsi="Times New Roman"/>
                <w:color w:val="000000"/>
                <w:sz w:val="24"/>
                <w:szCs w:val="24"/>
              </w:rPr>
            </w:pPr>
            <w:r w:rsidRPr="003B10E2">
              <w:rPr>
                <w:rFonts w:ascii="Times New Roman" w:hAnsi="Times New Roman"/>
                <w:color w:val="000000"/>
                <w:sz w:val="24"/>
                <w:szCs w:val="24"/>
              </w:rPr>
              <w:t>-1.49</w:t>
            </w:r>
          </w:p>
        </w:tc>
        <w:tc>
          <w:tcPr>
            <w:tcW w:w="1559" w:type="dxa"/>
            <w:tcBorders>
              <w:top w:val="double" w:sz="4" w:space="0" w:color="000000"/>
              <w:left w:val="single" w:sz="4" w:space="0" w:color="000000"/>
              <w:bottom w:val="single" w:sz="4" w:space="0" w:color="000000"/>
              <w:right w:val="single" w:sz="4" w:space="0" w:color="000000"/>
            </w:tcBorders>
            <w:shd w:val="clear" w:color="auto" w:fill="auto"/>
            <w:vAlign w:val="bottom"/>
          </w:tcPr>
          <w:p w14:paraId="525EF612" w14:textId="77777777" w:rsidR="00651284" w:rsidRPr="003B10E2" w:rsidRDefault="00651284" w:rsidP="009671D0">
            <w:pPr>
              <w:widowControl w:val="0"/>
              <w:spacing w:after="0" w:line="240" w:lineRule="auto"/>
              <w:rPr>
                <w:rFonts w:ascii="Times New Roman" w:hAnsi="Times New Roman"/>
                <w:color w:val="000000"/>
                <w:sz w:val="24"/>
                <w:szCs w:val="24"/>
              </w:rPr>
            </w:pPr>
            <w:r w:rsidRPr="003B10E2">
              <w:rPr>
                <w:rFonts w:ascii="Times New Roman" w:hAnsi="Times New Roman"/>
                <w:color w:val="000000"/>
                <w:sz w:val="24"/>
                <w:szCs w:val="24"/>
              </w:rPr>
              <w:t>1.31</w:t>
            </w:r>
          </w:p>
        </w:tc>
        <w:tc>
          <w:tcPr>
            <w:tcW w:w="1134" w:type="dxa"/>
            <w:tcBorders>
              <w:top w:val="double" w:sz="4" w:space="0" w:color="000000"/>
              <w:left w:val="single" w:sz="4" w:space="0" w:color="000000"/>
              <w:bottom w:val="single" w:sz="4" w:space="0" w:color="000000"/>
              <w:right w:val="single" w:sz="4" w:space="0" w:color="000000"/>
            </w:tcBorders>
            <w:shd w:val="clear" w:color="auto" w:fill="auto"/>
            <w:vAlign w:val="bottom"/>
          </w:tcPr>
          <w:p w14:paraId="20130415" w14:textId="77777777" w:rsidR="00651284" w:rsidRPr="003B10E2" w:rsidRDefault="00651284" w:rsidP="009671D0">
            <w:pPr>
              <w:widowControl w:val="0"/>
              <w:spacing w:after="0" w:line="240" w:lineRule="auto"/>
              <w:rPr>
                <w:rFonts w:ascii="Times New Roman" w:hAnsi="Times New Roman"/>
                <w:color w:val="000000"/>
                <w:sz w:val="24"/>
                <w:szCs w:val="24"/>
              </w:rPr>
            </w:pPr>
            <w:r w:rsidRPr="003B10E2">
              <w:rPr>
                <w:rFonts w:ascii="Times New Roman" w:hAnsi="Times New Roman"/>
                <w:color w:val="000000"/>
                <w:sz w:val="24"/>
                <w:szCs w:val="24"/>
              </w:rPr>
              <w:t>2.03</w:t>
            </w:r>
          </w:p>
        </w:tc>
        <w:tc>
          <w:tcPr>
            <w:tcW w:w="1051" w:type="dxa"/>
            <w:tcBorders>
              <w:top w:val="double" w:sz="4" w:space="0" w:color="000000"/>
              <w:left w:val="single" w:sz="4" w:space="0" w:color="000000"/>
              <w:bottom w:val="single" w:sz="4" w:space="0" w:color="000000"/>
              <w:right w:val="single" w:sz="4" w:space="0" w:color="000000"/>
            </w:tcBorders>
            <w:shd w:val="clear" w:color="auto" w:fill="auto"/>
            <w:vAlign w:val="bottom"/>
          </w:tcPr>
          <w:p w14:paraId="1490508E" w14:textId="77777777" w:rsidR="00651284" w:rsidRPr="003B10E2" w:rsidRDefault="00651284" w:rsidP="009671D0">
            <w:pPr>
              <w:widowControl w:val="0"/>
              <w:spacing w:after="0" w:line="240" w:lineRule="auto"/>
              <w:rPr>
                <w:rFonts w:ascii="Times New Roman" w:hAnsi="Times New Roman"/>
                <w:color w:val="000000"/>
                <w:sz w:val="24"/>
                <w:szCs w:val="24"/>
              </w:rPr>
            </w:pPr>
            <w:r w:rsidRPr="003B10E2">
              <w:rPr>
                <w:rFonts w:ascii="Times New Roman" w:hAnsi="Times New Roman"/>
                <w:color w:val="000000"/>
                <w:sz w:val="24"/>
                <w:szCs w:val="24"/>
              </w:rPr>
              <w:t>1.53</w:t>
            </w:r>
          </w:p>
        </w:tc>
        <w:tc>
          <w:tcPr>
            <w:tcW w:w="1210" w:type="dxa"/>
            <w:tcBorders>
              <w:top w:val="double" w:sz="4" w:space="0" w:color="000000"/>
              <w:left w:val="single" w:sz="4" w:space="0" w:color="000000"/>
              <w:bottom w:val="single" w:sz="4" w:space="0" w:color="000000"/>
              <w:right w:val="single" w:sz="4" w:space="0" w:color="000000"/>
            </w:tcBorders>
            <w:shd w:val="clear" w:color="auto" w:fill="auto"/>
          </w:tcPr>
          <w:p w14:paraId="7F6F1087" w14:textId="77777777" w:rsidR="00651284" w:rsidRPr="003B10E2" w:rsidRDefault="00651284" w:rsidP="009671D0">
            <w:pPr>
              <w:widowControl w:val="0"/>
              <w:spacing w:after="0" w:line="240" w:lineRule="auto"/>
              <w:rPr>
                <w:rFonts w:ascii="Times New Roman" w:hAnsi="Times New Roman"/>
                <w:color w:val="000000"/>
                <w:sz w:val="24"/>
                <w:szCs w:val="24"/>
                <w:lang w:val="en-GB"/>
              </w:rPr>
            </w:pPr>
            <w:r w:rsidRPr="003B10E2">
              <w:rPr>
                <w:rFonts w:ascii="Times New Roman" w:hAnsi="Times New Roman"/>
                <w:color w:val="000000"/>
                <w:sz w:val="24"/>
                <w:szCs w:val="24"/>
                <w:lang w:val="en-GB"/>
              </w:rPr>
              <w:t>-2.24</w:t>
            </w:r>
          </w:p>
        </w:tc>
      </w:tr>
      <w:tr w:rsidR="009671D0" w:rsidRPr="003B10E2" w14:paraId="08B5AB9A" w14:textId="77777777" w:rsidTr="009671D0">
        <w:trPr>
          <w:trHeight w:val="543"/>
        </w:trPr>
        <w:tc>
          <w:tcPr>
            <w:tcW w:w="32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333E87" w14:textId="77777777" w:rsidR="009671D0" w:rsidRPr="003B10E2" w:rsidRDefault="009671D0" w:rsidP="009671D0">
            <w:pPr>
              <w:widowControl w:val="0"/>
              <w:spacing w:after="0" w:line="240" w:lineRule="auto"/>
              <w:rPr>
                <w:rFonts w:ascii="Times New Roman" w:hAnsi="Times New Roman"/>
                <w:color w:val="000000"/>
                <w:sz w:val="24"/>
                <w:szCs w:val="24"/>
              </w:rPr>
            </w:pPr>
            <w:r w:rsidRPr="003B10E2">
              <w:rPr>
                <w:rFonts w:ascii="Times New Roman" w:hAnsi="Times New Roman"/>
                <w:color w:val="000000"/>
                <w:sz w:val="24"/>
                <w:szCs w:val="24"/>
              </w:rPr>
              <w:t>Изменение капитализации компаний, входящих в индекс Московской биржи (%) при росте каждого из факторов на 1%</w:t>
            </w:r>
          </w:p>
        </w:tc>
        <w:tc>
          <w:tcPr>
            <w:tcW w:w="1134" w:type="dxa"/>
            <w:tcBorders>
              <w:left w:val="single" w:sz="4" w:space="0" w:color="000000"/>
              <w:bottom w:val="single" w:sz="4" w:space="0" w:color="000000"/>
              <w:right w:val="single" w:sz="4" w:space="0" w:color="000000"/>
            </w:tcBorders>
            <w:shd w:val="clear" w:color="auto" w:fill="auto"/>
            <w:vAlign w:val="bottom"/>
          </w:tcPr>
          <w:p w14:paraId="62F2B195" w14:textId="77777777" w:rsidR="009671D0" w:rsidRPr="003B10E2" w:rsidRDefault="009671D0" w:rsidP="009671D0">
            <w:pPr>
              <w:widowControl w:val="0"/>
              <w:spacing w:after="0" w:line="240" w:lineRule="auto"/>
              <w:rPr>
                <w:rFonts w:ascii="Times New Roman" w:hAnsi="Times New Roman"/>
                <w:color w:val="000000"/>
                <w:sz w:val="24"/>
                <w:szCs w:val="24"/>
              </w:rPr>
            </w:pPr>
            <w:r w:rsidRPr="003B10E2">
              <w:rPr>
                <w:rFonts w:ascii="Times New Roman" w:hAnsi="Times New Roman"/>
                <w:color w:val="000000"/>
                <w:sz w:val="24"/>
                <w:szCs w:val="24"/>
              </w:rPr>
              <w:t>- 0,67</w:t>
            </w:r>
          </w:p>
        </w:tc>
        <w:tc>
          <w:tcPr>
            <w:tcW w:w="1559" w:type="dxa"/>
            <w:tcBorders>
              <w:left w:val="single" w:sz="4" w:space="0" w:color="000000"/>
              <w:bottom w:val="single" w:sz="4" w:space="0" w:color="000000"/>
              <w:right w:val="single" w:sz="4" w:space="0" w:color="000000"/>
            </w:tcBorders>
            <w:shd w:val="clear" w:color="auto" w:fill="auto"/>
            <w:vAlign w:val="bottom"/>
          </w:tcPr>
          <w:p w14:paraId="13939A97" w14:textId="77777777" w:rsidR="009671D0" w:rsidRPr="003B10E2" w:rsidRDefault="009671D0" w:rsidP="009671D0">
            <w:pPr>
              <w:widowControl w:val="0"/>
              <w:spacing w:after="0" w:line="240" w:lineRule="auto"/>
              <w:rPr>
                <w:rFonts w:ascii="Times New Roman" w:hAnsi="Times New Roman"/>
                <w:color w:val="000000"/>
                <w:sz w:val="24"/>
                <w:szCs w:val="24"/>
              </w:rPr>
            </w:pPr>
            <w:r w:rsidRPr="003B10E2">
              <w:rPr>
                <w:rFonts w:ascii="Times New Roman" w:hAnsi="Times New Roman"/>
                <w:color w:val="000000"/>
                <w:sz w:val="24"/>
                <w:szCs w:val="24"/>
              </w:rPr>
              <w:t>0,3</w:t>
            </w:r>
          </w:p>
        </w:tc>
        <w:tc>
          <w:tcPr>
            <w:tcW w:w="1134" w:type="dxa"/>
            <w:tcBorders>
              <w:left w:val="single" w:sz="4" w:space="0" w:color="000000"/>
              <w:bottom w:val="single" w:sz="4" w:space="0" w:color="000000"/>
              <w:right w:val="single" w:sz="4" w:space="0" w:color="000000"/>
            </w:tcBorders>
            <w:shd w:val="clear" w:color="auto" w:fill="auto"/>
            <w:vAlign w:val="bottom"/>
          </w:tcPr>
          <w:p w14:paraId="209E5731" w14:textId="77777777" w:rsidR="009671D0" w:rsidRPr="003B10E2" w:rsidRDefault="009671D0" w:rsidP="009671D0">
            <w:pPr>
              <w:widowControl w:val="0"/>
              <w:spacing w:after="0" w:line="240" w:lineRule="auto"/>
              <w:rPr>
                <w:rFonts w:ascii="Times New Roman" w:hAnsi="Times New Roman"/>
                <w:color w:val="000000"/>
                <w:sz w:val="24"/>
                <w:szCs w:val="24"/>
              </w:rPr>
            </w:pPr>
            <w:r w:rsidRPr="003B10E2">
              <w:rPr>
                <w:rFonts w:ascii="Times New Roman" w:hAnsi="Times New Roman"/>
                <w:color w:val="000000"/>
                <w:sz w:val="24"/>
                <w:szCs w:val="24"/>
              </w:rPr>
              <w:t>0,3</w:t>
            </w:r>
          </w:p>
        </w:tc>
        <w:tc>
          <w:tcPr>
            <w:tcW w:w="1051" w:type="dxa"/>
            <w:tcBorders>
              <w:left w:val="single" w:sz="4" w:space="0" w:color="000000"/>
              <w:bottom w:val="single" w:sz="4" w:space="0" w:color="000000"/>
              <w:right w:val="single" w:sz="4" w:space="0" w:color="000000"/>
            </w:tcBorders>
            <w:shd w:val="clear" w:color="auto" w:fill="auto"/>
            <w:vAlign w:val="bottom"/>
          </w:tcPr>
          <w:p w14:paraId="7583BF73" w14:textId="77777777" w:rsidR="009671D0" w:rsidRPr="003B10E2" w:rsidRDefault="009671D0" w:rsidP="009671D0">
            <w:pPr>
              <w:widowControl w:val="0"/>
              <w:spacing w:after="0" w:line="240" w:lineRule="auto"/>
              <w:rPr>
                <w:rFonts w:ascii="Times New Roman" w:hAnsi="Times New Roman"/>
                <w:color w:val="000000"/>
                <w:sz w:val="24"/>
                <w:szCs w:val="24"/>
              </w:rPr>
            </w:pPr>
            <w:r w:rsidRPr="003B10E2">
              <w:rPr>
                <w:rFonts w:ascii="Times New Roman" w:hAnsi="Times New Roman"/>
                <w:color w:val="000000"/>
                <w:sz w:val="24"/>
                <w:szCs w:val="24"/>
              </w:rPr>
              <w:t>0,65</w:t>
            </w:r>
          </w:p>
        </w:tc>
        <w:tc>
          <w:tcPr>
            <w:tcW w:w="1210" w:type="dxa"/>
            <w:tcBorders>
              <w:left w:val="single" w:sz="4" w:space="0" w:color="000000"/>
              <w:bottom w:val="single" w:sz="4" w:space="0" w:color="000000"/>
              <w:right w:val="single" w:sz="4" w:space="0" w:color="000000"/>
            </w:tcBorders>
            <w:shd w:val="clear" w:color="auto" w:fill="auto"/>
          </w:tcPr>
          <w:p w14:paraId="5A549803" w14:textId="77777777" w:rsidR="009671D0" w:rsidRPr="003B10E2" w:rsidRDefault="009671D0" w:rsidP="009671D0">
            <w:pPr>
              <w:widowControl w:val="0"/>
              <w:spacing w:after="0" w:line="240" w:lineRule="auto"/>
              <w:rPr>
                <w:rFonts w:ascii="Times New Roman" w:hAnsi="Times New Roman"/>
                <w:color w:val="000000"/>
                <w:sz w:val="24"/>
                <w:szCs w:val="24"/>
              </w:rPr>
            </w:pPr>
          </w:p>
          <w:p w14:paraId="7A588108" w14:textId="77777777" w:rsidR="009671D0" w:rsidRPr="003B10E2" w:rsidRDefault="009671D0" w:rsidP="009671D0">
            <w:pPr>
              <w:widowControl w:val="0"/>
              <w:spacing w:after="0" w:line="240" w:lineRule="auto"/>
              <w:rPr>
                <w:rFonts w:ascii="Times New Roman" w:hAnsi="Times New Roman"/>
                <w:color w:val="000000"/>
                <w:sz w:val="24"/>
                <w:szCs w:val="24"/>
              </w:rPr>
            </w:pPr>
          </w:p>
          <w:p w14:paraId="305AF6DC" w14:textId="77777777" w:rsidR="009671D0" w:rsidRPr="003B10E2" w:rsidRDefault="009671D0" w:rsidP="009671D0">
            <w:pPr>
              <w:widowControl w:val="0"/>
              <w:spacing w:after="0" w:line="240" w:lineRule="auto"/>
              <w:rPr>
                <w:rFonts w:ascii="Times New Roman" w:hAnsi="Times New Roman"/>
                <w:color w:val="000000"/>
                <w:sz w:val="24"/>
                <w:szCs w:val="24"/>
              </w:rPr>
            </w:pPr>
          </w:p>
          <w:p w14:paraId="2CBD1F94" w14:textId="77777777" w:rsidR="009671D0" w:rsidRPr="003B10E2" w:rsidRDefault="009671D0" w:rsidP="009671D0">
            <w:pPr>
              <w:widowControl w:val="0"/>
              <w:spacing w:after="0" w:line="240" w:lineRule="auto"/>
              <w:rPr>
                <w:rFonts w:ascii="Times New Roman" w:hAnsi="Times New Roman"/>
                <w:color w:val="000000"/>
                <w:sz w:val="24"/>
                <w:szCs w:val="24"/>
              </w:rPr>
            </w:pPr>
          </w:p>
          <w:p w14:paraId="6E713972" w14:textId="77777777" w:rsidR="009671D0" w:rsidRPr="003B10E2" w:rsidRDefault="009671D0" w:rsidP="009671D0">
            <w:pPr>
              <w:widowControl w:val="0"/>
              <w:spacing w:after="0" w:line="240" w:lineRule="auto"/>
              <w:rPr>
                <w:rFonts w:ascii="Times New Roman" w:hAnsi="Times New Roman"/>
                <w:color w:val="000000"/>
                <w:sz w:val="24"/>
                <w:szCs w:val="24"/>
              </w:rPr>
            </w:pPr>
            <w:r w:rsidRPr="003B10E2">
              <w:rPr>
                <w:rFonts w:ascii="Times New Roman" w:hAnsi="Times New Roman"/>
                <w:color w:val="000000"/>
                <w:sz w:val="24"/>
                <w:szCs w:val="24"/>
              </w:rPr>
              <w:t>- 0,9</w:t>
            </w:r>
          </w:p>
        </w:tc>
      </w:tr>
    </w:tbl>
    <w:p w14:paraId="3C84D6B0" w14:textId="77777777" w:rsidR="00651284" w:rsidRPr="003B10E2" w:rsidRDefault="00651284" w:rsidP="00356F59">
      <w:pPr>
        <w:spacing w:after="0" w:line="360" w:lineRule="auto"/>
      </w:pPr>
      <w:r w:rsidRPr="003B10E2">
        <w:rPr>
          <w:rFonts w:ascii="Times New Roman" w:hAnsi="Times New Roman"/>
          <w:color w:val="000000"/>
          <w:sz w:val="24"/>
          <w:szCs w:val="24"/>
        </w:rPr>
        <w:t>Источник: расчеты автора.</w:t>
      </w:r>
    </w:p>
    <w:p w14:paraId="4F2CEA10" w14:textId="77777777" w:rsidR="009671D0" w:rsidRPr="003B10E2" w:rsidRDefault="009671D0" w:rsidP="009671D0">
      <w:pPr>
        <w:spacing w:after="0" w:line="360" w:lineRule="auto"/>
        <w:jc w:val="both"/>
        <w:rPr>
          <w:rFonts w:ascii="Times New Roman" w:hAnsi="Times New Roman"/>
          <w:color w:val="FF0000"/>
          <w:sz w:val="28"/>
          <w:szCs w:val="28"/>
        </w:rPr>
      </w:pPr>
    </w:p>
    <w:p w14:paraId="091C56A3" w14:textId="77777777" w:rsidR="00651284" w:rsidRPr="003B10E2" w:rsidRDefault="00651284" w:rsidP="009671D0">
      <w:pPr>
        <w:spacing w:after="0" w:line="360" w:lineRule="auto"/>
        <w:ind w:firstLine="708"/>
        <w:jc w:val="both"/>
        <w:rPr>
          <w:rFonts w:ascii="Times New Roman" w:hAnsi="Times New Roman"/>
          <w:color w:val="FF0000"/>
          <w:sz w:val="28"/>
          <w:szCs w:val="28"/>
        </w:rPr>
      </w:pPr>
      <w:r w:rsidRPr="003B10E2">
        <w:rPr>
          <w:rFonts w:ascii="Times New Roman" w:hAnsi="Times New Roman"/>
          <w:color w:val="000000"/>
          <w:sz w:val="28"/>
          <w:szCs w:val="28"/>
        </w:rPr>
        <w:t xml:space="preserve">В таблице </w:t>
      </w:r>
      <w:r w:rsidR="00D727AE" w:rsidRPr="003B10E2">
        <w:rPr>
          <w:rFonts w:ascii="Times New Roman" w:hAnsi="Times New Roman"/>
          <w:color w:val="000000"/>
          <w:sz w:val="28"/>
          <w:szCs w:val="28"/>
        </w:rPr>
        <w:t>1</w:t>
      </w:r>
      <w:r w:rsidR="009D7B82" w:rsidRPr="003B10E2">
        <w:rPr>
          <w:rFonts w:ascii="Times New Roman" w:hAnsi="Times New Roman"/>
          <w:color w:val="000000"/>
          <w:sz w:val="28"/>
          <w:szCs w:val="28"/>
        </w:rPr>
        <w:t>7</w:t>
      </w:r>
      <w:r w:rsidRPr="003B10E2">
        <w:rPr>
          <w:rFonts w:ascii="Times New Roman" w:hAnsi="Times New Roman"/>
          <w:color w:val="000000"/>
          <w:sz w:val="28"/>
          <w:szCs w:val="28"/>
        </w:rPr>
        <w:t xml:space="preserve"> показан нормализованный вектор коинтеграции. Она показывает, что экспорт</w:t>
      </w:r>
      <w:r w:rsidRPr="003B10E2">
        <w:t xml:space="preserve">, </w:t>
      </w:r>
      <w:r w:rsidRPr="003B10E2">
        <w:rPr>
          <w:rFonts w:ascii="Times New Roman" w:hAnsi="Times New Roman"/>
          <w:color w:val="000000"/>
          <w:sz w:val="28"/>
          <w:szCs w:val="28"/>
        </w:rPr>
        <w:t>ВВП и цена на нефть имеют долгосрочную положительную связь с капитализацией компаний, входящих в индекс Московской биржи. Индекс потребительских цен и курс доллара США в рублях имеет долгосрочную отрицательную связь с капитализацией компаний, входящих в индекс Московской биржи [152 – 154].</w:t>
      </w:r>
    </w:p>
    <w:p w14:paraId="1F345122" w14:textId="77777777"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sz w:val="28"/>
          <w:szCs w:val="28"/>
        </w:rPr>
        <w:t>Например, снижение инфляции обычно оказывает краткосрочное позитивное влияние на капитализацию рынка акций. Такой эффект будет наблюдаться в том случае, если уменьшение инфляции не сигнализирует о снижении экономической активности и потенциальном падении прибылей. В противном случае снижение прибыли может скомпенсировать замедление инфляции, и реальная доходность останется на прежнем уровне или даже снизится. Реакция капитализации рынка на рост инфляции обычно соответствующая. Когда рынок опасается, что инфляция может выйти из-под контроля, то инвесторы начинают фильтровать активы не по доходности, а по рискам и направляют средства в защитные активы (облигации и товары). В этом случае капитализация рынка акций падает.</w:t>
      </w:r>
      <w:r w:rsidRPr="003B10E2">
        <w:rPr>
          <w:rFonts w:ascii="Times New Roman" w:hAnsi="Times New Roman"/>
          <w:color w:val="000000"/>
          <w:sz w:val="28"/>
          <w:szCs w:val="28"/>
        </w:rPr>
        <w:t xml:space="preserve"> Чем выше инфляция в России, тем больше разрыв между номинальным и реальным эффективными курсами рубля, поэтому повышается вероятность ослабления рубля. Третий фактор — курс доллара США в рублях может отразиться на стоимости российских акций. </w:t>
      </w:r>
    </w:p>
    <w:p w14:paraId="35193562" w14:textId="77777777"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Индекс потребительских цен (ИПЦ) имеет долгосрочную отрицательную связь с капитализацией компаний, входящих в индекс Московской биржи. В 2017 – 2020 ИПЦ находился на самых низких значениях в </w:t>
      </w:r>
      <w:r w:rsidRPr="003B10E2">
        <w:rPr>
          <w:rFonts w:ascii="Times New Roman" w:hAnsi="Times New Roman"/>
          <w:sz w:val="28"/>
          <w:szCs w:val="28"/>
        </w:rPr>
        <w:t>истории России (2-4%), что способствовало восстановлению в марте 2020 года после глубокого провала капи</w:t>
      </w:r>
      <w:r w:rsidR="001D1D36" w:rsidRPr="003B10E2">
        <w:rPr>
          <w:rFonts w:ascii="Times New Roman" w:hAnsi="Times New Roman"/>
          <w:sz w:val="28"/>
          <w:szCs w:val="28"/>
        </w:rPr>
        <w:t>тализации российских компаний (р</w:t>
      </w:r>
      <w:r w:rsidRPr="003B10E2">
        <w:rPr>
          <w:rFonts w:ascii="Times New Roman" w:hAnsi="Times New Roman"/>
          <w:sz w:val="28"/>
          <w:szCs w:val="28"/>
        </w:rPr>
        <w:t xml:space="preserve">исунок </w:t>
      </w:r>
      <w:r w:rsidR="004E1575" w:rsidRPr="003B10E2">
        <w:rPr>
          <w:rFonts w:ascii="Times New Roman" w:hAnsi="Times New Roman"/>
          <w:sz w:val="28"/>
          <w:szCs w:val="28"/>
        </w:rPr>
        <w:t>5</w:t>
      </w:r>
      <w:r w:rsidR="004F7E11" w:rsidRPr="003B10E2">
        <w:rPr>
          <w:rFonts w:ascii="Times New Roman" w:hAnsi="Times New Roman"/>
          <w:sz w:val="28"/>
          <w:szCs w:val="28"/>
        </w:rPr>
        <w:t>2</w:t>
      </w:r>
      <w:r w:rsidR="00A02EA2" w:rsidRPr="003B10E2">
        <w:rPr>
          <w:rFonts w:ascii="Times New Roman" w:hAnsi="Times New Roman"/>
          <w:sz w:val="28"/>
          <w:szCs w:val="28"/>
        </w:rPr>
        <w:t>-</w:t>
      </w:r>
      <w:r w:rsidR="004E1575" w:rsidRPr="003B10E2">
        <w:rPr>
          <w:rFonts w:ascii="Times New Roman" w:hAnsi="Times New Roman"/>
          <w:sz w:val="28"/>
          <w:szCs w:val="28"/>
        </w:rPr>
        <w:t>5</w:t>
      </w:r>
      <w:r w:rsidR="004F7E11" w:rsidRPr="003B10E2">
        <w:rPr>
          <w:rFonts w:ascii="Times New Roman" w:hAnsi="Times New Roman"/>
          <w:sz w:val="28"/>
          <w:szCs w:val="28"/>
        </w:rPr>
        <w:t>3</w:t>
      </w:r>
      <w:r w:rsidRPr="003B10E2">
        <w:rPr>
          <w:rFonts w:ascii="Times New Roman" w:hAnsi="Times New Roman"/>
          <w:sz w:val="28"/>
          <w:szCs w:val="28"/>
        </w:rPr>
        <w:t xml:space="preserve">). </w:t>
      </w:r>
    </w:p>
    <w:p w14:paraId="2321B4A3" w14:textId="77777777" w:rsidR="00651284" w:rsidRPr="003B10E2" w:rsidRDefault="00651284" w:rsidP="00651284">
      <w:pPr>
        <w:spacing w:after="0" w:line="360" w:lineRule="auto"/>
        <w:ind w:firstLine="851"/>
        <w:jc w:val="both"/>
        <w:rPr>
          <w:rFonts w:ascii="Times New Roman" w:hAnsi="Times New Roman"/>
          <w:sz w:val="28"/>
          <w:szCs w:val="28"/>
        </w:rPr>
      </w:pPr>
      <w:r w:rsidRPr="003B10E2">
        <w:rPr>
          <w:rFonts w:ascii="Times New Roman" w:hAnsi="Times New Roman"/>
          <w:sz w:val="28"/>
          <w:szCs w:val="28"/>
        </w:rPr>
        <w:t xml:space="preserve">Связь ИПЦ </w:t>
      </w:r>
      <w:r w:rsidRPr="003B10E2">
        <w:rPr>
          <w:rFonts w:ascii="Times New Roman" w:hAnsi="Times New Roman"/>
          <w:sz w:val="28"/>
          <w:szCs w:val="28"/>
          <w:lang w:val="en-GB"/>
        </w:rPr>
        <w:t>c</w:t>
      </w:r>
      <w:r w:rsidRPr="003B10E2">
        <w:rPr>
          <w:rFonts w:ascii="Times New Roman" w:hAnsi="Times New Roman"/>
          <w:sz w:val="28"/>
          <w:szCs w:val="28"/>
        </w:rPr>
        <w:t xml:space="preserve"> курсом доллара США в рублях очень простая: чем выше инфляция, тем выше вероятность девальвации рубля с последующим падением капитализации рынка акций в долларах США.</w:t>
      </w:r>
    </w:p>
    <w:p w14:paraId="5F1BA85B" w14:textId="77777777" w:rsidR="00651284" w:rsidRPr="003B10E2" w:rsidRDefault="00651284" w:rsidP="00467D23">
      <w:pPr>
        <w:spacing w:after="0" w:line="360" w:lineRule="auto"/>
        <w:ind w:firstLine="851"/>
        <w:jc w:val="both"/>
        <w:rPr>
          <w:rFonts w:ascii="Times New Roman" w:hAnsi="Times New Roman"/>
          <w:sz w:val="28"/>
          <w:szCs w:val="28"/>
        </w:rPr>
      </w:pPr>
      <w:r w:rsidRPr="003B10E2">
        <w:rPr>
          <w:rFonts w:ascii="Times New Roman" w:hAnsi="Times New Roman"/>
          <w:color w:val="000000"/>
          <w:sz w:val="28"/>
          <w:szCs w:val="28"/>
        </w:rPr>
        <w:t xml:space="preserve">Резкое падение индекса </w:t>
      </w:r>
      <w:r w:rsidRPr="003B10E2">
        <w:rPr>
          <w:rFonts w:ascii="Times New Roman" w:hAnsi="Times New Roman"/>
          <w:color w:val="000000"/>
          <w:sz w:val="28"/>
          <w:szCs w:val="28"/>
          <w:lang w:val="en-GB"/>
        </w:rPr>
        <w:t>IMOEX</w:t>
      </w:r>
      <w:r w:rsidRPr="003B10E2">
        <w:rPr>
          <w:rFonts w:ascii="Times New Roman" w:hAnsi="Times New Roman"/>
          <w:color w:val="000000"/>
          <w:sz w:val="28"/>
          <w:szCs w:val="28"/>
        </w:rPr>
        <w:t xml:space="preserve"> влияет на акциях экспортеров: их стоимость может упасть вместе с падением всего рынка. При этом маржинальность бизнеса экспортеров растет, поэтому их акции испытали шок в цене в моменты кризисов и быстро восстановили потери</w:t>
      </w:r>
      <w:r w:rsidRPr="003B10E2">
        <w:rPr>
          <w:rFonts w:ascii="Times New Roman" w:hAnsi="Times New Roman"/>
          <w:sz w:val="28"/>
          <w:szCs w:val="28"/>
        </w:rPr>
        <w:t xml:space="preserve"> [</w:t>
      </w:r>
      <w:r w:rsidR="0007473C" w:rsidRPr="003B10E2">
        <w:rPr>
          <w:rFonts w:ascii="Times New Roman" w:hAnsi="Times New Roman"/>
          <w:sz w:val="28"/>
          <w:szCs w:val="28"/>
        </w:rPr>
        <w:t>78</w:t>
      </w:r>
      <w:r w:rsidRPr="003B10E2">
        <w:rPr>
          <w:rFonts w:ascii="Times New Roman" w:hAnsi="Times New Roman"/>
          <w:sz w:val="28"/>
          <w:szCs w:val="28"/>
        </w:rPr>
        <w:t xml:space="preserve">]. </w:t>
      </w:r>
    </w:p>
    <w:p w14:paraId="43168E6A" w14:textId="77777777" w:rsidR="00BD4CB0" w:rsidRPr="003B10E2" w:rsidRDefault="00C72198" w:rsidP="00BD4CB0">
      <w:pPr>
        <w:spacing w:after="0" w:line="240" w:lineRule="auto"/>
        <w:jc w:val="center"/>
        <w:rPr>
          <w:rFonts w:ascii="Times New Roman" w:hAnsi="Times New Roman"/>
          <w:sz w:val="28"/>
          <w:szCs w:val="28"/>
        </w:rPr>
      </w:pPr>
      <w:r w:rsidRPr="003B10E2">
        <w:rPr>
          <w:rFonts w:ascii="Times New Roman" w:hAnsi="Times New Roman"/>
          <w:bCs/>
          <w:noProof/>
          <w:color w:val="000000"/>
          <w:sz w:val="24"/>
          <w:szCs w:val="24"/>
        </w:rPr>
        <w:drawing>
          <wp:inline distT="0" distB="0" distL="0" distR="0" wp14:anchorId="539A60A8" wp14:editId="647AED9D">
            <wp:extent cx="5871210" cy="2974975"/>
            <wp:effectExtent l="0" t="0" r="0" b="0"/>
            <wp:docPr id="56" name="Рисунок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6"/>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71210" cy="2974975"/>
                    </a:xfrm>
                    <a:prstGeom prst="rect">
                      <a:avLst/>
                    </a:prstGeom>
                    <a:noFill/>
                  </pic:spPr>
                </pic:pic>
              </a:graphicData>
            </a:graphic>
          </wp:inline>
        </w:drawing>
      </w:r>
      <w:r w:rsidR="00BD4CB0" w:rsidRPr="003B10E2">
        <w:rPr>
          <w:rFonts w:ascii="Times New Roman" w:hAnsi="Times New Roman"/>
          <w:bCs/>
          <w:color w:val="000000"/>
          <w:sz w:val="24"/>
          <w:szCs w:val="24"/>
        </w:rPr>
        <w:t>Источник: Thomson Reuters, Росстат.</w:t>
      </w:r>
    </w:p>
    <w:p w14:paraId="53624CCD" w14:textId="77777777" w:rsidR="00BD4CB0" w:rsidRPr="003B10E2" w:rsidRDefault="00BD4CB0" w:rsidP="00BD4CB0">
      <w:pPr>
        <w:spacing w:after="0" w:line="240" w:lineRule="auto"/>
        <w:jc w:val="center"/>
        <w:rPr>
          <w:rFonts w:ascii="Times New Roman" w:hAnsi="Times New Roman"/>
          <w:color w:val="000000"/>
          <w:sz w:val="24"/>
          <w:szCs w:val="24"/>
        </w:rPr>
      </w:pPr>
      <w:r w:rsidRPr="003B10E2">
        <w:rPr>
          <w:rFonts w:ascii="Times New Roman" w:hAnsi="Times New Roman"/>
          <w:bCs/>
          <w:color w:val="000000"/>
          <w:sz w:val="24"/>
          <w:szCs w:val="24"/>
        </w:rPr>
        <w:t xml:space="preserve">Рисунок </w:t>
      </w:r>
      <w:r w:rsidR="0007473C" w:rsidRPr="003B10E2">
        <w:rPr>
          <w:rFonts w:ascii="Times New Roman" w:hAnsi="Times New Roman"/>
          <w:bCs/>
          <w:color w:val="000000"/>
          <w:sz w:val="24"/>
          <w:szCs w:val="24"/>
        </w:rPr>
        <w:t>78</w:t>
      </w:r>
      <w:r w:rsidRPr="003B10E2">
        <w:rPr>
          <w:rFonts w:ascii="Times New Roman" w:hAnsi="Times New Roman"/>
          <w:bCs/>
          <w:color w:val="000000"/>
          <w:sz w:val="24"/>
          <w:szCs w:val="24"/>
        </w:rPr>
        <w:t xml:space="preserve"> – </w:t>
      </w:r>
      <w:r w:rsidRPr="003B10E2">
        <w:rPr>
          <w:rFonts w:ascii="Times New Roman" w:hAnsi="Times New Roman"/>
          <w:color w:val="000000"/>
          <w:sz w:val="24"/>
          <w:szCs w:val="24"/>
        </w:rPr>
        <w:t>Динамика индекса потребительских цен России в 2007 – 2022, %</w:t>
      </w:r>
    </w:p>
    <w:p w14:paraId="7D293B92" w14:textId="77777777" w:rsidR="003311FD" w:rsidRPr="003B10E2" w:rsidRDefault="003311FD" w:rsidP="00BD4CB0">
      <w:pPr>
        <w:spacing w:after="0" w:line="240" w:lineRule="auto"/>
        <w:jc w:val="center"/>
        <w:rPr>
          <w:rFonts w:ascii="Times New Roman" w:hAnsi="Times New Roman"/>
          <w:bCs/>
          <w:color w:val="000000"/>
          <w:sz w:val="24"/>
          <w:szCs w:val="24"/>
        </w:rPr>
      </w:pPr>
    </w:p>
    <w:p w14:paraId="31DF4DD8" w14:textId="77777777" w:rsidR="00356F59" w:rsidRPr="003B10E2" w:rsidRDefault="00C72198" w:rsidP="00BD4CB0">
      <w:pPr>
        <w:spacing w:after="0" w:line="240" w:lineRule="auto"/>
        <w:jc w:val="center"/>
        <w:rPr>
          <w:rFonts w:ascii="Times New Roman" w:hAnsi="Times New Roman"/>
          <w:bCs/>
          <w:color w:val="000000"/>
          <w:sz w:val="24"/>
          <w:szCs w:val="24"/>
        </w:rPr>
      </w:pPr>
      <w:r w:rsidRPr="003B10E2">
        <w:rPr>
          <w:rFonts w:ascii="Times New Roman" w:hAnsi="Times New Roman"/>
          <w:bCs/>
          <w:noProof/>
          <w:color w:val="000000"/>
          <w:sz w:val="24"/>
          <w:szCs w:val="24"/>
        </w:rPr>
        <w:drawing>
          <wp:inline distT="0" distB="0" distL="0" distR="0" wp14:anchorId="5AFA7F0B" wp14:editId="56E8AF1F">
            <wp:extent cx="5864860" cy="2554605"/>
            <wp:effectExtent l="0" t="0" r="0" b="0"/>
            <wp:docPr id="1644123669" name="Рисунок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7"/>
                    <pic:cNvPicPr>
                      <a:picLocks/>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64860" cy="2554605"/>
                    </a:xfrm>
                    <a:prstGeom prst="rect">
                      <a:avLst/>
                    </a:prstGeom>
                    <a:noFill/>
                  </pic:spPr>
                </pic:pic>
              </a:graphicData>
            </a:graphic>
          </wp:inline>
        </w:drawing>
      </w:r>
      <w:r w:rsidR="00356F59" w:rsidRPr="003B10E2">
        <w:rPr>
          <w:rFonts w:ascii="Times New Roman" w:hAnsi="Times New Roman"/>
          <w:bCs/>
          <w:color w:val="000000"/>
          <w:sz w:val="24"/>
          <w:szCs w:val="24"/>
        </w:rPr>
        <w:t>Источник: Thomson Reuters.</w:t>
      </w:r>
    </w:p>
    <w:p w14:paraId="5EBA3068" w14:textId="77777777" w:rsidR="00651284" w:rsidRPr="003B10E2" w:rsidRDefault="00D727AE" w:rsidP="00BD4CB0">
      <w:pPr>
        <w:spacing w:after="0" w:line="240" w:lineRule="auto"/>
        <w:contextualSpacing/>
        <w:jc w:val="center"/>
        <w:rPr>
          <w:rFonts w:ascii="Times New Roman" w:hAnsi="Times New Roman"/>
          <w:bCs/>
          <w:color w:val="000000"/>
          <w:sz w:val="24"/>
          <w:szCs w:val="24"/>
        </w:rPr>
      </w:pPr>
      <w:r w:rsidRPr="003B10E2">
        <w:rPr>
          <w:rFonts w:ascii="Times New Roman" w:hAnsi="Times New Roman"/>
          <w:bCs/>
          <w:color w:val="000000"/>
          <w:sz w:val="24"/>
          <w:szCs w:val="24"/>
        </w:rPr>
        <w:t xml:space="preserve">Рисунок </w:t>
      </w:r>
      <w:r w:rsidR="0007473C" w:rsidRPr="003B10E2">
        <w:rPr>
          <w:rFonts w:ascii="Times New Roman" w:hAnsi="Times New Roman"/>
          <w:bCs/>
          <w:color w:val="000000"/>
          <w:sz w:val="24"/>
          <w:szCs w:val="24"/>
        </w:rPr>
        <w:t>79</w:t>
      </w:r>
      <w:r w:rsidR="00356F59" w:rsidRPr="003B10E2">
        <w:rPr>
          <w:rFonts w:ascii="Times New Roman" w:hAnsi="Times New Roman"/>
          <w:bCs/>
          <w:color w:val="000000"/>
          <w:sz w:val="24"/>
          <w:szCs w:val="24"/>
        </w:rPr>
        <w:t xml:space="preserve"> –</w:t>
      </w:r>
      <w:r w:rsidR="00651284" w:rsidRPr="003B10E2">
        <w:rPr>
          <w:rFonts w:ascii="Times New Roman" w:hAnsi="Times New Roman"/>
          <w:bCs/>
          <w:color w:val="000000"/>
          <w:sz w:val="24"/>
          <w:szCs w:val="24"/>
        </w:rPr>
        <w:t xml:space="preserve"> </w:t>
      </w:r>
      <w:r w:rsidR="00651284" w:rsidRPr="003B10E2">
        <w:rPr>
          <w:rFonts w:ascii="Times New Roman" w:hAnsi="Times New Roman"/>
          <w:color w:val="000000"/>
          <w:sz w:val="24"/>
          <w:szCs w:val="24"/>
        </w:rPr>
        <w:t xml:space="preserve">Динамика среднегодового курса доллара США в 2015 – 2022, </w:t>
      </w:r>
      <w:r w:rsidR="00356F59" w:rsidRPr="003B10E2">
        <w:rPr>
          <w:rFonts w:ascii="Times New Roman" w:hAnsi="Times New Roman"/>
          <w:color w:val="000000"/>
          <w:sz w:val="24"/>
          <w:szCs w:val="24"/>
        </w:rPr>
        <w:t>рублей за доллар США</w:t>
      </w:r>
    </w:p>
    <w:p w14:paraId="27DFF6ED" w14:textId="77777777" w:rsidR="00651284" w:rsidRPr="003B10E2" w:rsidRDefault="00651284" w:rsidP="001D1D36">
      <w:pPr>
        <w:spacing w:after="0" w:line="360" w:lineRule="auto"/>
        <w:ind w:firstLine="708"/>
        <w:jc w:val="both"/>
        <w:rPr>
          <w:rFonts w:ascii="Times New Roman" w:hAnsi="Times New Roman"/>
          <w:sz w:val="28"/>
          <w:szCs w:val="28"/>
        </w:rPr>
      </w:pPr>
    </w:p>
    <w:p w14:paraId="5610A036" w14:textId="77777777" w:rsidR="00651284" w:rsidRPr="003B10E2" w:rsidRDefault="00651284" w:rsidP="001D1D36">
      <w:pPr>
        <w:spacing w:after="0" w:line="360" w:lineRule="auto"/>
        <w:ind w:firstLine="708"/>
        <w:jc w:val="both"/>
        <w:rPr>
          <w:rFonts w:ascii="Times New Roman" w:hAnsi="Times New Roman"/>
          <w:color w:val="FF0000"/>
          <w:sz w:val="28"/>
          <w:szCs w:val="28"/>
        </w:rPr>
      </w:pPr>
      <w:r w:rsidRPr="003B10E2">
        <w:rPr>
          <w:rFonts w:ascii="Times New Roman" w:hAnsi="Times New Roman"/>
          <w:color w:val="000000"/>
          <w:sz w:val="28"/>
          <w:szCs w:val="28"/>
        </w:rPr>
        <w:t xml:space="preserve">Вышеизложенное объяснение показывает долгосрочную связь между валовым внутренним продуктом, индексом потребительских цен, курсом доллара США в рублях, ценой на нефть </w:t>
      </w:r>
      <w:r w:rsidRPr="003B10E2">
        <w:rPr>
          <w:rFonts w:ascii="Times New Roman" w:hAnsi="Times New Roman"/>
          <w:color w:val="000000"/>
          <w:sz w:val="28"/>
          <w:szCs w:val="28"/>
          <w:lang w:val="en-US"/>
        </w:rPr>
        <w:t>Brent</w:t>
      </w:r>
      <w:r w:rsidRPr="003B10E2">
        <w:rPr>
          <w:rFonts w:ascii="Times New Roman" w:hAnsi="Times New Roman"/>
          <w:color w:val="000000"/>
          <w:sz w:val="28"/>
          <w:szCs w:val="28"/>
        </w:rPr>
        <w:t>, общим экспортом страны и капитализацией компаний, входящих в индекс Московской биржи (</w:t>
      </w:r>
      <w:r w:rsidRPr="003B10E2">
        <w:rPr>
          <w:rFonts w:ascii="Times New Roman" w:hAnsi="Times New Roman"/>
          <w:color w:val="000000"/>
          <w:sz w:val="28"/>
          <w:szCs w:val="28"/>
          <w:lang w:val="en-US"/>
        </w:rPr>
        <w:t>IMOEX</w:t>
      </w:r>
      <w:r w:rsidRPr="003B10E2">
        <w:rPr>
          <w:rFonts w:ascii="Times New Roman" w:hAnsi="Times New Roman"/>
          <w:color w:val="000000"/>
          <w:sz w:val="28"/>
          <w:szCs w:val="28"/>
        </w:rPr>
        <w:t xml:space="preserve">). </w:t>
      </w:r>
    </w:p>
    <w:p w14:paraId="56DF27B5" w14:textId="77777777" w:rsidR="001D1D36" w:rsidRPr="003B10E2" w:rsidRDefault="00651284" w:rsidP="001D1D36">
      <w:pPr>
        <w:spacing w:after="0" w:line="360" w:lineRule="auto"/>
        <w:ind w:firstLine="709"/>
        <w:jc w:val="both"/>
        <w:rPr>
          <w:rFonts w:ascii="Times New Roman" w:hAnsi="Times New Roman"/>
          <w:color w:val="000000"/>
          <w:sz w:val="28"/>
          <w:szCs w:val="28"/>
        </w:rPr>
      </w:pPr>
      <w:r w:rsidRPr="003B10E2">
        <w:rPr>
          <w:rFonts w:ascii="Times New Roman" w:hAnsi="Times New Roman"/>
          <w:color w:val="000000"/>
          <w:sz w:val="28"/>
          <w:szCs w:val="28"/>
        </w:rPr>
        <w:t xml:space="preserve">Подход Грейнджера заключается в том, чтобы увидеть, какие текущие параметры </w:t>
      </w:r>
      <w:r w:rsidRPr="003B10E2">
        <w:rPr>
          <w:rFonts w:ascii="Times New Roman" w:hAnsi="Times New Roman"/>
          <w:i/>
          <w:color w:val="000000"/>
          <w:sz w:val="28"/>
          <w:szCs w:val="28"/>
        </w:rPr>
        <w:t>y</w:t>
      </w:r>
      <w:r w:rsidRPr="003B10E2">
        <w:rPr>
          <w:rFonts w:ascii="Times New Roman" w:hAnsi="Times New Roman"/>
          <w:color w:val="000000"/>
          <w:sz w:val="28"/>
          <w:szCs w:val="28"/>
        </w:rPr>
        <w:t xml:space="preserve"> можно объяснить прошлыми значениями </w:t>
      </w:r>
      <w:r w:rsidRPr="003B10E2">
        <w:rPr>
          <w:rFonts w:ascii="Times New Roman" w:hAnsi="Times New Roman"/>
          <w:i/>
          <w:color w:val="000000"/>
          <w:sz w:val="28"/>
          <w:szCs w:val="28"/>
        </w:rPr>
        <w:t>y</w:t>
      </w:r>
      <w:r w:rsidRPr="003B10E2">
        <w:rPr>
          <w:rFonts w:ascii="Times New Roman" w:hAnsi="Times New Roman"/>
          <w:color w:val="000000"/>
          <w:sz w:val="28"/>
          <w:szCs w:val="28"/>
        </w:rPr>
        <w:t xml:space="preserve">, а затем посмотреть, может ли добавление запаздывающих значений </w:t>
      </w:r>
      <w:r w:rsidRPr="003B10E2">
        <w:rPr>
          <w:rFonts w:ascii="Times New Roman" w:hAnsi="Times New Roman"/>
          <w:i/>
          <w:color w:val="000000"/>
          <w:sz w:val="28"/>
          <w:szCs w:val="28"/>
        </w:rPr>
        <w:t>х</w:t>
      </w:r>
      <w:r w:rsidR="00356F59" w:rsidRPr="003B10E2">
        <w:rPr>
          <w:rFonts w:ascii="Times New Roman" w:hAnsi="Times New Roman"/>
          <w:color w:val="000000"/>
          <w:sz w:val="28"/>
          <w:szCs w:val="28"/>
        </w:rPr>
        <w:t xml:space="preserve"> улучшить ситуацию (таблица </w:t>
      </w:r>
      <w:r w:rsidR="00D727AE" w:rsidRPr="003B10E2">
        <w:rPr>
          <w:rFonts w:ascii="Times New Roman" w:hAnsi="Times New Roman"/>
          <w:color w:val="000000"/>
          <w:sz w:val="28"/>
          <w:szCs w:val="28"/>
        </w:rPr>
        <w:t>1</w:t>
      </w:r>
      <w:r w:rsidR="009D7B82" w:rsidRPr="003B10E2">
        <w:rPr>
          <w:rFonts w:ascii="Times New Roman" w:hAnsi="Times New Roman"/>
          <w:color w:val="000000"/>
          <w:sz w:val="28"/>
          <w:szCs w:val="28"/>
        </w:rPr>
        <w:t>8</w:t>
      </w:r>
      <w:r w:rsidR="00467D23" w:rsidRPr="003B10E2">
        <w:rPr>
          <w:rFonts w:ascii="Times New Roman" w:hAnsi="Times New Roman"/>
          <w:color w:val="000000"/>
          <w:sz w:val="28"/>
          <w:szCs w:val="28"/>
        </w:rPr>
        <w:t>).</w:t>
      </w:r>
    </w:p>
    <w:p w14:paraId="4A0340C4" w14:textId="77777777" w:rsidR="001D1D36" w:rsidRPr="003B10E2" w:rsidRDefault="001D1D36" w:rsidP="001D1D36">
      <w:pPr>
        <w:spacing w:after="0" w:line="240" w:lineRule="auto"/>
        <w:ind w:firstLine="709"/>
        <w:jc w:val="both"/>
        <w:rPr>
          <w:rFonts w:ascii="Times New Roman" w:hAnsi="Times New Roman"/>
          <w:color w:val="000000"/>
          <w:sz w:val="28"/>
          <w:szCs w:val="28"/>
        </w:rPr>
      </w:pPr>
    </w:p>
    <w:p w14:paraId="79D87C43" w14:textId="77777777" w:rsidR="001D1D36" w:rsidRPr="003B10E2" w:rsidRDefault="00D727AE" w:rsidP="001D1D36">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Таблица 1</w:t>
      </w:r>
      <w:r w:rsidR="009D7B82" w:rsidRPr="003B10E2">
        <w:rPr>
          <w:rFonts w:ascii="Times New Roman" w:hAnsi="Times New Roman"/>
          <w:color w:val="000000"/>
          <w:sz w:val="24"/>
          <w:szCs w:val="24"/>
        </w:rPr>
        <w:t>8</w:t>
      </w:r>
      <w:r w:rsidR="00651284" w:rsidRPr="003B10E2">
        <w:rPr>
          <w:rFonts w:ascii="Times New Roman" w:hAnsi="Times New Roman"/>
          <w:color w:val="000000"/>
          <w:sz w:val="24"/>
          <w:szCs w:val="24"/>
        </w:rPr>
        <w:t xml:space="preserve"> – Результаты теста F-статистики Грейнджера</w:t>
      </w:r>
    </w:p>
    <w:p w14:paraId="0124071C" w14:textId="77777777" w:rsidR="001D1D36" w:rsidRPr="003B10E2" w:rsidRDefault="001D1D36" w:rsidP="001D1D36">
      <w:pPr>
        <w:spacing w:after="0" w:line="240" w:lineRule="auto"/>
        <w:jc w:val="both"/>
        <w:rPr>
          <w:rFonts w:ascii="Times New Roman" w:hAnsi="Times New Roman"/>
          <w:color w:val="000000"/>
          <w:sz w:val="24"/>
          <w:szCs w:val="24"/>
        </w:rPr>
      </w:pPr>
    </w:p>
    <w:tbl>
      <w:tblPr>
        <w:tblW w:w="9341" w:type="dxa"/>
        <w:jc w:val="center"/>
        <w:tblLayout w:type="fixed"/>
        <w:tblLook w:val="04A0" w:firstRow="1" w:lastRow="0" w:firstColumn="1" w:lastColumn="0" w:noHBand="0" w:noVBand="1"/>
      </w:tblPr>
      <w:tblGrid>
        <w:gridCol w:w="5508"/>
        <w:gridCol w:w="3833"/>
      </w:tblGrid>
      <w:tr w:rsidR="00651284" w:rsidRPr="003B10E2" w14:paraId="6CED2FE6" w14:textId="77777777" w:rsidTr="00651284">
        <w:trPr>
          <w:trHeight w:val="323"/>
          <w:jc w:val="center"/>
        </w:trPr>
        <w:tc>
          <w:tcPr>
            <w:tcW w:w="5507" w:type="dxa"/>
            <w:tcBorders>
              <w:top w:val="single" w:sz="4" w:space="0" w:color="000000"/>
              <w:left w:val="single" w:sz="4" w:space="0" w:color="000000"/>
              <w:bottom w:val="double" w:sz="4" w:space="0" w:color="000000"/>
              <w:right w:val="single" w:sz="4" w:space="0" w:color="000000"/>
            </w:tcBorders>
            <w:shd w:val="clear" w:color="auto" w:fill="auto"/>
          </w:tcPr>
          <w:p w14:paraId="5E317EE2" w14:textId="77777777" w:rsidR="00651284" w:rsidRPr="003B10E2" w:rsidRDefault="00651284" w:rsidP="00651284">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Фактор</w:t>
            </w:r>
          </w:p>
        </w:tc>
        <w:tc>
          <w:tcPr>
            <w:tcW w:w="3833" w:type="dxa"/>
            <w:tcBorders>
              <w:top w:val="single" w:sz="4" w:space="0" w:color="000000"/>
              <w:left w:val="single" w:sz="4" w:space="0" w:color="000000"/>
              <w:bottom w:val="double" w:sz="4" w:space="0" w:color="000000"/>
              <w:right w:val="single" w:sz="4" w:space="0" w:color="000000"/>
            </w:tcBorders>
            <w:shd w:val="clear" w:color="auto" w:fill="auto"/>
          </w:tcPr>
          <w:p w14:paraId="2BDD8968" w14:textId="77777777" w:rsidR="00651284" w:rsidRPr="003B10E2" w:rsidRDefault="00651284" w:rsidP="00651284">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F</w:t>
            </w:r>
          </w:p>
        </w:tc>
      </w:tr>
      <w:tr w:rsidR="00651284" w:rsidRPr="003B10E2" w14:paraId="4B339DCD" w14:textId="77777777" w:rsidTr="00651284">
        <w:trPr>
          <w:trHeight w:val="323"/>
          <w:jc w:val="center"/>
        </w:trPr>
        <w:tc>
          <w:tcPr>
            <w:tcW w:w="5507" w:type="dxa"/>
            <w:tcBorders>
              <w:top w:val="double" w:sz="4" w:space="0" w:color="000000"/>
              <w:left w:val="single" w:sz="4" w:space="0" w:color="000000"/>
              <w:bottom w:val="single" w:sz="4" w:space="0" w:color="000000"/>
              <w:right w:val="single" w:sz="4" w:space="0" w:color="000000"/>
            </w:tcBorders>
            <w:shd w:val="clear" w:color="auto" w:fill="auto"/>
          </w:tcPr>
          <w:p w14:paraId="62537194" w14:textId="77777777" w:rsidR="00651284" w:rsidRPr="003B10E2" w:rsidRDefault="00651284" w:rsidP="00651284">
            <w:pPr>
              <w:widowControl w:val="0"/>
              <w:spacing w:after="0" w:line="360" w:lineRule="auto"/>
              <w:rPr>
                <w:rFonts w:ascii="Times New Roman" w:hAnsi="Times New Roman"/>
                <w:color w:val="000000"/>
                <w:sz w:val="24"/>
                <w:szCs w:val="24"/>
              </w:rPr>
            </w:pPr>
            <w:r w:rsidRPr="003B10E2">
              <w:rPr>
                <w:rFonts w:ascii="Times New Roman" w:hAnsi="Times New Roman"/>
                <w:color w:val="000000"/>
                <w:sz w:val="24"/>
                <w:szCs w:val="24"/>
              </w:rPr>
              <w:t>∑ log CPI</w:t>
            </w:r>
          </w:p>
        </w:tc>
        <w:tc>
          <w:tcPr>
            <w:tcW w:w="3833" w:type="dxa"/>
            <w:tcBorders>
              <w:top w:val="double" w:sz="4" w:space="0" w:color="000000"/>
              <w:bottom w:val="single" w:sz="4" w:space="0" w:color="000000"/>
              <w:right w:val="single" w:sz="4" w:space="0" w:color="000000"/>
            </w:tcBorders>
            <w:shd w:val="clear" w:color="auto" w:fill="auto"/>
            <w:vAlign w:val="bottom"/>
          </w:tcPr>
          <w:p w14:paraId="363931AE" w14:textId="77777777" w:rsidR="00651284" w:rsidRPr="003B10E2" w:rsidRDefault="00651284" w:rsidP="00651284">
            <w:pPr>
              <w:widowControl w:val="0"/>
              <w:spacing w:after="0" w:line="360" w:lineRule="auto"/>
              <w:rPr>
                <w:rFonts w:ascii="Times New Roman" w:hAnsi="Times New Roman"/>
                <w:color w:val="000000"/>
                <w:sz w:val="24"/>
                <w:szCs w:val="24"/>
              </w:rPr>
            </w:pPr>
            <w:r w:rsidRPr="003B10E2">
              <w:rPr>
                <w:rFonts w:ascii="Times New Roman" w:hAnsi="Times New Roman"/>
                <w:color w:val="000000"/>
                <w:sz w:val="24"/>
                <w:szCs w:val="24"/>
              </w:rPr>
              <w:t>0.90</w:t>
            </w:r>
          </w:p>
        </w:tc>
      </w:tr>
      <w:tr w:rsidR="00651284" w:rsidRPr="003B10E2" w14:paraId="50DEE969" w14:textId="77777777" w:rsidTr="00651284">
        <w:trPr>
          <w:trHeight w:val="323"/>
          <w:jc w:val="center"/>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639A727" w14:textId="77777777" w:rsidR="00651284" w:rsidRPr="003B10E2" w:rsidRDefault="00651284" w:rsidP="00651284">
            <w:pPr>
              <w:widowControl w:val="0"/>
              <w:spacing w:after="0" w:line="360" w:lineRule="auto"/>
              <w:rPr>
                <w:rFonts w:ascii="Times New Roman" w:hAnsi="Times New Roman"/>
                <w:color w:val="000000"/>
                <w:sz w:val="24"/>
                <w:szCs w:val="24"/>
              </w:rPr>
            </w:pPr>
            <w:r w:rsidRPr="003B10E2">
              <w:rPr>
                <w:rFonts w:ascii="Times New Roman" w:hAnsi="Times New Roman"/>
                <w:color w:val="000000"/>
                <w:sz w:val="24"/>
                <w:szCs w:val="24"/>
              </w:rPr>
              <w:t>∑ log GDP</w:t>
            </w:r>
          </w:p>
        </w:tc>
        <w:tc>
          <w:tcPr>
            <w:tcW w:w="3833" w:type="dxa"/>
            <w:tcBorders>
              <w:top w:val="single" w:sz="4" w:space="0" w:color="000000"/>
              <w:bottom w:val="single" w:sz="4" w:space="0" w:color="000000"/>
              <w:right w:val="single" w:sz="4" w:space="0" w:color="000000"/>
            </w:tcBorders>
            <w:shd w:val="clear" w:color="auto" w:fill="auto"/>
            <w:vAlign w:val="bottom"/>
          </w:tcPr>
          <w:p w14:paraId="3CCE494D" w14:textId="77777777" w:rsidR="00651284" w:rsidRPr="003B10E2" w:rsidRDefault="00651284" w:rsidP="00651284">
            <w:pPr>
              <w:widowControl w:val="0"/>
              <w:spacing w:after="0" w:line="360" w:lineRule="auto"/>
              <w:rPr>
                <w:rFonts w:ascii="Times New Roman" w:hAnsi="Times New Roman"/>
                <w:color w:val="000000"/>
                <w:sz w:val="24"/>
                <w:szCs w:val="24"/>
              </w:rPr>
            </w:pPr>
            <w:r w:rsidRPr="003B10E2">
              <w:rPr>
                <w:rFonts w:ascii="Times New Roman" w:hAnsi="Times New Roman"/>
                <w:color w:val="000000"/>
                <w:sz w:val="24"/>
                <w:szCs w:val="24"/>
              </w:rPr>
              <w:t>1.71</w:t>
            </w:r>
          </w:p>
        </w:tc>
      </w:tr>
      <w:tr w:rsidR="00651284" w:rsidRPr="003B10E2" w14:paraId="4E3CC949" w14:textId="77777777" w:rsidTr="00651284">
        <w:trPr>
          <w:trHeight w:val="323"/>
          <w:jc w:val="center"/>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2AD4434" w14:textId="77777777" w:rsidR="00651284" w:rsidRPr="003B10E2" w:rsidRDefault="00651284" w:rsidP="00651284">
            <w:pPr>
              <w:widowControl w:val="0"/>
              <w:spacing w:after="0" w:line="360" w:lineRule="auto"/>
              <w:rPr>
                <w:rFonts w:ascii="Times New Roman" w:hAnsi="Times New Roman"/>
                <w:color w:val="000000"/>
                <w:sz w:val="24"/>
                <w:szCs w:val="24"/>
              </w:rPr>
            </w:pPr>
            <w:r w:rsidRPr="003B10E2">
              <w:rPr>
                <w:rFonts w:ascii="Times New Roman" w:hAnsi="Times New Roman"/>
                <w:color w:val="000000"/>
                <w:sz w:val="24"/>
                <w:szCs w:val="24"/>
              </w:rPr>
              <w:t>∑ log EXPORT</w:t>
            </w:r>
          </w:p>
        </w:tc>
        <w:tc>
          <w:tcPr>
            <w:tcW w:w="3833" w:type="dxa"/>
            <w:tcBorders>
              <w:top w:val="single" w:sz="4" w:space="0" w:color="000000"/>
              <w:bottom w:val="single" w:sz="4" w:space="0" w:color="000000"/>
              <w:right w:val="single" w:sz="4" w:space="0" w:color="000000"/>
            </w:tcBorders>
            <w:shd w:val="clear" w:color="auto" w:fill="auto"/>
            <w:vAlign w:val="bottom"/>
          </w:tcPr>
          <w:p w14:paraId="1C1E3750" w14:textId="77777777" w:rsidR="00651284" w:rsidRPr="003B10E2" w:rsidRDefault="00651284" w:rsidP="00651284">
            <w:pPr>
              <w:widowControl w:val="0"/>
              <w:spacing w:after="0" w:line="360" w:lineRule="auto"/>
              <w:rPr>
                <w:rFonts w:ascii="Times New Roman" w:hAnsi="Times New Roman"/>
                <w:color w:val="000000"/>
                <w:sz w:val="24"/>
                <w:szCs w:val="24"/>
              </w:rPr>
            </w:pPr>
            <w:r w:rsidRPr="003B10E2">
              <w:rPr>
                <w:rFonts w:ascii="Times New Roman" w:hAnsi="Times New Roman"/>
                <w:color w:val="000000"/>
                <w:sz w:val="24"/>
                <w:szCs w:val="24"/>
              </w:rPr>
              <w:t>0.60</w:t>
            </w:r>
          </w:p>
        </w:tc>
      </w:tr>
      <w:tr w:rsidR="00651284" w:rsidRPr="003B10E2" w14:paraId="3B76C5CB" w14:textId="77777777" w:rsidTr="00651284">
        <w:trPr>
          <w:trHeight w:val="323"/>
          <w:jc w:val="center"/>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0D02CB77" w14:textId="77777777" w:rsidR="00651284" w:rsidRPr="003B10E2" w:rsidRDefault="00651284" w:rsidP="00651284">
            <w:pPr>
              <w:widowControl w:val="0"/>
              <w:spacing w:after="0" w:line="360" w:lineRule="auto"/>
              <w:rPr>
                <w:rFonts w:ascii="Times New Roman" w:hAnsi="Times New Roman"/>
                <w:color w:val="000000"/>
                <w:sz w:val="24"/>
                <w:szCs w:val="24"/>
              </w:rPr>
            </w:pPr>
            <w:r w:rsidRPr="003B10E2">
              <w:rPr>
                <w:rFonts w:ascii="Times New Roman" w:hAnsi="Times New Roman"/>
                <w:color w:val="000000"/>
                <w:sz w:val="24"/>
                <w:szCs w:val="24"/>
              </w:rPr>
              <w:t>∑ log OIL</w:t>
            </w:r>
          </w:p>
        </w:tc>
        <w:tc>
          <w:tcPr>
            <w:tcW w:w="3833" w:type="dxa"/>
            <w:tcBorders>
              <w:top w:val="single" w:sz="4" w:space="0" w:color="000000"/>
              <w:bottom w:val="single" w:sz="4" w:space="0" w:color="000000"/>
              <w:right w:val="single" w:sz="4" w:space="0" w:color="000000"/>
            </w:tcBorders>
            <w:shd w:val="clear" w:color="auto" w:fill="auto"/>
            <w:vAlign w:val="bottom"/>
          </w:tcPr>
          <w:p w14:paraId="3F4454D2" w14:textId="77777777" w:rsidR="00651284" w:rsidRPr="003B10E2" w:rsidRDefault="00651284" w:rsidP="00651284">
            <w:pPr>
              <w:widowControl w:val="0"/>
              <w:spacing w:after="0" w:line="360" w:lineRule="auto"/>
              <w:rPr>
                <w:rFonts w:ascii="Times New Roman" w:hAnsi="Times New Roman"/>
                <w:color w:val="000000"/>
                <w:sz w:val="24"/>
                <w:szCs w:val="24"/>
              </w:rPr>
            </w:pPr>
            <w:r w:rsidRPr="003B10E2">
              <w:rPr>
                <w:rFonts w:ascii="Times New Roman" w:hAnsi="Times New Roman"/>
                <w:color w:val="000000"/>
                <w:sz w:val="24"/>
                <w:szCs w:val="24"/>
              </w:rPr>
              <w:t>2.29</w:t>
            </w:r>
          </w:p>
        </w:tc>
      </w:tr>
      <w:tr w:rsidR="00651284" w:rsidRPr="003B10E2" w14:paraId="10FFE60B" w14:textId="77777777" w:rsidTr="00651284">
        <w:trPr>
          <w:trHeight w:val="323"/>
          <w:jc w:val="center"/>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68EDDDA" w14:textId="77777777" w:rsidR="00651284" w:rsidRPr="003B10E2" w:rsidRDefault="00651284" w:rsidP="00651284">
            <w:pPr>
              <w:widowControl w:val="0"/>
              <w:spacing w:after="0" w:line="360" w:lineRule="auto"/>
              <w:rPr>
                <w:rFonts w:ascii="Times New Roman" w:hAnsi="Times New Roman"/>
                <w:color w:val="000000"/>
                <w:sz w:val="24"/>
                <w:szCs w:val="24"/>
                <w:lang w:val="en-GB"/>
              </w:rPr>
            </w:pPr>
            <w:r w:rsidRPr="003B10E2">
              <w:rPr>
                <w:rFonts w:ascii="Times New Roman" w:hAnsi="Times New Roman"/>
                <w:color w:val="000000"/>
                <w:sz w:val="24"/>
                <w:szCs w:val="24"/>
              </w:rPr>
              <w:t xml:space="preserve">∑ log </w:t>
            </w:r>
            <w:r w:rsidRPr="003B10E2">
              <w:rPr>
                <w:rFonts w:ascii="Times New Roman" w:hAnsi="Times New Roman"/>
                <w:color w:val="000000"/>
                <w:sz w:val="24"/>
                <w:szCs w:val="24"/>
                <w:lang w:val="en-GB"/>
              </w:rPr>
              <w:t>RUB</w:t>
            </w:r>
          </w:p>
        </w:tc>
        <w:tc>
          <w:tcPr>
            <w:tcW w:w="3833" w:type="dxa"/>
            <w:tcBorders>
              <w:top w:val="single" w:sz="4" w:space="0" w:color="000000"/>
              <w:bottom w:val="single" w:sz="4" w:space="0" w:color="000000"/>
              <w:right w:val="single" w:sz="4" w:space="0" w:color="000000"/>
            </w:tcBorders>
            <w:shd w:val="clear" w:color="auto" w:fill="auto"/>
            <w:vAlign w:val="bottom"/>
          </w:tcPr>
          <w:p w14:paraId="41E1DD9F" w14:textId="77777777" w:rsidR="00651284" w:rsidRPr="003B10E2" w:rsidRDefault="00651284" w:rsidP="00651284">
            <w:pPr>
              <w:widowControl w:val="0"/>
              <w:spacing w:after="0" w:line="360" w:lineRule="auto"/>
              <w:rPr>
                <w:rFonts w:ascii="Times New Roman" w:hAnsi="Times New Roman"/>
                <w:color w:val="000000"/>
                <w:sz w:val="24"/>
                <w:szCs w:val="24"/>
                <w:lang w:val="en-GB"/>
              </w:rPr>
            </w:pPr>
            <w:r w:rsidRPr="003B10E2">
              <w:rPr>
                <w:rFonts w:ascii="Times New Roman" w:hAnsi="Times New Roman"/>
                <w:color w:val="000000"/>
                <w:sz w:val="24"/>
                <w:szCs w:val="24"/>
                <w:lang w:val="en-GB"/>
              </w:rPr>
              <w:t>1</w:t>
            </w:r>
            <w:r w:rsidRPr="003B10E2">
              <w:rPr>
                <w:rFonts w:ascii="Times New Roman" w:hAnsi="Times New Roman"/>
                <w:color w:val="000000"/>
                <w:sz w:val="24"/>
                <w:szCs w:val="24"/>
              </w:rPr>
              <w:t>.</w:t>
            </w:r>
            <w:r w:rsidRPr="003B10E2">
              <w:rPr>
                <w:rFonts w:ascii="Times New Roman" w:hAnsi="Times New Roman"/>
                <w:color w:val="000000"/>
                <w:sz w:val="24"/>
                <w:szCs w:val="24"/>
                <w:lang w:val="en-GB"/>
              </w:rPr>
              <w:t>17</w:t>
            </w:r>
          </w:p>
        </w:tc>
      </w:tr>
    </w:tbl>
    <w:p w14:paraId="44290033" w14:textId="77777777" w:rsidR="00651284" w:rsidRPr="003B10E2" w:rsidRDefault="00651284" w:rsidP="00467D23">
      <w:pPr>
        <w:spacing w:after="0" w:line="360" w:lineRule="auto"/>
      </w:pPr>
      <w:r w:rsidRPr="003B10E2">
        <w:rPr>
          <w:rFonts w:ascii="Times New Roman" w:hAnsi="Times New Roman"/>
          <w:color w:val="000000"/>
          <w:sz w:val="24"/>
          <w:szCs w:val="24"/>
        </w:rPr>
        <w:t>Источник: расчеты автора.</w:t>
      </w:r>
    </w:p>
    <w:p w14:paraId="73F973F3" w14:textId="77777777" w:rsidR="00D727AE" w:rsidRPr="003B10E2" w:rsidRDefault="00D727AE" w:rsidP="00651284">
      <w:pPr>
        <w:spacing w:after="0" w:line="360" w:lineRule="auto"/>
        <w:ind w:firstLine="708"/>
        <w:jc w:val="both"/>
        <w:rPr>
          <w:rFonts w:ascii="Times New Roman" w:hAnsi="Times New Roman"/>
          <w:color w:val="000000"/>
          <w:sz w:val="28"/>
          <w:szCs w:val="28"/>
        </w:rPr>
      </w:pPr>
    </w:p>
    <w:p w14:paraId="43E21FCC" w14:textId="77777777" w:rsidR="00651284" w:rsidRPr="003B10E2" w:rsidRDefault="00651284" w:rsidP="00651284">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Результаты теста Грейнджера причинности для модели говорят, что цена на нефть оказывает наибольшее влияние на капитализацию компаний, входящих в индекс Московской биржи в кратк</w:t>
      </w:r>
      <w:r w:rsidR="00D727AE" w:rsidRPr="003B10E2">
        <w:rPr>
          <w:rFonts w:ascii="Times New Roman" w:hAnsi="Times New Roman"/>
          <w:color w:val="000000"/>
          <w:sz w:val="28"/>
          <w:szCs w:val="28"/>
        </w:rPr>
        <w:t>осрочной перспективе (таблица 1</w:t>
      </w:r>
      <w:r w:rsidR="009D7B82" w:rsidRPr="003B10E2">
        <w:rPr>
          <w:rFonts w:ascii="Times New Roman" w:hAnsi="Times New Roman"/>
          <w:color w:val="000000"/>
          <w:sz w:val="28"/>
          <w:szCs w:val="28"/>
        </w:rPr>
        <w:t>9</w:t>
      </w:r>
      <w:r w:rsidRPr="003B10E2">
        <w:rPr>
          <w:rFonts w:ascii="Times New Roman" w:hAnsi="Times New Roman"/>
          <w:color w:val="000000"/>
          <w:sz w:val="28"/>
          <w:szCs w:val="28"/>
        </w:rPr>
        <w:t xml:space="preserve">). </w:t>
      </w:r>
    </w:p>
    <w:p w14:paraId="54EAABF3" w14:textId="77777777" w:rsidR="00BD4CB0" w:rsidRPr="003B10E2" w:rsidRDefault="00651284" w:rsidP="00872037">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Результаты исследования коинтеграции и причинно-следственной связи Грейнджера показывают, что мировые цены на сырую нефть напрямую влияют на капитализацию компаний, входящих в индекс Московской биржи. Причиной такой зависимости, скорее всего, является высокая доля экспорта нефтепродуктов в общем объеме экспорта, а также действующий в стране плавающий обменный курс</w:t>
      </w:r>
      <w:r w:rsidR="00EC74C6" w:rsidRPr="003B10E2">
        <w:rPr>
          <w:rFonts w:ascii="Times New Roman" w:hAnsi="Times New Roman"/>
          <w:color w:val="000000"/>
          <w:sz w:val="28"/>
          <w:szCs w:val="28"/>
        </w:rPr>
        <w:t xml:space="preserve"> (таблица 13</w:t>
      </w:r>
      <w:r w:rsidRPr="003B10E2">
        <w:rPr>
          <w:rFonts w:ascii="Times New Roman" w:hAnsi="Times New Roman"/>
          <w:color w:val="000000"/>
          <w:sz w:val="28"/>
          <w:szCs w:val="28"/>
        </w:rPr>
        <w:t>).</w:t>
      </w:r>
    </w:p>
    <w:p w14:paraId="49D3771F" w14:textId="77777777" w:rsidR="00651284" w:rsidRPr="003B10E2" w:rsidRDefault="00467D23" w:rsidP="00651284">
      <w:pPr>
        <w:spacing w:after="0" w:line="240" w:lineRule="auto"/>
        <w:contextualSpacing/>
        <w:jc w:val="both"/>
        <w:rPr>
          <w:rFonts w:ascii="Times New Roman" w:hAnsi="Times New Roman"/>
          <w:color w:val="000000"/>
          <w:sz w:val="24"/>
          <w:szCs w:val="24"/>
        </w:rPr>
      </w:pPr>
      <w:r w:rsidRPr="003B10E2">
        <w:rPr>
          <w:rFonts w:ascii="Times New Roman" w:hAnsi="Times New Roman"/>
          <w:color w:val="000000"/>
          <w:sz w:val="24"/>
          <w:szCs w:val="24"/>
        </w:rPr>
        <w:t>Та</w:t>
      </w:r>
      <w:r w:rsidR="00EC74C6" w:rsidRPr="003B10E2">
        <w:rPr>
          <w:rFonts w:ascii="Times New Roman" w:hAnsi="Times New Roman"/>
          <w:color w:val="000000"/>
          <w:sz w:val="24"/>
          <w:szCs w:val="24"/>
        </w:rPr>
        <w:t>блица 1</w:t>
      </w:r>
      <w:r w:rsidR="009D7B82" w:rsidRPr="003B10E2">
        <w:rPr>
          <w:rFonts w:ascii="Times New Roman" w:hAnsi="Times New Roman"/>
          <w:color w:val="000000"/>
          <w:sz w:val="24"/>
          <w:szCs w:val="24"/>
        </w:rPr>
        <w:t>9</w:t>
      </w:r>
      <w:r w:rsidRPr="003B10E2">
        <w:rPr>
          <w:rFonts w:ascii="Times New Roman" w:hAnsi="Times New Roman"/>
          <w:color w:val="000000"/>
          <w:sz w:val="24"/>
          <w:szCs w:val="24"/>
        </w:rPr>
        <w:t xml:space="preserve"> –</w:t>
      </w:r>
      <w:r w:rsidR="00651284" w:rsidRPr="003B10E2">
        <w:rPr>
          <w:rFonts w:ascii="Times New Roman" w:hAnsi="Times New Roman"/>
          <w:color w:val="000000"/>
          <w:sz w:val="24"/>
          <w:szCs w:val="24"/>
        </w:rPr>
        <w:t xml:space="preserve"> </w:t>
      </w:r>
      <w:bookmarkStart w:id="203" w:name="_Hlk131417623"/>
      <w:r w:rsidR="00651284" w:rsidRPr="003B10E2">
        <w:rPr>
          <w:rFonts w:ascii="Times New Roman" w:hAnsi="Times New Roman"/>
          <w:color w:val="000000"/>
          <w:sz w:val="24"/>
          <w:szCs w:val="24"/>
        </w:rPr>
        <w:t>Связь между факторами, воздействующими на поведение инвесторов, и структурными изменениями</w:t>
      </w:r>
    </w:p>
    <w:p w14:paraId="508DC50A" w14:textId="77777777" w:rsidR="001D1D36" w:rsidRPr="003B10E2" w:rsidRDefault="001D1D36" w:rsidP="00651284">
      <w:pPr>
        <w:spacing w:after="0" w:line="240" w:lineRule="auto"/>
        <w:contextualSpacing/>
        <w:jc w:val="both"/>
        <w:rPr>
          <w:rFonts w:ascii="Times New Roman" w:hAnsi="Times New Roman"/>
          <w:color w:val="000000"/>
          <w:sz w:val="24"/>
          <w:szCs w:val="24"/>
        </w:rPr>
      </w:pPr>
    </w:p>
    <w:tbl>
      <w:tblPr>
        <w:tblW w:w="9351" w:type="dxa"/>
        <w:tblLayout w:type="fixed"/>
        <w:tblLook w:val="04A0" w:firstRow="1" w:lastRow="0" w:firstColumn="1" w:lastColumn="0" w:noHBand="0" w:noVBand="1"/>
      </w:tblPr>
      <w:tblGrid>
        <w:gridCol w:w="1696"/>
        <w:gridCol w:w="7655"/>
      </w:tblGrid>
      <w:tr w:rsidR="00651284" w:rsidRPr="003B10E2" w14:paraId="1F49EBB7" w14:textId="77777777" w:rsidTr="00BD4CB0">
        <w:trPr>
          <w:trHeight w:val="353"/>
        </w:trPr>
        <w:tc>
          <w:tcPr>
            <w:tcW w:w="1696" w:type="dxa"/>
            <w:tcBorders>
              <w:top w:val="single" w:sz="4" w:space="0" w:color="000000"/>
              <w:left w:val="single" w:sz="4" w:space="0" w:color="000000"/>
              <w:bottom w:val="double" w:sz="4" w:space="0" w:color="000000"/>
              <w:right w:val="single" w:sz="4" w:space="0" w:color="000000"/>
            </w:tcBorders>
            <w:shd w:val="clear" w:color="auto" w:fill="auto"/>
          </w:tcPr>
          <w:bookmarkEnd w:id="203"/>
          <w:p w14:paraId="69CCF63C" w14:textId="77777777" w:rsidR="00651284" w:rsidRPr="003B10E2" w:rsidRDefault="00651284" w:rsidP="00651284">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Фактор</w:t>
            </w:r>
          </w:p>
        </w:tc>
        <w:tc>
          <w:tcPr>
            <w:tcW w:w="7655" w:type="dxa"/>
            <w:tcBorders>
              <w:top w:val="single" w:sz="4" w:space="0" w:color="000000"/>
              <w:left w:val="single" w:sz="4" w:space="0" w:color="000000"/>
              <w:bottom w:val="double" w:sz="4" w:space="0" w:color="000000"/>
              <w:right w:val="single" w:sz="4" w:space="0" w:color="000000"/>
            </w:tcBorders>
            <w:shd w:val="clear" w:color="auto" w:fill="auto"/>
          </w:tcPr>
          <w:p w14:paraId="770F4152" w14:textId="77777777" w:rsidR="00651284" w:rsidRPr="003B10E2" w:rsidRDefault="00651284" w:rsidP="00651284">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Структурные изменения</w:t>
            </w:r>
          </w:p>
        </w:tc>
      </w:tr>
      <w:tr w:rsidR="00651284" w:rsidRPr="003B10E2" w14:paraId="26C3BF45" w14:textId="77777777" w:rsidTr="00BD4CB0">
        <w:trPr>
          <w:trHeight w:val="1393"/>
        </w:trPr>
        <w:tc>
          <w:tcPr>
            <w:tcW w:w="1696" w:type="dxa"/>
            <w:tcBorders>
              <w:top w:val="double" w:sz="4" w:space="0" w:color="000000"/>
              <w:left w:val="single" w:sz="4" w:space="0" w:color="000000"/>
              <w:bottom w:val="single" w:sz="4" w:space="0" w:color="000000"/>
              <w:right w:val="single" w:sz="4" w:space="0" w:color="000000"/>
            </w:tcBorders>
            <w:shd w:val="clear" w:color="auto" w:fill="auto"/>
          </w:tcPr>
          <w:p w14:paraId="71E487F2" w14:textId="77777777" w:rsidR="00651284" w:rsidRPr="003B10E2" w:rsidRDefault="00651284" w:rsidP="00651284">
            <w:pPr>
              <w:widowControl w:val="0"/>
              <w:spacing w:after="0" w:line="240" w:lineRule="auto"/>
              <w:rPr>
                <w:rFonts w:ascii="Times New Roman" w:hAnsi="Times New Roman"/>
                <w:color w:val="000000"/>
                <w:sz w:val="24"/>
                <w:szCs w:val="24"/>
              </w:rPr>
            </w:pPr>
            <w:r w:rsidRPr="003B10E2">
              <w:rPr>
                <w:rFonts w:ascii="Times New Roman" w:hAnsi="Times New Roman"/>
                <w:color w:val="000000"/>
                <w:sz w:val="24"/>
                <w:szCs w:val="24"/>
              </w:rPr>
              <w:t>Цены на сырье</w:t>
            </w:r>
          </w:p>
        </w:tc>
        <w:tc>
          <w:tcPr>
            <w:tcW w:w="7655" w:type="dxa"/>
            <w:tcBorders>
              <w:top w:val="double" w:sz="4" w:space="0" w:color="000000"/>
              <w:left w:val="single" w:sz="4" w:space="0" w:color="000000"/>
              <w:bottom w:val="single" w:sz="4" w:space="0" w:color="000000"/>
              <w:right w:val="single" w:sz="4" w:space="0" w:color="000000"/>
            </w:tcBorders>
            <w:shd w:val="clear" w:color="auto" w:fill="auto"/>
          </w:tcPr>
          <w:p w14:paraId="67403F28" w14:textId="77777777" w:rsidR="00651284" w:rsidRPr="003B10E2" w:rsidRDefault="00651284" w:rsidP="00651284">
            <w:pPr>
              <w:widowControl w:val="0"/>
              <w:spacing w:after="0" w:line="240" w:lineRule="auto"/>
              <w:rPr>
                <w:rFonts w:ascii="Times New Roman" w:hAnsi="Times New Roman"/>
                <w:sz w:val="24"/>
                <w:szCs w:val="24"/>
              </w:rPr>
            </w:pPr>
            <w:r w:rsidRPr="003B10E2">
              <w:rPr>
                <w:rFonts w:ascii="Times New Roman" w:hAnsi="Times New Roman"/>
                <w:sz w:val="24"/>
                <w:szCs w:val="24"/>
              </w:rPr>
              <w:t xml:space="preserve">При росте на 1% цен на сырье на российском рынке акций инвесторы увеличивают вложения, что вызывает рост капитализации рынка акций в долларах 0,65%. При снижении цен на сырье, возникает уход инвесторов из рискованных активов, и капитализация в долларах падает аналогичным образом.  </w:t>
            </w:r>
          </w:p>
        </w:tc>
      </w:tr>
      <w:tr w:rsidR="00651284" w:rsidRPr="003B10E2" w14:paraId="112F6701" w14:textId="77777777" w:rsidTr="00BD4CB0">
        <w:trPr>
          <w:trHeight w:val="735"/>
        </w:trPr>
        <w:tc>
          <w:tcPr>
            <w:tcW w:w="1696" w:type="dxa"/>
            <w:tcBorders>
              <w:top w:val="single" w:sz="4" w:space="0" w:color="000000"/>
              <w:left w:val="single" w:sz="4" w:space="0" w:color="000000"/>
              <w:bottom w:val="single" w:sz="4" w:space="0" w:color="000000"/>
              <w:right w:val="single" w:sz="4" w:space="0" w:color="000000"/>
            </w:tcBorders>
            <w:shd w:val="clear" w:color="auto" w:fill="auto"/>
          </w:tcPr>
          <w:p w14:paraId="3E8D7676" w14:textId="77777777" w:rsidR="00651284" w:rsidRPr="003B10E2" w:rsidRDefault="00651284" w:rsidP="00651284">
            <w:pPr>
              <w:widowControl w:val="0"/>
              <w:spacing w:after="0" w:line="240" w:lineRule="auto"/>
              <w:rPr>
                <w:rFonts w:ascii="Times New Roman" w:hAnsi="Times New Roman"/>
                <w:color w:val="000000"/>
                <w:sz w:val="24"/>
                <w:szCs w:val="24"/>
              </w:rPr>
            </w:pPr>
            <w:r w:rsidRPr="003B10E2">
              <w:rPr>
                <w:rFonts w:ascii="Times New Roman" w:hAnsi="Times New Roman"/>
                <w:color w:val="000000"/>
                <w:sz w:val="24"/>
                <w:szCs w:val="24"/>
              </w:rPr>
              <w:t xml:space="preserve">Рост экономики </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54064FC7" w14:textId="77777777" w:rsidR="00651284" w:rsidRPr="003B10E2" w:rsidRDefault="00651284" w:rsidP="00651284">
            <w:pPr>
              <w:widowControl w:val="0"/>
              <w:spacing w:after="0" w:line="240" w:lineRule="auto"/>
              <w:rPr>
                <w:rFonts w:ascii="Times New Roman" w:hAnsi="Times New Roman"/>
                <w:sz w:val="24"/>
                <w:szCs w:val="24"/>
              </w:rPr>
            </w:pPr>
            <w:r w:rsidRPr="003B10E2">
              <w:rPr>
                <w:rFonts w:ascii="Times New Roman" w:hAnsi="Times New Roman"/>
                <w:sz w:val="24"/>
                <w:szCs w:val="24"/>
              </w:rPr>
              <w:t xml:space="preserve">При росте на 1% ВВП акции всех российских компаний растут, происходит приток инвесторов на рынок капитала страны в размере и рост капитализации компаний, входящих в индекс Московской биржи, на 0,1-0,5% в зависимости от характера роста ВВП, и наоборот.  </w:t>
            </w:r>
          </w:p>
        </w:tc>
      </w:tr>
      <w:tr w:rsidR="00651284" w:rsidRPr="003B10E2" w14:paraId="09BF8C8F" w14:textId="77777777" w:rsidTr="00BD4CB0">
        <w:trPr>
          <w:trHeight w:val="735"/>
        </w:trPr>
        <w:tc>
          <w:tcPr>
            <w:tcW w:w="1696" w:type="dxa"/>
            <w:tcBorders>
              <w:top w:val="single" w:sz="4" w:space="0" w:color="000000"/>
              <w:left w:val="single" w:sz="4" w:space="0" w:color="000000"/>
              <w:bottom w:val="single" w:sz="4" w:space="0" w:color="000000"/>
              <w:right w:val="single" w:sz="4" w:space="0" w:color="000000"/>
            </w:tcBorders>
            <w:shd w:val="clear" w:color="auto" w:fill="auto"/>
          </w:tcPr>
          <w:p w14:paraId="628F3F71" w14:textId="77777777" w:rsidR="00651284" w:rsidRPr="003B10E2" w:rsidRDefault="00651284" w:rsidP="00651284">
            <w:pPr>
              <w:widowControl w:val="0"/>
              <w:spacing w:after="0" w:line="240" w:lineRule="auto"/>
              <w:rPr>
                <w:rFonts w:ascii="Times New Roman" w:hAnsi="Times New Roman"/>
                <w:color w:val="000000"/>
                <w:sz w:val="24"/>
                <w:szCs w:val="24"/>
              </w:rPr>
            </w:pPr>
            <w:r w:rsidRPr="003B10E2">
              <w:rPr>
                <w:rFonts w:ascii="Times New Roman" w:hAnsi="Times New Roman"/>
                <w:color w:val="000000"/>
                <w:sz w:val="24"/>
                <w:szCs w:val="24"/>
              </w:rPr>
              <w:t>Валютный курс</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2C81C717" w14:textId="77777777" w:rsidR="00651284" w:rsidRPr="003B10E2" w:rsidRDefault="00651284" w:rsidP="00651284">
            <w:pPr>
              <w:widowControl w:val="0"/>
              <w:spacing w:after="0" w:line="240" w:lineRule="auto"/>
              <w:rPr>
                <w:rFonts w:ascii="Times New Roman" w:hAnsi="Times New Roman"/>
                <w:sz w:val="24"/>
                <w:szCs w:val="24"/>
              </w:rPr>
            </w:pPr>
            <w:r w:rsidRPr="003B10E2">
              <w:rPr>
                <w:rFonts w:ascii="Times New Roman" w:hAnsi="Times New Roman"/>
                <w:sz w:val="24"/>
                <w:szCs w:val="24"/>
              </w:rPr>
              <w:t>Валютный курс немедленно отражается на акциях экспортеров: их стоимость может упасть вместе с падением всего рынка.</w:t>
            </w:r>
            <w:r w:rsidRPr="003B10E2">
              <w:t xml:space="preserve"> </w:t>
            </w:r>
            <w:r w:rsidRPr="003B10E2">
              <w:rPr>
                <w:rFonts w:ascii="Times New Roman" w:hAnsi="Times New Roman"/>
                <w:sz w:val="24"/>
                <w:szCs w:val="24"/>
              </w:rPr>
              <w:t>При этом,</w:t>
            </w:r>
            <w:r w:rsidRPr="003B10E2">
              <w:t xml:space="preserve"> </w:t>
            </w:r>
            <w:r w:rsidRPr="003B10E2">
              <w:rPr>
                <w:rFonts w:ascii="Times New Roman" w:hAnsi="Times New Roman"/>
                <w:sz w:val="24"/>
                <w:szCs w:val="24"/>
              </w:rPr>
              <w:t>маржинальность бизнеса эк</w:t>
            </w:r>
            <w:r w:rsidRPr="003B10E2">
              <w:rPr>
                <w:rFonts w:ascii="Times New Roman" w:hAnsi="Times New Roman"/>
                <w:sz w:val="24"/>
                <w:szCs w:val="24"/>
                <w:lang w:val="en-US"/>
              </w:rPr>
              <w:t>c</w:t>
            </w:r>
            <w:r w:rsidRPr="003B10E2">
              <w:rPr>
                <w:rFonts w:ascii="Times New Roman" w:hAnsi="Times New Roman"/>
                <w:sz w:val="24"/>
                <w:szCs w:val="24"/>
              </w:rPr>
              <w:t xml:space="preserve">портеров растет, поэтому их акции испытали шок в цене в моменты кризисов и быстро восстановили потери.  При росте на 1% курса доллара США в рублях акции в среднем снижаются на 0.9%.  </w:t>
            </w:r>
          </w:p>
        </w:tc>
      </w:tr>
      <w:tr w:rsidR="00651284" w:rsidRPr="003B10E2" w14:paraId="2D9C661F" w14:textId="77777777" w:rsidTr="00BD4CB0">
        <w:trPr>
          <w:trHeight w:val="735"/>
        </w:trPr>
        <w:tc>
          <w:tcPr>
            <w:tcW w:w="1696" w:type="dxa"/>
            <w:tcBorders>
              <w:top w:val="single" w:sz="4" w:space="0" w:color="000000"/>
              <w:left w:val="single" w:sz="4" w:space="0" w:color="000000"/>
              <w:bottom w:val="single" w:sz="4" w:space="0" w:color="000000"/>
              <w:right w:val="single" w:sz="4" w:space="0" w:color="000000"/>
            </w:tcBorders>
            <w:shd w:val="clear" w:color="auto" w:fill="auto"/>
          </w:tcPr>
          <w:p w14:paraId="147FFD34" w14:textId="77777777" w:rsidR="00651284" w:rsidRPr="003B10E2" w:rsidRDefault="00651284" w:rsidP="00651284">
            <w:pPr>
              <w:widowControl w:val="0"/>
              <w:spacing w:after="0" w:line="240" w:lineRule="auto"/>
              <w:rPr>
                <w:rFonts w:ascii="Times New Roman" w:hAnsi="Times New Roman"/>
                <w:color w:val="000000"/>
                <w:sz w:val="24"/>
                <w:szCs w:val="24"/>
              </w:rPr>
            </w:pPr>
            <w:r w:rsidRPr="003B10E2">
              <w:rPr>
                <w:rFonts w:ascii="Times New Roman" w:hAnsi="Times New Roman"/>
                <w:color w:val="000000"/>
                <w:sz w:val="24"/>
                <w:szCs w:val="24"/>
              </w:rPr>
              <w:t>Индекс потребительских цен (ИПЦ)</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0D2170A9" w14:textId="77777777" w:rsidR="00651284" w:rsidRPr="003B10E2" w:rsidRDefault="00651284" w:rsidP="00651284">
            <w:pPr>
              <w:widowControl w:val="0"/>
              <w:spacing w:after="0" w:line="240" w:lineRule="auto"/>
              <w:rPr>
                <w:rFonts w:ascii="Times New Roman" w:hAnsi="Times New Roman"/>
                <w:sz w:val="24"/>
                <w:szCs w:val="24"/>
              </w:rPr>
            </w:pPr>
            <w:r w:rsidRPr="003B10E2">
              <w:rPr>
                <w:rFonts w:ascii="Times New Roman" w:hAnsi="Times New Roman"/>
                <w:sz w:val="24"/>
                <w:szCs w:val="24"/>
              </w:rPr>
              <w:t xml:space="preserve">При росте на 1% ИПЦ акции всех </w:t>
            </w:r>
          </w:p>
          <w:p w14:paraId="56EBC2C8" w14:textId="77777777" w:rsidR="00651284" w:rsidRPr="003B10E2" w:rsidRDefault="00651284" w:rsidP="00651284">
            <w:pPr>
              <w:widowControl w:val="0"/>
              <w:spacing w:after="0" w:line="240" w:lineRule="auto"/>
              <w:rPr>
                <w:rFonts w:ascii="Times New Roman" w:hAnsi="Times New Roman"/>
                <w:sz w:val="24"/>
                <w:szCs w:val="24"/>
              </w:rPr>
            </w:pPr>
            <w:r w:rsidRPr="003B10E2">
              <w:rPr>
                <w:rFonts w:ascii="Times New Roman" w:hAnsi="Times New Roman"/>
                <w:sz w:val="24"/>
                <w:szCs w:val="24"/>
              </w:rPr>
              <w:t xml:space="preserve">российских компаний снижаются в цене на 0,67 %, что вызывает отток инвесторов с </w:t>
            </w:r>
            <w:r w:rsidR="005D427A" w:rsidRPr="003B10E2">
              <w:rPr>
                <w:rFonts w:ascii="Times New Roman" w:hAnsi="Times New Roman"/>
                <w:sz w:val="24"/>
                <w:szCs w:val="24"/>
              </w:rPr>
              <w:t>мирового рынка капитала</w:t>
            </w:r>
            <w:r w:rsidRPr="003B10E2">
              <w:rPr>
                <w:rFonts w:ascii="Times New Roman" w:hAnsi="Times New Roman"/>
                <w:sz w:val="24"/>
                <w:szCs w:val="24"/>
              </w:rPr>
              <w:t xml:space="preserve">, и наоборот.  </w:t>
            </w:r>
          </w:p>
        </w:tc>
      </w:tr>
      <w:tr w:rsidR="00651284" w:rsidRPr="003B10E2" w14:paraId="51F59394" w14:textId="77777777" w:rsidTr="00BD4CB0">
        <w:trPr>
          <w:trHeight w:val="1166"/>
        </w:trPr>
        <w:tc>
          <w:tcPr>
            <w:tcW w:w="1696" w:type="dxa"/>
            <w:tcBorders>
              <w:top w:val="single" w:sz="4" w:space="0" w:color="000000"/>
              <w:left w:val="single" w:sz="4" w:space="0" w:color="000000"/>
              <w:bottom w:val="single" w:sz="4" w:space="0" w:color="000000"/>
              <w:right w:val="single" w:sz="4" w:space="0" w:color="000000"/>
            </w:tcBorders>
            <w:shd w:val="clear" w:color="auto" w:fill="auto"/>
          </w:tcPr>
          <w:p w14:paraId="64068994" w14:textId="77777777" w:rsidR="00651284" w:rsidRPr="003B10E2" w:rsidRDefault="00651284" w:rsidP="00651284">
            <w:pPr>
              <w:widowControl w:val="0"/>
              <w:spacing w:after="0" w:line="240" w:lineRule="auto"/>
              <w:rPr>
                <w:rFonts w:ascii="Times New Roman" w:hAnsi="Times New Roman"/>
                <w:color w:val="000000"/>
                <w:sz w:val="24"/>
                <w:szCs w:val="24"/>
              </w:rPr>
            </w:pPr>
            <w:r w:rsidRPr="003B10E2">
              <w:rPr>
                <w:rFonts w:ascii="Times New Roman" w:hAnsi="Times New Roman"/>
                <w:color w:val="000000"/>
                <w:sz w:val="24"/>
                <w:szCs w:val="24"/>
              </w:rPr>
              <w:t>Общий экспорт страны</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69D8D631" w14:textId="77777777" w:rsidR="00651284" w:rsidRPr="003B10E2" w:rsidRDefault="00651284" w:rsidP="00651284">
            <w:pPr>
              <w:widowControl w:val="0"/>
              <w:spacing w:after="0" w:line="240" w:lineRule="auto"/>
              <w:rPr>
                <w:rFonts w:ascii="Times New Roman" w:hAnsi="Times New Roman"/>
                <w:sz w:val="24"/>
                <w:szCs w:val="24"/>
              </w:rPr>
            </w:pPr>
            <w:r w:rsidRPr="003B10E2">
              <w:rPr>
                <w:rFonts w:ascii="Times New Roman" w:hAnsi="Times New Roman"/>
                <w:sz w:val="24"/>
                <w:szCs w:val="24"/>
              </w:rPr>
              <w:t xml:space="preserve">При росте на 1% общего экспорта страны акции всех </w:t>
            </w:r>
          </w:p>
          <w:p w14:paraId="3E9E176D" w14:textId="77777777" w:rsidR="00651284" w:rsidRPr="003B10E2" w:rsidRDefault="00651284" w:rsidP="00651284">
            <w:pPr>
              <w:widowControl w:val="0"/>
              <w:spacing w:after="0" w:line="240" w:lineRule="auto"/>
              <w:rPr>
                <w:rFonts w:ascii="Times New Roman" w:hAnsi="Times New Roman"/>
                <w:sz w:val="24"/>
                <w:szCs w:val="24"/>
              </w:rPr>
            </w:pPr>
            <w:r w:rsidRPr="003B10E2">
              <w:rPr>
                <w:rFonts w:ascii="Times New Roman" w:hAnsi="Times New Roman"/>
                <w:sz w:val="24"/>
                <w:szCs w:val="24"/>
              </w:rPr>
              <w:t>российских компаний снижаются в цене на 0,1-0,6%, что вызывает приток инвесторов на рынок капитала страны, и наоборо</w:t>
            </w:r>
            <w:r w:rsidR="00A02EA2" w:rsidRPr="003B10E2">
              <w:rPr>
                <w:rFonts w:ascii="Times New Roman" w:hAnsi="Times New Roman"/>
                <w:sz w:val="24"/>
                <w:szCs w:val="24"/>
              </w:rPr>
              <w:t>т</w:t>
            </w:r>
            <w:r w:rsidRPr="003B10E2">
              <w:rPr>
                <w:rFonts w:ascii="Times New Roman" w:hAnsi="Times New Roman"/>
                <w:sz w:val="24"/>
                <w:szCs w:val="24"/>
              </w:rPr>
              <w:t xml:space="preserve">.  </w:t>
            </w:r>
          </w:p>
        </w:tc>
      </w:tr>
    </w:tbl>
    <w:p w14:paraId="552B6C95" w14:textId="77777777" w:rsidR="00651284" w:rsidRPr="003B10E2" w:rsidRDefault="00651284" w:rsidP="00651284">
      <w:pPr>
        <w:spacing w:after="0" w:line="360" w:lineRule="auto"/>
      </w:pPr>
      <w:r w:rsidRPr="003B10E2">
        <w:rPr>
          <w:rFonts w:ascii="Times New Roman" w:hAnsi="Times New Roman"/>
          <w:color w:val="000000"/>
          <w:sz w:val="24"/>
          <w:szCs w:val="24"/>
        </w:rPr>
        <w:t>Источник: составлено автором.</w:t>
      </w:r>
    </w:p>
    <w:bookmarkEnd w:id="201"/>
    <w:p w14:paraId="7DF16578" w14:textId="77777777" w:rsidR="00651284" w:rsidRPr="003B10E2" w:rsidRDefault="00651284" w:rsidP="00651284">
      <w:pPr>
        <w:spacing w:after="0" w:line="360" w:lineRule="auto"/>
        <w:rPr>
          <w:rFonts w:ascii="Times New Roman" w:hAnsi="Times New Roman"/>
          <w:color w:val="000000"/>
          <w:sz w:val="24"/>
          <w:szCs w:val="24"/>
        </w:rPr>
      </w:pPr>
    </w:p>
    <w:p w14:paraId="30CEA887" w14:textId="77777777" w:rsidR="00651284" w:rsidRPr="003B10E2" w:rsidRDefault="00651284" w:rsidP="00651284">
      <w:pPr>
        <w:spacing w:after="0" w:line="360" w:lineRule="auto"/>
        <w:jc w:val="both"/>
        <w:rPr>
          <w:rFonts w:ascii="Times New Roman" w:hAnsi="Times New Roman"/>
          <w:sz w:val="28"/>
          <w:szCs w:val="28"/>
        </w:rPr>
      </w:pPr>
      <w:r w:rsidRPr="003B10E2">
        <w:rPr>
          <w:rFonts w:ascii="Times New Roman" w:hAnsi="Times New Roman"/>
          <w:b/>
          <w:sz w:val="28"/>
          <w:szCs w:val="28"/>
        </w:rPr>
        <w:tab/>
      </w:r>
      <w:r w:rsidRPr="003B10E2">
        <w:rPr>
          <w:rFonts w:ascii="Times New Roman" w:hAnsi="Times New Roman"/>
          <w:sz w:val="28"/>
          <w:szCs w:val="28"/>
        </w:rPr>
        <w:t>Цены на сырье.</w:t>
      </w:r>
    </w:p>
    <w:p w14:paraId="0324074F" w14:textId="77777777" w:rsidR="00651284" w:rsidRPr="003B10E2" w:rsidRDefault="00651284" w:rsidP="00651284">
      <w:pPr>
        <w:spacing w:after="0" w:line="360" w:lineRule="auto"/>
        <w:ind w:firstLine="708"/>
        <w:jc w:val="both"/>
        <w:rPr>
          <w:rFonts w:ascii="Times New Roman" w:hAnsi="Times New Roman"/>
          <w:color w:val="ED7D31"/>
          <w:sz w:val="28"/>
          <w:szCs w:val="28"/>
        </w:rPr>
      </w:pPr>
      <w:bookmarkStart w:id="204" w:name="_Hlk122462381"/>
      <w:bookmarkEnd w:id="204"/>
      <w:r w:rsidRPr="003B10E2">
        <w:rPr>
          <w:rFonts w:ascii="Times New Roman" w:hAnsi="Times New Roman"/>
          <w:sz w:val="28"/>
          <w:szCs w:val="28"/>
        </w:rPr>
        <w:t>Расчеты выше показали, что рост цены на сырье на 1% приводит к росту капитализации компаний, входящих в индекс Московской биржи</w:t>
      </w:r>
      <w:r w:rsidR="00E1142C" w:rsidRPr="003B10E2">
        <w:rPr>
          <w:rFonts w:ascii="Times New Roman" w:hAnsi="Times New Roman"/>
          <w:sz w:val="28"/>
          <w:szCs w:val="28"/>
        </w:rPr>
        <w:t xml:space="preserve"> (Шанхайской фондовой биржи)</w:t>
      </w:r>
      <w:r w:rsidRPr="003B10E2">
        <w:rPr>
          <w:rFonts w:ascii="Times New Roman" w:hAnsi="Times New Roman"/>
          <w:sz w:val="28"/>
          <w:szCs w:val="28"/>
        </w:rPr>
        <w:t>, на 0,65%</w:t>
      </w:r>
      <w:r w:rsidR="00E1142C" w:rsidRPr="003B10E2">
        <w:rPr>
          <w:rFonts w:ascii="Times New Roman" w:hAnsi="Times New Roman"/>
          <w:sz w:val="28"/>
          <w:szCs w:val="28"/>
        </w:rPr>
        <w:t xml:space="preserve"> (Приложение </w:t>
      </w:r>
      <w:r w:rsidR="00AA5F29">
        <w:rPr>
          <w:rFonts w:ascii="Times New Roman" w:hAnsi="Times New Roman"/>
          <w:sz w:val="28"/>
          <w:szCs w:val="28"/>
        </w:rPr>
        <w:t>Д</w:t>
      </w:r>
      <w:r w:rsidR="00E1142C" w:rsidRPr="003B10E2">
        <w:rPr>
          <w:rFonts w:ascii="Times New Roman" w:hAnsi="Times New Roman"/>
          <w:sz w:val="28"/>
          <w:szCs w:val="28"/>
        </w:rPr>
        <w:t>)</w:t>
      </w:r>
      <w:r w:rsidRPr="003B10E2">
        <w:rPr>
          <w:rFonts w:ascii="Times New Roman" w:hAnsi="Times New Roman"/>
          <w:sz w:val="28"/>
          <w:szCs w:val="28"/>
        </w:rPr>
        <w:t>.</w:t>
      </w:r>
      <w:r w:rsidRPr="003B10E2">
        <w:rPr>
          <w:rFonts w:ascii="Times New Roman" w:hAnsi="Times New Roman"/>
          <w:color w:val="FF0000"/>
          <w:sz w:val="24"/>
          <w:szCs w:val="24"/>
        </w:rPr>
        <w:t xml:space="preserve"> </w:t>
      </w:r>
    </w:p>
    <w:p w14:paraId="18390106" w14:textId="77777777" w:rsidR="00651284" w:rsidRPr="003B10E2" w:rsidRDefault="00651284" w:rsidP="00651284">
      <w:pPr>
        <w:spacing w:after="0" w:line="360" w:lineRule="auto"/>
        <w:ind w:firstLine="708"/>
        <w:jc w:val="both"/>
        <w:rPr>
          <w:rFonts w:ascii="Times New Roman" w:hAnsi="Times New Roman"/>
          <w:color w:val="000000"/>
          <w:sz w:val="28"/>
          <w:szCs w:val="28"/>
        </w:rPr>
      </w:pPr>
      <w:r w:rsidRPr="003B10E2">
        <w:rPr>
          <w:rFonts w:ascii="Times New Roman" w:hAnsi="Times New Roman"/>
          <w:sz w:val="28"/>
          <w:szCs w:val="28"/>
        </w:rPr>
        <w:t xml:space="preserve">Это подтверждает тезис, что российская экономика в большей степени (более 50%) ориентирована на экспорт сырьевых товаров и зависит от многих факторов, ключевой из них </w:t>
      </w:r>
      <w:r w:rsidRPr="003B10E2">
        <w:rPr>
          <w:rFonts w:ascii="Times New Roman" w:hAnsi="Times New Roman"/>
          <w:color w:val="000000"/>
          <w:sz w:val="28"/>
          <w:szCs w:val="28"/>
        </w:rPr>
        <w:t xml:space="preserve">— </w:t>
      </w:r>
      <w:r w:rsidRPr="003B10E2">
        <w:rPr>
          <w:rFonts w:ascii="Times New Roman" w:hAnsi="Times New Roman"/>
          <w:sz w:val="28"/>
          <w:szCs w:val="28"/>
        </w:rPr>
        <w:t xml:space="preserve">цены на сырье. </w:t>
      </w:r>
      <w:r w:rsidRPr="003B10E2">
        <w:rPr>
          <w:rFonts w:ascii="Times New Roman" w:hAnsi="Times New Roman"/>
          <w:color w:val="000000"/>
          <w:sz w:val="28"/>
          <w:szCs w:val="28"/>
        </w:rPr>
        <w:t xml:space="preserve">Цены на сырье влияют на прибыльность российских сырьевых компаний, а значит, на стоимость акций [254 – 257]. </w:t>
      </w:r>
    </w:p>
    <w:p w14:paraId="5DE8F3CF" w14:textId="77777777" w:rsidR="00651284" w:rsidRPr="003B10E2" w:rsidRDefault="00651284" w:rsidP="00651284">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Благодаря интеграции между хабами, существенно сокращается влияние монополизма и средняя длина маршрутов. Между хабами газовой сети ЕС налажены прочные взаимоотношения, которые позволяют обеспечить доступ к ресурсам всей сети, несмотря на структуру бизнеса и регулятивные документы. Россия в обозримом будущем останется ключевым центром снабжения, хотя влияние её должно снижаться в перспективе ближайших трех лет, что будет оказывать понижающее давление на российские акции. </w:t>
      </w:r>
    </w:p>
    <w:p w14:paraId="4CDE389F" w14:textId="77777777" w:rsidR="00651284" w:rsidRPr="003B10E2" w:rsidRDefault="00651284" w:rsidP="00651284">
      <w:pPr>
        <w:spacing w:after="0" w:line="360" w:lineRule="auto"/>
        <w:ind w:firstLine="851"/>
        <w:jc w:val="both"/>
        <w:rPr>
          <w:rFonts w:ascii="Times New Roman" w:hAnsi="Times New Roman"/>
          <w:iCs/>
          <w:color w:val="000000"/>
          <w:sz w:val="24"/>
          <w:szCs w:val="24"/>
        </w:rPr>
      </w:pPr>
      <w:r w:rsidRPr="003B10E2">
        <w:rPr>
          <w:rFonts w:ascii="Times New Roman" w:hAnsi="Times New Roman"/>
          <w:color w:val="000000"/>
          <w:sz w:val="28"/>
          <w:szCs w:val="28"/>
        </w:rPr>
        <w:t>В течение последних лет нередко обсуждались вопросы снижения зависимости экономики России от экспорта сырьевых товаров. Учитывая особенности институционального развития России, именно кризис может стать подходящим моментом для перестройки экономики в сторону увеличения доли инновационных товаров и технологий в структуре производства и экспорта. Предположительно, именно стабильность физических объемов российского нефтегазового экспорта являлась главным фактором, оказывающим влияние на глобальный риск-аппетит на рынке капитала России [82].</w:t>
      </w:r>
      <w:r w:rsidR="00E1142C" w:rsidRPr="003B10E2">
        <w:rPr>
          <w:rFonts w:ascii="Times New Roman" w:hAnsi="Times New Roman"/>
          <w:color w:val="000000"/>
          <w:sz w:val="28"/>
          <w:szCs w:val="28"/>
        </w:rPr>
        <w:t xml:space="preserve"> В то время как китайский рынок капитала поддерживается огромным объемом экспорта Китая в США и развитые страны.</w:t>
      </w:r>
    </w:p>
    <w:p w14:paraId="042EFF3C" w14:textId="77777777" w:rsidR="00651284" w:rsidRPr="003B10E2" w:rsidRDefault="00651284" w:rsidP="00651284">
      <w:pPr>
        <w:spacing w:after="0" w:line="360" w:lineRule="auto"/>
        <w:ind w:firstLine="851"/>
        <w:jc w:val="both"/>
        <w:rPr>
          <w:rFonts w:ascii="Times New Roman" w:hAnsi="Times New Roman"/>
          <w:bCs/>
          <w:color w:val="000000"/>
          <w:sz w:val="28"/>
          <w:szCs w:val="28"/>
        </w:rPr>
      </w:pPr>
      <w:r w:rsidRPr="003B10E2">
        <w:rPr>
          <w:rFonts w:ascii="Times New Roman" w:hAnsi="Times New Roman"/>
          <w:bCs/>
          <w:color w:val="000000"/>
          <w:sz w:val="28"/>
          <w:szCs w:val="28"/>
        </w:rPr>
        <w:t>Состояние экономики</w:t>
      </w:r>
      <w:r w:rsidR="00467D23" w:rsidRPr="003B10E2">
        <w:rPr>
          <w:rFonts w:ascii="Times New Roman" w:hAnsi="Times New Roman"/>
          <w:bCs/>
          <w:color w:val="000000"/>
          <w:sz w:val="28"/>
          <w:szCs w:val="28"/>
        </w:rPr>
        <w:t>.</w:t>
      </w:r>
    </w:p>
    <w:p w14:paraId="1A02619D" w14:textId="77777777"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Состояние экономики влияет на прибыльность всех российских</w:t>
      </w:r>
      <w:r w:rsidR="00E1142C" w:rsidRPr="003B10E2">
        <w:rPr>
          <w:rFonts w:ascii="Times New Roman" w:hAnsi="Times New Roman"/>
          <w:color w:val="000000"/>
          <w:sz w:val="28"/>
          <w:szCs w:val="28"/>
        </w:rPr>
        <w:t xml:space="preserve"> и китаских</w:t>
      </w:r>
      <w:r w:rsidRPr="003B10E2">
        <w:rPr>
          <w:rFonts w:ascii="Times New Roman" w:hAnsi="Times New Roman"/>
          <w:color w:val="000000"/>
          <w:sz w:val="28"/>
          <w:szCs w:val="28"/>
        </w:rPr>
        <w:t xml:space="preserve"> компаний и стоимость заимствований. Налоговые и неналоговые выплаты формируют значительную часть государственного бюджета. Ухудшение состояния национальной экономики понижающе влияет на акции всех российских</w:t>
      </w:r>
      <w:r w:rsidR="00E1142C" w:rsidRPr="003B10E2">
        <w:t xml:space="preserve"> </w:t>
      </w:r>
      <w:r w:rsidR="00E1142C" w:rsidRPr="003B10E2">
        <w:rPr>
          <w:rFonts w:ascii="Times New Roman" w:hAnsi="Times New Roman"/>
          <w:color w:val="000000"/>
          <w:sz w:val="28"/>
          <w:szCs w:val="28"/>
        </w:rPr>
        <w:t xml:space="preserve">и китаских </w:t>
      </w:r>
      <w:r w:rsidRPr="003B10E2">
        <w:rPr>
          <w:rFonts w:ascii="Times New Roman" w:hAnsi="Times New Roman"/>
          <w:color w:val="000000"/>
          <w:sz w:val="28"/>
          <w:szCs w:val="28"/>
        </w:rPr>
        <w:t>компаний.</w:t>
      </w:r>
    </w:p>
    <w:p w14:paraId="68677C14" w14:textId="77777777"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Механизм передачи регулятивных рисков, связанных с </w:t>
      </w:r>
      <w:r w:rsidRPr="003B10E2">
        <w:rPr>
          <w:rFonts w:ascii="Times New Roman" w:hAnsi="Times New Roman"/>
          <w:color w:val="000000"/>
          <w:sz w:val="28"/>
          <w:szCs w:val="28"/>
          <w:lang w:val="en-US"/>
        </w:rPr>
        <w:t>COVID</w:t>
      </w:r>
      <w:r w:rsidRPr="003B10E2">
        <w:rPr>
          <w:rFonts w:ascii="Times New Roman" w:hAnsi="Times New Roman"/>
          <w:color w:val="000000"/>
          <w:sz w:val="28"/>
          <w:szCs w:val="28"/>
        </w:rPr>
        <w:t>-19, описан ниже. Во время роста числа заболевших COVID-19 происходит значительное снижение доходности фондового рынка, что привлекло внимание многих ученых в последнее время. Во время вспышки коронавируса фондовый рынок пережил сильный шок. В первые три месяца 2020 г. (59 торговых дней) было шесть дней с однодневным падением цен на 2% и более. В то время как за последние три года (730 торговых дней) общее количество дней, испытавших такое снижение, составило всего 21.</w:t>
      </w:r>
    </w:p>
    <w:p w14:paraId="6510065F" w14:textId="77777777"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Можно сказать, последствия пандемии не только оказывают огромное влияние на внутренний спрос, но и полностью ограничивают предложение, что приводит к снижению будущих денежных потоков фирм. Пандемия COVID-19 рассматривается как уникальное событие кризиса общественного здравоохранения с точки зрения глобального масштаба со времен пандемии гриппа в 1918 году. </w:t>
      </w:r>
    </w:p>
    <w:p w14:paraId="32D15510" w14:textId="77777777"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Пандемия COVID-19 повысила вероятность снижения доходности фондов</w:t>
      </w:r>
      <w:r w:rsidR="00E1142C" w:rsidRPr="003B10E2">
        <w:rPr>
          <w:rFonts w:ascii="Times New Roman" w:hAnsi="Times New Roman"/>
          <w:color w:val="000000"/>
          <w:sz w:val="28"/>
          <w:szCs w:val="28"/>
        </w:rPr>
        <w:t>ых</w:t>
      </w:r>
      <w:r w:rsidRPr="003B10E2">
        <w:rPr>
          <w:rFonts w:ascii="Times New Roman" w:hAnsi="Times New Roman"/>
          <w:color w:val="000000"/>
          <w:sz w:val="28"/>
          <w:szCs w:val="28"/>
        </w:rPr>
        <w:t xml:space="preserve"> рынк</w:t>
      </w:r>
      <w:r w:rsidR="00E1142C" w:rsidRPr="003B10E2">
        <w:rPr>
          <w:rFonts w:ascii="Times New Roman" w:hAnsi="Times New Roman"/>
          <w:color w:val="000000"/>
          <w:sz w:val="28"/>
          <w:szCs w:val="28"/>
        </w:rPr>
        <w:t>ов Китая и России</w:t>
      </w:r>
      <w:r w:rsidRPr="003B10E2">
        <w:rPr>
          <w:rFonts w:ascii="Times New Roman" w:hAnsi="Times New Roman"/>
          <w:color w:val="000000"/>
          <w:sz w:val="28"/>
          <w:szCs w:val="28"/>
        </w:rPr>
        <w:t xml:space="preserve"> и ухудшила связь доходности фондового рынка и экономического роста. Когда число подтвержденных случаев было не очень велико, страх инвесторов перед вирусом увеличил потенциальный риск краха фондового рынка. Инвесторы стали чувствительны не только к местной информации, но и к глобальным новостям.</w:t>
      </w:r>
    </w:p>
    <w:p w14:paraId="23B90588" w14:textId="77777777" w:rsidR="00651284" w:rsidRPr="003B10E2" w:rsidRDefault="00651284" w:rsidP="00651284">
      <w:pPr>
        <w:spacing w:after="0" w:line="360" w:lineRule="auto"/>
        <w:jc w:val="both"/>
        <w:rPr>
          <w:rFonts w:ascii="Times New Roman" w:hAnsi="Times New Roman"/>
          <w:color w:val="000000"/>
          <w:sz w:val="28"/>
          <w:szCs w:val="28"/>
        </w:rPr>
      </w:pPr>
      <w:r w:rsidRPr="003B10E2">
        <w:rPr>
          <w:rFonts w:ascii="Times New Roman" w:hAnsi="Times New Roman"/>
          <w:b/>
          <w:color w:val="000000"/>
          <w:sz w:val="28"/>
          <w:szCs w:val="28"/>
        </w:rPr>
        <w:tab/>
      </w:r>
      <w:r w:rsidRPr="003B10E2">
        <w:rPr>
          <w:rFonts w:ascii="Times New Roman" w:hAnsi="Times New Roman"/>
          <w:color w:val="000000"/>
          <w:sz w:val="28"/>
          <w:szCs w:val="28"/>
        </w:rPr>
        <w:t>Инфляция и валютный курс.</w:t>
      </w:r>
    </w:p>
    <w:p w14:paraId="0C15E729" w14:textId="77777777" w:rsidR="00651284" w:rsidRPr="003B10E2" w:rsidRDefault="00651284" w:rsidP="00F77F9F">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Чем выше инфляция, тем больше разрыв между номинальным и реальным эффективными курсами </w:t>
      </w:r>
      <w:r w:rsidR="00E1142C" w:rsidRPr="003B10E2">
        <w:rPr>
          <w:rFonts w:ascii="Times New Roman" w:hAnsi="Times New Roman"/>
          <w:color w:val="000000"/>
          <w:sz w:val="28"/>
          <w:szCs w:val="28"/>
        </w:rPr>
        <w:t>национальной валюты</w:t>
      </w:r>
      <w:r w:rsidRPr="003B10E2">
        <w:rPr>
          <w:rFonts w:ascii="Times New Roman" w:hAnsi="Times New Roman"/>
          <w:color w:val="000000"/>
          <w:sz w:val="28"/>
          <w:szCs w:val="28"/>
        </w:rPr>
        <w:t>, поэтому повышается вероятность ослабления</w:t>
      </w:r>
      <w:r w:rsidR="00E1142C" w:rsidRPr="003B10E2">
        <w:t xml:space="preserve"> </w:t>
      </w:r>
      <w:r w:rsidR="00E1142C" w:rsidRPr="003B10E2">
        <w:rPr>
          <w:rFonts w:ascii="Times New Roman" w:hAnsi="Times New Roman"/>
          <w:color w:val="000000"/>
          <w:sz w:val="28"/>
          <w:szCs w:val="28"/>
        </w:rPr>
        <w:t>национальной валюты</w:t>
      </w:r>
      <w:r w:rsidRPr="003B10E2">
        <w:rPr>
          <w:rFonts w:ascii="Times New Roman" w:hAnsi="Times New Roman"/>
          <w:color w:val="000000"/>
          <w:sz w:val="28"/>
          <w:szCs w:val="28"/>
        </w:rPr>
        <w:t xml:space="preserve">. Таким образом, инфляция через курс доллара США в рублях отражается на стоимости российских </w:t>
      </w:r>
      <w:r w:rsidR="00E1142C" w:rsidRPr="003B10E2">
        <w:rPr>
          <w:rFonts w:ascii="Times New Roman" w:hAnsi="Times New Roman"/>
          <w:color w:val="000000"/>
          <w:sz w:val="28"/>
          <w:szCs w:val="28"/>
        </w:rPr>
        <w:t xml:space="preserve">и китаских </w:t>
      </w:r>
      <w:r w:rsidRPr="003B10E2">
        <w:rPr>
          <w:rFonts w:ascii="Times New Roman" w:hAnsi="Times New Roman"/>
          <w:color w:val="000000"/>
          <w:sz w:val="28"/>
          <w:szCs w:val="28"/>
        </w:rPr>
        <w:t xml:space="preserve">акций. Валютный курс немедленно отражается на акциях экспортеров: их стоимость может упасть вместе с падением всего рынка. </w:t>
      </w:r>
    </w:p>
    <w:p w14:paraId="3F51BE93" w14:textId="77777777" w:rsidR="00651284" w:rsidRPr="003B10E2" w:rsidRDefault="00651284" w:rsidP="00F77F9F">
      <w:pPr>
        <w:spacing w:after="0" w:line="360" w:lineRule="auto"/>
        <w:ind w:firstLine="708"/>
        <w:jc w:val="both"/>
        <w:rPr>
          <w:rFonts w:ascii="Times New Roman" w:hAnsi="Times New Roman"/>
          <w:color w:val="000000"/>
          <w:sz w:val="24"/>
          <w:szCs w:val="24"/>
        </w:rPr>
      </w:pPr>
      <w:r w:rsidRPr="003B10E2">
        <w:rPr>
          <w:rFonts w:ascii="Times New Roman" w:hAnsi="Times New Roman"/>
          <w:color w:val="000000"/>
          <w:sz w:val="28"/>
          <w:szCs w:val="28"/>
        </w:rPr>
        <w:t>Часто долларовая капитализация падает, потому что ослабление курса доллара США происходит одновременно с резким усилением доллара к евро, или с падением мировых цен на сырье, или резкими структурными сдвигами в момент кризиса (2009, 2014, 2020 гг.). При этом маржинальность бизнеса экспортеров растет, поэтому их акции после шока снижения курса в моменты кризисов быстро восстановили потери в течение следующих месяцев.</w:t>
      </w:r>
    </w:p>
    <w:p w14:paraId="3E08ED76" w14:textId="77777777" w:rsidR="009A565E" w:rsidRDefault="00651284" w:rsidP="00484557">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Важно изучить, какой эффект на монетарную инфляцию оказывают ключевая ставка Банка России</w:t>
      </w:r>
      <w:r w:rsidR="00E1142C" w:rsidRPr="003B10E2">
        <w:rPr>
          <w:rFonts w:ascii="Times New Roman" w:hAnsi="Times New Roman"/>
          <w:color w:val="000000"/>
          <w:sz w:val="28"/>
          <w:szCs w:val="28"/>
        </w:rPr>
        <w:t xml:space="preserve"> (Банк Китая)</w:t>
      </w:r>
      <w:r w:rsidRPr="003B10E2">
        <w:rPr>
          <w:rFonts w:ascii="Times New Roman" w:hAnsi="Times New Roman"/>
          <w:color w:val="000000"/>
          <w:sz w:val="28"/>
          <w:szCs w:val="28"/>
        </w:rPr>
        <w:t xml:space="preserve"> и доходность гособлигаций. В исследуемый период времени заметно усиление корреляции между ключевой ставкой Банка России (которая примерно соответствует уровню инфляции) и ставками на рынке облигаций</w:t>
      </w:r>
      <w:r w:rsidR="00F77F9F" w:rsidRPr="003B10E2">
        <w:rPr>
          <w:rFonts w:ascii="Times New Roman" w:hAnsi="Times New Roman"/>
          <w:color w:val="000000"/>
          <w:sz w:val="28"/>
          <w:szCs w:val="28"/>
        </w:rPr>
        <w:t xml:space="preserve"> (Приложение Г)</w:t>
      </w:r>
      <w:r w:rsidRPr="003B10E2">
        <w:rPr>
          <w:rFonts w:ascii="Times New Roman" w:hAnsi="Times New Roman"/>
          <w:color w:val="000000"/>
          <w:sz w:val="28"/>
          <w:szCs w:val="28"/>
        </w:rPr>
        <w:t>. В течение 2016 г. происходит выравнивание кривой бескупонной доходности, она приобретает положительный наклон, присущий «здоровой» экономике. При этом отрицательная связь между экономическим ростом и инфляционными ожиданиями предполагает, что долгосрочные облигации имеют более низкую доходность, когда долгосрочный рост, как ожидается, будет низким. То есть кривая бескупонной доходности ОФЗ приобретает отрицат</w:t>
      </w:r>
      <w:r w:rsidR="00EC74C6" w:rsidRPr="003B10E2">
        <w:rPr>
          <w:rFonts w:ascii="Times New Roman" w:hAnsi="Times New Roman"/>
          <w:color w:val="000000"/>
          <w:sz w:val="28"/>
          <w:szCs w:val="28"/>
        </w:rPr>
        <w:t xml:space="preserve">ельный </w:t>
      </w:r>
      <w:r w:rsidR="009A565E" w:rsidRPr="003B10E2">
        <w:rPr>
          <w:rFonts w:ascii="Times New Roman" w:hAnsi="Times New Roman"/>
          <w:color w:val="000000"/>
          <w:sz w:val="28"/>
          <w:szCs w:val="28"/>
        </w:rPr>
        <w:t>наклон [</w:t>
      </w:r>
      <w:r w:rsidR="00EC74C6" w:rsidRPr="003B10E2">
        <w:rPr>
          <w:rFonts w:ascii="Times New Roman" w:hAnsi="Times New Roman"/>
          <w:color w:val="000000"/>
          <w:sz w:val="28"/>
          <w:szCs w:val="28"/>
        </w:rPr>
        <w:t>16]</w:t>
      </w:r>
      <w:r w:rsidR="00F77F9F" w:rsidRPr="003B10E2">
        <w:rPr>
          <w:rFonts w:ascii="Times New Roman" w:hAnsi="Times New Roman"/>
          <w:color w:val="000000"/>
          <w:sz w:val="28"/>
          <w:szCs w:val="28"/>
        </w:rPr>
        <w:t>.</w:t>
      </w:r>
    </w:p>
    <w:p w14:paraId="778A9C75" w14:textId="77777777" w:rsidR="00683F14" w:rsidRPr="003B10E2" w:rsidRDefault="00683F14" w:rsidP="00683F14">
      <w:pPr>
        <w:pStyle w:val="1"/>
        <w:spacing w:before="0" w:line="360" w:lineRule="auto"/>
        <w:contextualSpacing/>
        <w:jc w:val="center"/>
        <w:rPr>
          <w:rFonts w:ascii="Times New Roman" w:hAnsi="Times New Roman"/>
          <w:b/>
          <w:color w:val="000000"/>
          <w:lang w:eastAsia="ar-SA"/>
        </w:rPr>
      </w:pPr>
      <w:bookmarkStart w:id="205" w:name="_Toc145164386"/>
      <w:r w:rsidRPr="003B10E2">
        <w:rPr>
          <w:rFonts w:ascii="Times New Roman" w:hAnsi="Times New Roman"/>
          <w:b/>
          <w:color w:val="000000"/>
          <w:lang w:eastAsia="ar-SA"/>
        </w:rPr>
        <w:t xml:space="preserve">Глава 4 </w:t>
      </w:r>
      <w:r w:rsidR="00F00E72" w:rsidRPr="003B10E2">
        <w:rPr>
          <w:rFonts w:ascii="Times New Roman" w:hAnsi="Times New Roman"/>
          <w:b/>
          <w:color w:val="000000"/>
          <w:lang w:eastAsia="ar-SA"/>
        </w:rPr>
        <w:t xml:space="preserve">Трансформация рынка капитала </w:t>
      </w:r>
      <w:r w:rsidRPr="003B10E2">
        <w:rPr>
          <w:rFonts w:ascii="Times New Roman" w:hAnsi="Times New Roman"/>
          <w:b/>
          <w:color w:val="000000"/>
          <w:lang w:eastAsia="ar-SA"/>
        </w:rPr>
        <w:t>Кита</w:t>
      </w:r>
      <w:r w:rsidR="00F00E72" w:rsidRPr="003B10E2">
        <w:rPr>
          <w:rFonts w:ascii="Times New Roman" w:hAnsi="Times New Roman"/>
          <w:b/>
          <w:color w:val="000000"/>
          <w:lang w:eastAsia="ar-SA"/>
        </w:rPr>
        <w:t>я</w:t>
      </w:r>
      <w:bookmarkEnd w:id="205"/>
    </w:p>
    <w:p w14:paraId="1BA1377B" w14:textId="77777777" w:rsidR="00F00E72" w:rsidRPr="003B10E2" w:rsidRDefault="00F00E72" w:rsidP="009240D2">
      <w:pPr>
        <w:pStyle w:val="2"/>
        <w:spacing w:before="0" w:line="360" w:lineRule="auto"/>
        <w:ind w:firstLine="708"/>
        <w:contextualSpacing/>
        <w:jc w:val="both"/>
        <w:rPr>
          <w:rFonts w:ascii="Times New Roman" w:hAnsi="Times New Roman"/>
          <w:b/>
          <w:color w:val="000000"/>
          <w:sz w:val="28"/>
          <w:szCs w:val="28"/>
          <w:shd w:val="clear" w:color="auto" w:fill="FFFFFF"/>
        </w:rPr>
      </w:pPr>
      <w:bookmarkStart w:id="206" w:name="_Toc145164387"/>
      <w:r w:rsidRPr="003B10E2">
        <w:rPr>
          <w:rFonts w:ascii="Times New Roman" w:hAnsi="Times New Roman"/>
          <w:b/>
          <w:color w:val="000000"/>
          <w:sz w:val="28"/>
          <w:szCs w:val="28"/>
          <w:shd w:val="clear" w:color="auto" w:fill="FFFFFF"/>
        </w:rPr>
        <w:t>4.1 Формировани</w:t>
      </w:r>
      <w:r w:rsidR="009240D2" w:rsidRPr="003B10E2">
        <w:rPr>
          <w:rFonts w:ascii="Times New Roman" w:hAnsi="Times New Roman"/>
          <w:b/>
          <w:color w:val="000000"/>
          <w:sz w:val="28"/>
          <w:szCs w:val="28"/>
          <w:shd w:val="clear" w:color="auto" w:fill="FFFFFF"/>
        </w:rPr>
        <w:t>е</w:t>
      </w:r>
      <w:r w:rsidRPr="003B10E2">
        <w:rPr>
          <w:rFonts w:ascii="Times New Roman" w:hAnsi="Times New Roman"/>
          <w:b/>
          <w:color w:val="000000"/>
          <w:sz w:val="28"/>
          <w:szCs w:val="28"/>
          <w:shd w:val="clear" w:color="auto" w:fill="FFFFFF"/>
        </w:rPr>
        <w:t xml:space="preserve"> рынка капитала Китая</w:t>
      </w:r>
      <w:bookmarkEnd w:id="206"/>
    </w:p>
    <w:p w14:paraId="12DA30A5" w14:textId="77777777" w:rsidR="00F1211E" w:rsidRPr="003B10E2" w:rsidRDefault="00F1211E" w:rsidP="008F7122">
      <w:pPr>
        <w:spacing w:after="0" w:line="360" w:lineRule="auto"/>
        <w:ind w:firstLine="851"/>
        <w:jc w:val="both"/>
        <w:rPr>
          <w:rFonts w:ascii="Times New Roman" w:hAnsi="Times New Roman"/>
          <w:color w:val="000000"/>
          <w:sz w:val="28"/>
          <w:szCs w:val="28"/>
        </w:rPr>
      </w:pPr>
      <w:bookmarkStart w:id="207" w:name="_Hlk147772450"/>
      <w:r w:rsidRPr="003B10E2">
        <w:rPr>
          <w:rFonts w:ascii="Times New Roman" w:hAnsi="Times New Roman"/>
          <w:color w:val="000000"/>
          <w:sz w:val="28"/>
          <w:szCs w:val="28"/>
        </w:rPr>
        <w:t xml:space="preserve">За последние тридцать лет рынок капитала Китая значительно вырос вместе с экономикой, что стало выдающимся достижением страны. В настоящее время Китай является вторым по величине рынком капитала в мире с точки зрения рыночной капитализации и, несомненно, </w:t>
      </w:r>
      <w:r w:rsidR="00AA5F29">
        <w:rPr>
          <w:rFonts w:ascii="Times New Roman" w:hAnsi="Times New Roman"/>
          <w:color w:val="000000"/>
          <w:sz w:val="28"/>
          <w:szCs w:val="28"/>
        </w:rPr>
        <w:t xml:space="preserve">Китай </w:t>
      </w:r>
      <w:r w:rsidRPr="003B10E2">
        <w:rPr>
          <w:rFonts w:ascii="Times New Roman" w:hAnsi="Times New Roman"/>
          <w:color w:val="000000"/>
          <w:sz w:val="28"/>
          <w:szCs w:val="28"/>
        </w:rPr>
        <w:t>добился впечатляющих успехов в этой области. Однако важно признать, что строгий контроль за движением капитала в стране стал препятствием, ограничивающим темпы развития страны и изолирующим ее от остального мира. Тем не менее, эта ситуация быстро меняется</w:t>
      </w:r>
      <w:r w:rsidR="007D2DC3">
        <w:rPr>
          <w:rFonts w:ascii="Times New Roman" w:hAnsi="Times New Roman"/>
          <w:color w:val="000000"/>
          <w:sz w:val="28"/>
          <w:szCs w:val="28"/>
        </w:rPr>
        <w:t>.</w:t>
      </w:r>
    </w:p>
    <w:bookmarkEnd w:id="207"/>
    <w:p w14:paraId="5788DDF1" w14:textId="77777777" w:rsidR="00F1211E" w:rsidRPr="003B10E2" w:rsidRDefault="00F1211E" w:rsidP="00F1211E">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1920-х годах в Китае сформировался очень активный рынок капитала, который сыграл ключевую роль в экономическом ландшафте страны. В этот период Шанхайская фондовая биржа Хуашан, новаторская организация, образованная в 1921 году, стала доминирующим финансовым учреждением в Восточной Азии как с точки зрения организационной структуры, так и с точки зрения огромных масштабов. Однако прогресс и рост китайского рынка капитала столкнулись со значительными препятствиями и препятствиями в неспокойное время</w:t>
      </w:r>
      <w:r w:rsidR="007D2DC3">
        <w:rPr>
          <w:rFonts w:ascii="Times New Roman" w:hAnsi="Times New Roman"/>
          <w:color w:val="000000"/>
          <w:sz w:val="28"/>
          <w:szCs w:val="28"/>
        </w:rPr>
        <w:t>.</w:t>
      </w:r>
    </w:p>
    <w:p w14:paraId="38B742A3" w14:textId="77777777" w:rsidR="00F1211E" w:rsidRPr="003B10E2" w:rsidRDefault="00F1211E" w:rsidP="00F1211E">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Этот период стал важным поворотным моментом, когда страна приступила к оживлению своего экономического ландшафта, причем рынок капитала сыграл ключевую роль в этой глубокой трансформации. Несмотря на быстрые и динамичные преобразования, происшедшие в экономике в период реформ, стоит отметить, что первоначальное расширение и развитие рынка капитала в определенной степени замедлились и замедлились. Однако важно подчеркнуть, что оживление и омоложение фондового рынка в 1990 году стали важной вехой в становлении и развитии китайского фондового рынка в его современной и передовой форме</w:t>
      </w:r>
      <w:r w:rsidR="000B4A15">
        <w:rPr>
          <w:rFonts w:ascii="Times New Roman" w:hAnsi="Times New Roman"/>
          <w:color w:val="000000"/>
          <w:sz w:val="28"/>
          <w:szCs w:val="28"/>
        </w:rPr>
        <w:t xml:space="preserve">. </w:t>
      </w:r>
      <w:r w:rsidRPr="003B10E2">
        <w:rPr>
          <w:rFonts w:ascii="Times New Roman" w:hAnsi="Times New Roman"/>
          <w:color w:val="000000"/>
          <w:sz w:val="28"/>
          <w:szCs w:val="28"/>
        </w:rPr>
        <w:t>Кроме того, необходимо признать, что это оживление произошло на рынке государственных и корпоративных облигаций в 1980-х годах, который неуклонно рос и расширялся на протяжении 1990-х годов. Такой прогресс и рост на этих рынках в конечном итоге привели к их нынешнему размеру, уступая только Соединенным Штатам, что само по себе является выдающимся достижением [450-461].</w:t>
      </w:r>
    </w:p>
    <w:p w14:paraId="69844A1E" w14:textId="77777777" w:rsidR="00AA5F29" w:rsidRDefault="007D2DC3" w:rsidP="00552820">
      <w:pPr>
        <w:spacing w:after="0" w:line="360" w:lineRule="auto"/>
        <w:ind w:firstLine="851"/>
        <w:jc w:val="both"/>
        <w:rPr>
          <w:rFonts w:ascii="Times New Roman" w:hAnsi="Times New Roman"/>
          <w:color w:val="000000"/>
          <w:sz w:val="28"/>
          <w:szCs w:val="28"/>
        </w:rPr>
      </w:pPr>
      <w:r>
        <w:rPr>
          <w:rFonts w:ascii="Times New Roman" w:hAnsi="Times New Roman"/>
          <w:color w:val="000000"/>
          <w:sz w:val="28"/>
          <w:szCs w:val="28"/>
        </w:rPr>
        <w:t xml:space="preserve">В </w:t>
      </w:r>
      <w:r w:rsidR="00F1211E" w:rsidRPr="003B10E2">
        <w:rPr>
          <w:rFonts w:ascii="Times New Roman" w:hAnsi="Times New Roman"/>
          <w:color w:val="000000"/>
          <w:sz w:val="28"/>
          <w:szCs w:val="28"/>
        </w:rPr>
        <w:t xml:space="preserve">настоящее время эти финансовые инструменты занимают львиную долю и являются доминирующими компонентами рынка, поэтому они, несомненно, заслуживают нашего пристального внимания и тщательного изучения. </w:t>
      </w:r>
    </w:p>
    <w:p w14:paraId="131C581D" w14:textId="77777777" w:rsidR="00F00E72" w:rsidRPr="003B10E2" w:rsidRDefault="00F1211E" w:rsidP="00552820">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мае 1982 года в рамках решительных усилий Китая по реформированию экономической системы была успешно создана Государственная комиссия по реструктуризации экономических систем, и ее далеко идущие инициативы включали комплексную реформу государственных предприятий (ГП). Особый интерес представляет официальный выбор нескольких предприятий в оживленных мегаполисах Пекине, Шанхае и Гуанчжоу для реструктуризации и превращения в акционерные компании, открывая тем самым новую эру динамичных корпоративных операций</w:t>
      </w:r>
      <w:r w:rsidR="00465DE4" w:rsidRPr="003B10E2">
        <w:t xml:space="preserve"> </w:t>
      </w:r>
      <w:r w:rsidR="00465DE4" w:rsidRPr="003B10E2">
        <w:rPr>
          <w:rFonts w:ascii="Times New Roman" w:hAnsi="Times New Roman"/>
          <w:color w:val="000000"/>
          <w:sz w:val="28"/>
          <w:szCs w:val="28"/>
        </w:rPr>
        <w:t>[461-471].</w:t>
      </w:r>
    </w:p>
    <w:p w14:paraId="416D03A3" w14:textId="77777777" w:rsidR="00552820" w:rsidRPr="003B10E2" w:rsidRDefault="00552820"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На начальном этапе большинство акций демонстрировали характеристики, напоминающие облигации. В качестве иллюстрации можно отметить, что условия погашения этих акций были ограничены, а также гарантированная номинальная стоимость и заранее определенные проценты или дивиденды, выплачиваемые по истечении срока погашения. Со временем акции, которые были представлены широкой публике, приняли конфигурацию, аналогичную современным обыкновенным акциям, и не имели фиксированных сроков погашения, номинальной стоимости или дивидендов. Такая неопределенность в отношении прав собственности привела к возникновению расхождений между этими двумя категориями акций: одна из них была выпущена </w:t>
      </w:r>
      <w:r w:rsidR="00D1604E">
        <w:rPr>
          <w:rFonts w:ascii="Times New Roman" w:hAnsi="Times New Roman"/>
          <w:color w:val="000000"/>
          <w:sz w:val="28"/>
          <w:szCs w:val="28"/>
        </w:rPr>
        <w:t xml:space="preserve">для </w:t>
      </w:r>
      <w:r w:rsidRPr="003B10E2">
        <w:rPr>
          <w:rFonts w:ascii="Times New Roman" w:hAnsi="Times New Roman"/>
          <w:color w:val="000000"/>
          <w:sz w:val="28"/>
          <w:szCs w:val="28"/>
        </w:rPr>
        <w:t>населени</w:t>
      </w:r>
      <w:r w:rsidR="00D1604E">
        <w:rPr>
          <w:rFonts w:ascii="Times New Roman" w:hAnsi="Times New Roman"/>
          <w:color w:val="000000"/>
          <w:sz w:val="28"/>
          <w:szCs w:val="28"/>
        </w:rPr>
        <w:t>я</w:t>
      </w:r>
      <w:r w:rsidRPr="003B10E2">
        <w:rPr>
          <w:rFonts w:ascii="Times New Roman" w:hAnsi="Times New Roman"/>
          <w:color w:val="000000"/>
          <w:sz w:val="28"/>
          <w:szCs w:val="28"/>
        </w:rPr>
        <w:t>, а другая представляла собой ранее существовавшие активы, которые часто принадлежали разным ветвям власти. Последний тип акций часто называли акциями государственного или юридического лица.</w:t>
      </w:r>
    </w:p>
    <w:p w14:paraId="0E315969" w14:textId="77777777" w:rsidR="00552820" w:rsidRPr="003B10E2" w:rsidRDefault="00552820"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Примечательно, что и SSE, и SZSE начали свою операционную деятельность с большим энтузиазмом и самоотверженностью в декабре 1990 года, что стало важной вехой в истории финансового ландшафта Китая. В свете этого факта в настоящем всестороннем анализе разумно сосредоточить внимание исключительно на двух основных биржах, а именно на Шанхайской фондовой бирже и Шэньчжэньской фондовой бирже, признавая их ключевую роль в формировании китайского фондового рынка и влиянии на него.</w:t>
      </w:r>
    </w:p>
    <w:p w14:paraId="163FD8C7" w14:textId="77777777" w:rsidR="00552820" w:rsidRPr="003B10E2" w:rsidRDefault="00552820"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настоящее время </w:t>
      </w:r>
      <w:r w:rsidR="007D2DC3" w:rsidRPr="007D2DC3">
        <w:rPr>
          <w:rFonts w:ascii="Times New Roman" w:hAnsi="Times New Roman"/>
          <w:color w:val="000000"/>
          <w:sz w:val="28"/>
          <w:szCs w:val="28"/>
        </w:rPr>
        <w:t>Шанхайск</w:t>
      </w:r>
      <w:r w:rsidR="007D2DC3">
        <w:rPr>
          <w:rFonts w:ascii="Times New Roman" w:hAnsi="Times New Roman"/>
          <w:color w:val="000000"/>
          <w:sz w:val="28"/>
          <w:szCs w:val="28"/>
        </w:rPr>
        <w:t>ая</w:t>
      </w:r>
      <w:r w:rsidR="007D2DC3" w:rsidRPr="007D2DC3">
        <w:rPr>
          <w:rFonts w:ascii="Times New Roman" w:hAnsi="Times New Roman"/>
          <w:color w:val="000000"/>
          <w:sz w:val="28"/>
          <w:szCs w:val="28"/>
        </w:rPr>
        <w:t xml:space="preserve"> фондов</w:t>
      </w:r>
      <w:r w:rsidR="007D2DC3">
        <w:rPr>
          <w:rFonts w:ascii="Times New Roman" w:hAnsi="Times New Roman"/>
          <w:color w:val="000000"/>
          <w:sz w:val="28"/>
          <w:szCs w:val="28"/>
        </w:rPr>
        <w:t>ая</w:t>
      </w:r>
      <w:r w:rsidR="007D2DC3" w:rsidRPr="007D2DC3">
        <w:rPr>
          <w:rFonts w:ascii="Times New Roman" w:hAnsi="Times New Roman"/>
          <w:color w:val="000000"/>
          <w:sz w:val="28"/>
          <w:szCs w:val="28"/>
        </w:rPr>
        <w:t xml:space="preserve"> бирж</w:t>
      </w:r>
      <w:r w:rsidR="007D2DC3">
        <w:rPr>
          <w:rFonts w:ascii="Times New Roman" w:hAnsi="Times New Roman"/>
          <w:color w:val="000000"/>
          <w:sz w:val="28"/>
          <w:szCs w:val="28"/>
        </w:rPr>
        <w:t>а</w:t>
      </w:r>
      <w:r w:rsidRPr="003B10E2">
        <w:rPr>
          <w:rFonts w:ascii="Times New Roman" w:hAnsi="Times New Roman"/>
          <w:color w:val="000000"/>
          <w:sz w:val="28"/>
          <w:szCs w:val="28"/>
        </w:rPr>
        <w:t xml:space="preserve"> занимает лидирующие позиции на всех фондовых рынках материкового Китая. Она обладает впечатляющей рыночной капитализацией и огромным объемом торгов. Для работы Шанхайской фондовой биржи характерно использование централизованной электронной книги лимитных ордеров, в которой неукоснительно соблюдаются фундаментальные принцип «цена прежде всего»</w:t>
      </w:r>
      <w:r w:rsidR="007D2DC3">
        <w:rPr>
          <w:rFonts w:ascii="Times New Roman" w:hAnsi="Times New Roman"/>
          <w:color w:val="000000"/>
          <w:sz w:val="28"/>
          <w:szCs w:val="28"/>
        </w:rPr>
        <w:t xml:space="preserve"> </w:t>
      </w:r>
      <w:r w:rsidRPr="003B10E2">
        <w:rPr>
          <w:rFonts w:ascii="Times New Roman" w:hAnsi="Times New Roman"/>
          <w:color w:val="000000"/>
          <w:sz w:val="28"/>
          <w:szCs w:val="28"/>
        </w:rPr>
        <w:t>[471-479].</w:t>
      </w:r>
    </w:p>
    <w:p w14:paraId="2A6C16A6" w14:textId="77777777" w:rsidR="00552820" w:rsidRPr="003B10E2" w:rsidRDefault="00552820" w:rsidP="00552820">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Шэньчжэньскую фондовую биржу от вышеупомянутой Шанхайской фондовой биржи отличает ее непоколебимая приверженность поддержке и развитию малого бизнеса, способствуя тем самым росту и развитию именно этого сектора. В дополнение к своим заслуживающим высокой оценки усилиям Шэньчжэньская фондовая биржа официально учредила Совет по МСП в приятном мае 2004 года с благородным намерением предоставить малым и средним фирмам платформу для размещения акций и торговли ими, что позволит им процветать в динамичной рыночной среде.</w:t>
      </w:r>
    </w:p>
    <w:p w14:paraId="0FAD954E" w14:textId="77777777" w:rsidR="00552820" w:rsidRPr="003B10E2" w:rsidRDefault="00552820"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Следует отметить, что количество акций практически не изменилось с 1994 года по первые месяцы 1996 года, что свидетельствует о поразительной стабильности рынка. Это явление можно объяснить тремя случаями приостановления IPO: с июля по декабрь 1994 года, с января по июнь 1995 года и с июля 1995 года по январь 1996 года. </w:t>
      </w:r>
      <w:r w:rsidR="00D1604E">
        <w:rPr>
          <w:rFonts w:ascii="Times New Roman" w:hAnsi="Times New Roman"/>
          <w:color w:val="000000"/>
          <w:sz w:val="28"/>
          <w:szCs w:val="28"/>
        </w:rPr>
        <w:t>П</w:t>
      </w:r>
      <w:r w:rsidRPr="003B10E2">
        <w:rPr>
          <w:rFonts w:ascii="Times New Roman" w:hAnsi="Times New Roman"/>
          <w:color w:val="000000"/>
          <w:sz w:val="28"/>
          <w:szCs w:val="28"/>
        </w:rPr>
        <w:t xml:space="preserve">осле отмены этих приостановлений в 1996 году объем IPO резко возрос. Однако важно признать, что рост не лишен потрясений, о чем свидетельствует значительное снижение цен на акции в начале 2004 года. После тревожного снижения рыночного индекса на 8,43% 28 июля 1994 года регулирующий орган по надзору за ценными бумагами принял решение временно приостановить проведение новых IPO с 30 июля 1994 года до середины 1995 года. Впоследствии рост постепенно возобновился, хотя и несколько умеренными темпами. </w:t>
      </w:r>
    </w:p>
    <w:p w14:paraId="11459141" w14:textId="77777777" w:rsidR="00552820" w:rsidRPr="003B10E2" w:rsidRDefault="00552820" w:rsidP="009A7448">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Количество новых акций на фондовой бирже значительно замедлилось, особенно в Шанхае, поскольку наблюдалось замедление общей рыночной активности. В Шанхае количество зарегистрированных акций колебалось минимально и оставалось относительно стабильным в диапазоне от 827 до 860 в период с 2004 по 2009 год. Однако постепенный рост начался в 2010 году: количество </w:t>
      </w:r>
      <w:r w:rsidR="00854C67">
        <w:rPr>
          <w:rFonts w:ascii="Times New Roman" w:hAnsi="Times New Roman"/>
          <w:color w:val="000000"/>
          <w:sz w:val="28"/>
          <w:szCs w:val="28"/>
        </w:rPr>
        <w:t xml:space="preserve">эмитентов </w:t>
      </w:r>
      <w:r w:rsidRPr="003B10E2">
        <w:rPr>
          <w:rFonts w:ascii="Times New Roman" w:hAnsi="Times New Roman"/>
          <w:color w:val="000000"/>
          <w:sz w:val="28"/>
          <w:szCs w:val="28"/>
        </w:rPr>
        <w:t>акций постепенно росло и достигло 1175. Тем не менее, после создания Совета по малым и средним предприятиям в 2004 году ход событий изменился, что сопровождалось последующим ростом корпоративного рынка в 2009 году, что ускорило рост Шэньчжэньской фондовой биржи. Количество компаний, котирующихся на бирже в Шэньчжэне, значительно возросло с 2005 года, а с 2009 года наблюдалось более заметное увеличение. Эта тенденция сохранялась до конца 20</w:t>
      </w:r>
      <w:r w:rsidR="00605AAD" w:rsidRPr="003B10E2">
        <w:rPr>
          <w:rFonts w:ascii="Times New Roman" w:hAnsi="Times New Roman"/>
          <w:color w:val="000000"/>
          <w:sz w:val="28"/>
          <w:szCs w:val="28"/>
        </w:rPr>
        <w:t>22</w:t>
      </w:r>
      <w:r w:rsidRPr="003B10E2">
        <w:rPr>
          <w:rFonts w:ascii="Times New Roman" w:hAnsi="Times New Roman"/>
          <w:color w:val="000000"/>
          <w:sz w:val="28"/>
          <w:szCs w:val="28"/>
        </w:rPr>
        <w:t xml:space="preserve"> года, когда количество котирующихся на бирже компаний в Шэньчжэне достигло впечатляющего показателя — 1859, что значительно отличается от сравнительно меньшего показателя в Шанхае [480—485].</w:t>
      </w:r>
    </w:p>
    <w:p w14:paraId="34E21BC4" w14:textId="77777777" w:rsidR="009A7448" w:rsidRPr="003B10E2" w:rsidRDefault="009A7448" w:rsidP="009A7448">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Шанхайская фондовая биржа показывает стабильную и положительную динамику по трем показателям несмотря на кризисы в экономике (рисунки </w:t>
      </w:r>
      <w:r w:rsidR="0007473C" w:rsidRPr="003B10E2">
        <w:rPr>
          <w:rFonts w:ascii="Times New Roman" w:hAnsi="Times New Roman"/>
          <w:color w:val="000000"/>
          <w:sz w:val="28"/>
          <w:szCs w:val="28"/>
        </w:rPr>
        <w:t>80</w:t>
      </w:r>
      <w:r w:rsidRPr="003B10E2">
        <w:rPr>
          <w:rFonts w:ascii="Times New Roman" w:hAnsi="Times New Roman"/>
          <w:color w:val="000000"/>
          <w:sz w:val="28"/>
          <w:szCs w:val="28"/>
        </w:rPr>
        <w:t>-</w:t>
      </w:r>
      <w:r w:rsidR="0007473C" w:rsidRPr="003B10E2">
        <w:rPr>
          <w:rFonts w:ascii="Times New Roman" w:hAnsi="Times New Roman"/>
          <w:color w:val="000000"/>
          <w:sz w:val="28"/>
          <w:szCs w:val="28"/>
        </w:rPr>
        <w:t>82</w:t>
      </w:r>
      <w:r w:rsidRPr="003B10E2">
        <w:rPr>
          <w:rFonts w:ascii="Times New Roman" w:hAnsi="Times New Roman"/>
          <w:color w:val="000000"/>
          <w:sz w:val="28"/>
          <w:szCs w:val="28"/>
        </w:rPr>
        <w:t>).</w:t>
      </w:r>
    </w:p>
    <w:p w14:paraId="61500E09" w14:textId="77777777" w:rsidR="009A7448" w:rsidRPr="003B10E2" w:rsidRDefault="00C72198" w:rsidP="009A7448">
      <w:pPr>
        <w:spacing w:after="0" w:line="360" w:lineRule="auto"/>
        <w:ind w:firstLine="708"/>
        <w:contextualSpacing/>
        <w:jc w:val="both"/>
        <w:rPr>
          <w:rFonts w:ascii="Times New Roman" w:hAnsi="Times New Roman"/>
          <w:color w:val="000000"/>
          <w:sz w:val="28"/>
          <w:szCs w:val="28"/>
        </w:rPr>
      </w:pPr>
      <w:r w:rsidRPr="003B10E2">
        <w:rPr>
          <w:noProof/>
        </w:rPr>
        <w:drawing>
          <wp:inline distT="0" distB="0" distL="0" distR="0" wp14:anchorId="37932835" wp14:editId="237A3AF8">
            <wp:extent cx="4565015" cy="3658235"/>
            <wp:effectExtent l="0" t="0" r="6985" b="0"/>
            <wp:docPr id="86"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57375552" w14:textId="77777777" w:rsidR="009A7448" w:rsidRPr="003B10E2" w:rsidRDefault="009A7448" w:rsidP="009A7448">
      <w:pPr>
        <w:spacing w:after="0" w:line="240" w:lineRule="auto"/>
        <w:jc w:val="center"/>
        <w:rPr>
          <w:rFonts w:ascii="Times New Roman" w:hAnsi="Times New Roman"/>
          <w:sz w:val="24"/>
          <w:szCs w:val="24"/>
        </w:rPr>
      </w:pPr>
      <w:bookmarkStart w:id="208" w:name="_Hlk145160862"/>
      <w:r w:rsidRPr="003B10E2">
        <w:rPr>
          <w:rFonts w:ascii="Times New Roman" w:hAnsi="Times New Roman"/>
          <w:iCs/>
          <w:sz w:val="24"/>
          <w:szCs w:val="24"/>
        </w:rPr>
        <w:t>Источник: Thomson Reuters.</w:t>
      </w:r>
    </w:p>
    <w:bookmarkEnd w:id="208"/>
    <w:p w14:paraId="00D113C5" w14:textId="77777777" w:rsidR="009A7448" w:rsidRPr="003B10E2" w:rsidRDefault="009A7448" w:rsidP="009A7448">
      <w:pPr>
        <w:spacing w:after="0" w:line="240" w:lineRule="auto"/>
        <w:jc w:val="center"/>
        <w:rPr>
          <w:rFonts w:ascii="Times New Roman" w:hAnsi="Times New Roman"/>
          <w:color w:val="000000"/>
          <w:sz w:val="24"/>
          <w:szCs w:val="24"/>
        </w:rPr>
      </w:pPr>
      <w:r w:rsidRPr="003B10E2">
        <w:rPr>
          <w:rFonts w:ascii="Times New Roman" w:hAnsi="Times New Roman"/>
          <w:iCs/>
          <w:color w:val="000000"/>
          <w:sz w:val="24"/>
          <w:szCs w:val="24"/>
        </w:rPr>
        <w:t xml:space="preserve">Рисунок </w:t>
      </w:r>
      <w:r w:rsidR="0007473C" w:rsidRPr="003B10E2">
        <w:rPr>
          <w:rFonts w:ascii="Times New Roman" w:hAnsi="Times New Roman"/>
          <w:iCs/>
          <w:color w:val="000000"/>
          <w:sz w:val="24"/>
          <w:szCs w:val="24"/>
        </w:rPr>
        <w:t>80</w:t>
      </w:r>
      <w:r w:rsidRPr="003B10E2">
        <w:rPr>
          <w:rFonts w:ascii="Times New Roman" w:hAnsi="Times New Roman"/>
          <w:iCs/>
          <w:color w:val="000000"/>
          <w:sz w:val="24"/>
          <w:szCs w:val="24"/>
        </w:rPr>
        <w:t xml:space="preserve"> –</w:t>
      </w:r>
      <w:r w:rsidRPr="003B10E2">
        <w:rPr>
          <w:rFonts w:ascii="Times New Roman" w:hAnsi="Times New Roman"/>
          <w:color w:val="000000"/>
          <w:sz w:val="24"/>
          <w:szCs w:val="24"/>
        </w:rPr>
        <w:t xml:space="preserve"> Число ценных бумаг на Шанхайской фондовой бирже, шт</w:t>
      </w:r>
    </w:p>
    <w:p w14:paraId="6FF00C09" w14:textId="77777777" w:rsidR="009A7448" w:rsidRPr="003B10E2" w:rsidRDefault="00C72198" w:rsidP="009A7448">
      <w:pPr>
        <w:spacing w:after="0" w:line="360" w:lineRule="auto"/>
        <w:ind w:firstLine="708"/>
        <w:contextualSpacing/>
        <w:jc w:val="both"/>
        <w:rPr>
          <w:rFonts w:ascii="Times New Roman" w:hAnsi="Times New Roman"/>
          <w:color w:val="000000"/>
          <w:sz w:val="28"/>
          <w:szCs w:val="28"/>
        </w:rPr>
      </w:pPr>
      <w:r w:rsidRPr="003B10E2">
        <w:rPr>
          <w:noProof/>
        </w:rPr>
        <w:drawing>
          <wp:inline distT="0" distB="0" distL="0" distR="0" wp14:anchorId="2334FB09" wp14:editId="428F51ED">
            <wp:extent cx="4565015" cy="3914775"/>
            <wp:effectExtent l="0" t="0" r="6985" b="0"/>
            <wp:docPr id="87"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670A9A32" w14:textId="77777777" w:rsidR="009A7448" w:rsidRPr="003B10E2" w:rsidRDefault="009A7448" w:rsidP="009A7448">
      <w:pPr>
        <w:spacing w:after="0" w:line="240" w:lineRule="auto"/>
        <w:jc w:val="center"/>
        <w:rPr>
          <w:rFonts w:ascii="Times New Roman" w:hAnsi="Times New Roman"/>
          <w:sz w:val="24"/>
          <w:szCs w:val="24"/>
        </w:rPr>
      </w:pPr>
      <w:r w:rsidRPr="003B10E2">
        <w:rPr>
          <w:rFonts w:ascii="Times New Roman" w:hAnsi="Times New Roman"/>
          <w:sz w:val="28"/>
          <w:szCs w:val="28"/>
        </w:rPr>
        <w:tab/>
      </w:r>
      <w:r w:rsidRPr="003B10E2">
        <w:rPr>
          <w:rFonts w:ascii="Times New Roman" w:hAnsi="Times New Roman"/>
          <w:iCs/>
          <w:sz w:val="24"/>
          <w:szCs w:val="24"/>
        </w:rPr>
        <w:t>Источник: Thomson Reuters.</w:t>
      </w:r>
    </w:p>
    <w:p w14:paraId="1CCA6F52" w14:textId="77777777" w:rsidR="009A7448" w:rsidRPr="003B10E2" w:rsidRDefault="009A7448" w:rsidP="009A7448">
      <w:pPr>
        <w:spacing w:after="0" w:line="240" w:lineRule="auto"/>
        <w:jc w:val="center"/>
        <w:rPr>
          <w:rFonts w:ascii="Times New Roman" w:hAnsi="Times New Roman"/>
          <w:color w:val="000000"/>
          <w:sz w:val="24"/>
          <w:szCs w:val="24"/>
        </w:rPr>
      </w:pPr>
      <w:r w:rsidRPr="003B10E2">
        <w:rPr>
          <w:rFonts w:ascii="Times New Roman" w:hAnsi="Times New Roman"/>
          <w:iCs/>
          <w:color w:val="000000"/>
          <w:sz w:val="24"/>
          <w:szCs w:val="24"/>
        </w:rPr>
        <w:t xml:space="preserve">Рисунок </w:t>
      </w:r>
      <w:r w:rsidR="0007473C" w:rsidRPr="003B10E2">
        <w:rPr>
          <w:rFonts w:ascii="Times New Roman" w:hAnsi="Times New Roman"/>
          <w:iCs/>
          <w:color w:val="000000"/>
          <w:sz w:val="24"/>
          <w:szCs w:val="24"/>
        </w:rPr>
        <w:t>81</w:t>
      </w:r>
      <w:r w:rsidRPr="003B10E2">
        <w:rPr>
          <w:rFonts w:ascii="Times New Roman" w:hAnsi="Times New Roman"/>
          <w:iCs/>
          <w:color w:val="000000"/>
          <w:sz w:val="24"/>
          <w:szCs w:val="24"/>
        </w:rPr>
        <w:t xml:space="preserve"> –</w:t>
      </w:r>
      <w:r w:rsidRPr="003B10E2">
        <w:rPr>
          <w:rFonts w:ascii="Times New Roman" w:hAnsi="Times New Roman"/>
          <w:color w:val="000000"/>
          <w:sz w:val="24"/>
          <w:szCs w:val="24"/>
        </w:rPr>
        <w:t xml:space="preserve"> Число акций на Шанхайской фондовой бирже, шт</w:t>
      </w:r>
    </w:p>
    <w:p w14:paraId="1D1D59A2" w14:textId="77777777" w:rsidR="009A7448" w:rsidRPr="003B10E2" w:rsidRDefault="009A7448" w:rsidP="009A7448">
      <w:pPr>
        <w:tabs>
          <w:tab w:val="left" w:pos="2475"/>
        </w:tabs>
        <w:rPr>
          <w:rFonts w:ascii="Times New Roman" w:hAnsi="Times New Roman"/>
          <w:sz w:val="28"/>
          <w:szCs w:val="28"/>
        </w:rPr>
      </w:pPr>
    </w:p>
    <w:p w14:paraId="0A046236" w14:textId="77777777" w:rsidR="009A7448" w:rsidRPr="003B10E2" w:rsidRDefault="00C72198" w:rsidP="009A7448">
      <w:pPr>
        <w:spacing w:after="0" w:line="360" w:lineRule="auto"/>
        <w:ind w:firstLine="708"/>
        <w:contextualSpacing/>
        <w:jc w:val="both"/>
        <w:rPr>
          <w:rFonts w:ascii="Times New Roman" w:hAnsi="Times New Roman"/>
          <w:color w:val="000000"/>
          <w:sz w:val="28"/>
          <w:szCs w:val="28"/>
        </w:rPr>
      </w:pPr>
      <w:r w:rsidRPr="003B10E2">
        <w:rPr>
          <w:noProof/>
        </w:rPr>
        <w:drawing>
          <wp:inline distT="0" distB="0" distL="0" distR="0" wp14:anchorId="0F46B9C8" wp14:editId="2751E87A">
            <wp:extent cx="4565015" cy="4070985"/>
            <wp:effectExtent l="0" t="0" r="6985" b="5715"/>
            <wp:docPr id="88"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65387A98" w14:textId="77777777" w:rsidR="009A7448" w:rsidRPr="003B10E2" w:rsidRDefault="009A7448" w:rsidP="009A7448">
      <w:pPr>
        <w:spacing w:after="0" w:line="240" w:lineRule="auto"/>
        <w:jc w:val="center"/>
        <w:rPr>
          <w:rFonts w:ascii="Times New Roman" w:hAnsi="Times New Roman"/>
          <w:sz w:val="24"/>
          <w:szCs w:val="24"/>
        </w:rPr>
      </w:pPr>
      <w:r w:rsidRPr="003B10E2">
        <w:rPr>
          <w:rFonts w:ascii="Times New Roman" w:hAnsi="Times New Roman"/>
          <w:iCs/>
          <w:sz w:val="24"/>
          <w:szCs w:val="24"/>
        </w:rPr>
        <w:t>Источник: Thomson Reuters.</w:t>
      </w:r>
    </w:p>
    <w:p w14:paraId="42C41646" w14:textId="77777777" w:rsidR="009A7448" w:rsidRPr="003B10E2" w:rsidRDefault="009A7448" w:rsidP="009A7448">
      <w:pPr>
        <w:spacing w:after="0" w:line="240" w:lineRule="auto"/>
        <w:jc w:val="center"/>
        <w:rPr>
          <w:rFonts w:ascii="Times New Roman" w:hAnsi="Times New Roman"/>
          <w:color w:val="000000"/>
          <w:sz w:val="24"/>
          <w:szCs w:val="24"/>
        </w:rPr>
      </w:pPr>
      <w:r w:rsidRPr="003B10E2">
        <w:rPr>
          <w:rFonts w:ascii="Times New Roman" w:hAnsi="Times New Roman"/>
          <w:iCs/>
          <w:color w:val="000000"/>
          <w:sz w:val="24"/>
          <w:szCs w:val="24"/>
        </w:rPr>
        <w:t xml:space="preserve">Рисунок </w:t>
      </w:r>
      <w:r w:rsidR="0007473C" w:rsidRPr="003B10E2">
        <w:rPr>
          <w:rFonts w:ascii="Times New Roman" w:hAnsi="Times New Roman"/>
          <w:iCs/>
          <w:color w:val="000000"/>
          <w:sz w:val="24"/>
          <w:szCs w:val="24"/>
        </w:rPr>
        <w:t>82</w:t>
      </w:r>
      <w:r w:rsidRPr="003B10E2">
        <w:rPr>
          <w:rFonts w:ascii="Times New Roman" w:hAnsi="Times New Roman"/>
          <w:iCs/>
          <w:color w:val="000000"/>
          <w:sz w:val="24"/>
          <w:szCs w:val="24"/>
        </w:rPr>
        <w:t xml:space="preserve"> –</w:t>
      </w:r>
      <w:r w:rsidRPr="003B10E2">
        <w:rPr>
          <w:rFonts w:ascii="Times New Roman" w:hAnsi="Times New Roman"/>
          <w:color w:val="000000"/>
          <w:sz w:val="24"/>
          <w:szCs w:val="24"/>
        </w:rPr>
        <w:t xml:space="preserve"> Число компаний, представленных на Шанхайской фондовой бирже, шт</w:t>
      </w:r>
    </w:p>
    <w:p w14:paraId="77975B56" w14:textId="77777777" w:rsidR="009A7448" w:rsidRPr="003B10E2" w:rsidRDefault="009A7448" w:rsidP="008F7122">
      <w:pPr>
        <w:spacing w:after="0" w:line="360" w:lineRule="auto"/>
        <w:ind w:firstLine="851"/>
        <w:jc w:val="both"/>
        <w:rPr>
          <w:rFonts w:ascii="Times New Roman" w:hAnsi="Times New Roman"/>
          <w:color w:val="000000"/>
          <w:sz w:val="28"/>
          <w:szCs w:val="28"/>
        </w:rPr>
      </w:pPr>
    </w:p>
    <w:p w14:paraId="0497DF44" w14:textId="77777777" w:rsidR="00552820" w:rsidRPr="003B10E2" w:rsidRDefault="00552820" w:rsidP="00552820">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Более важным показателем величины фондового рынка является общая рыночная капитализация. Стоит отметить, что Шэньчжэньская фондовая биржа в настоящее время имеет несколько отдельных советов директоров и большее количество котируемых акций. Кроме того, индексы волатильности, характеризующиеся доходностью за один и три месяца, достигли еще более высоких уровней. После бурного периода 2008 года индексы снова постепенно снизились и составили около 20%. Ближе к концу июня 2015 года, когда на китайском фондовом рынке началась новая волна турбулентности, уровень волатильности вновь резко вырос. Этот всплеск волатильности отчетливо проявился в индексах волатильности, в частности в индексах, основанных на показателях доходности, наблюдавшейся в течение одного-трех месяцев, которые значительно превысили отметку в 60% [485-489].</w:t>
      </w:r>
    </w:p>
    <w:p w14:paraId="515CF244" w14:textId="77777777" w:rsidR="00552820" w:rsidRPr="003B10E2" w:rsidRDefault="00552820" w:rsidP="00552820">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течение этого периода среднемесячный оборот составлял около 20%, что значительно выше, чем обычно на более развитых и зрелых рынках. Кроме того, стоит отметить, что оборот имеет тенденцию к значительным колебаниям с течением времени. Например, товарооборот превысил отметку 120% как в 1997, так и в 2007 годах. Однако в 2002, 2012 и 2013 годах он опустился ниже порогового значения в 10%. Интересно отметить, что эти колебания текучести кадров не позволяют выделить четкую временную тенденцию.</w:t>
      </w:r>
    </w:p>
    <w:p w14:paraId="75C70E3D" w14:textId="77777777" w:rsidR="00552820" w:rsidRPr="003B10E2" w:rsidRDefault="00552820" w:rsidP="00552820">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Китайский фондовый рынок славится своей уникальной особенностью размещения различных видов акций, каждая из которых обладает своими особенностями и характеристиками. Эти акции, обычно называемые акциями категории А, специально котируются на двух основных фондовых биржах Китая и номинированы в национальной валюте — юанях. При проведении всестороннего анализа рынка основное внимание уделяется этим акциям категории А, поскольку они составляют значительное большинство и составляют примерно 96% всех акций, находящихся в обращении на рынке. На начальном этапе участниками этого фондового рынка были исключительно иностранные инвесторы, которым был предоставлен эксклюзивный доступ к рынку. </w:t>
      </w:r>
    </w:p>
    <w:p w14:paraId="707A3DCE" w14:textId="77777777" w:rsidR="00552820" w:rsidRPr="003B10E2" w:rsidRDefault="00552820"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Тем не менее, крайне важно подчеркнуть и подчеркнуть тот факт, что эта конкретная статистика представляет собой лишь малую часть огромного и обширного рынка в целом. Это, в свою очередь, служит ярким и убедительным свидетельством огромного и безграничного потенциала будущего роста и развития этой процветающей отрасли</w:t>
      </w:r>
      <w:r w:rsidR="007D2DC3">
        <w:rPr>
          <w:rFonts w:ascii="Times New Roman" w:hAnsi="Times New Roman"/>
          <w:color w:val="000000"/>
          <w:sz w:val="28"/>
          <w:szCs w:val="28"/>
        </w:rPr>
        <w:t xml:space="preserve"> </w:t>
      </w:r>
      <w:r w:rsidRPr="003B10E2">
        <w:rPr>
          <w:rFonts w:ascii="Times New Roman" w:hAnsi="Times New Roman"/>
          <w:color w:val="000000"/>
          <w:sz w:val="28"/>
          <w:szCs w:val="28"/>
        </w:rPr>
        <w:t>[490-497].</w:t>
      </w:r>
    </w:p>
    <w:p w14:paraId="1CA20D96" w14:textId="77777777" w:rsidR="00552820" w:rsidRPr="003B10E2" w:rsidRDefault="00552820" w:rsidP="00552820">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Важно отметить, что CSRC при выполнении своих почетных обязанностей имеет необходимое разрешение на распространение экспертных заключений или руководств, которые, хотя и не имеют юридически обязательного статуса, служат бесценными юридически обязывающими рекомендациями для компаний, акции которых торгуются на бирже, и тем самым способствуют формированию атмосферы прозрачности и передовой практики в отрасли.</w:t>
      </w:r>
    </w:p>
    <w:p w14:paraId="0FEFEFD0" w14:textId="77777777" w:rsidR="009A565E" w:rsidRDefault="00BC7EED"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Появление и эволюцию акций, находящихся в обращении, можно условно разделить на три ключевых этапа. </w:t>
      </w:r>
    </w:p>
    <w:p w14:paraId="02CFBA82" w14:textId="77777777" w:rsidR="00BC7EED" w:rsidRPr="003B10E2" w:rsidRDefault="00BC7EED"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Этап </w:t>
      </w:r>
      <w:r w:rsidRPr="003B10E2">
        <w:rPr>
          <w:rFonts w:ascii="Times New Roman" w:hAnsi="Times New Roman"/>
          <w:color w:val="000000"/>
          <w:sz w:val="28"/>
          <w:szCs w:val="28"/>
          <w:lang w:val="en-US"/>
        </w:rPr>
        <w:t>I</w:t>
      </w:r>
      <w:r w:rsidRPr="003B10E2">
        <w:rPr>
          <w:rFonts w:ascii="Times New Roman" w:hAnsi="Times New Roman"/>
          <w:color w:val="000000"/>
          <w:sz w:val="28"/>
          <w:szCs w:val="28"/>
        </w:rPr>
        <w:t xml:space="preserve">. На начальном этапе развития рынка ценных бумаг Китая государственные предприятия (ГП) были преобразованы из государственной собственности в принадлежащие различным государственным и полугосударственным структурам. Именно эти акции служат основой для существующих сегодня акций, находящихся в обращении. </w:t>
      </w:r>
    </w:p>
    <w:p w14:paraId="7632CCB0" w14:textId="77777777" w:rsidR="00BC7EED" w:rsidRPr="003B10E2" w:rsidRDefault="00BC7EED" w:rsidP="00640E1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Этап II. Были предприняты многочисленные усилия по пересмотру структуры разделения акций с учетом финансовых потребностей, проблем с ликвидностью, улучшения управления и потребностей государственных предприятий в реструктуризации. </w:t>
      </w:r>
    </w:p>
    <w:p w14:paraId="15E37660" w14:textId="77777777" w:rsidR="00BC7EED" w:rsidRPr="003B10E2" w:rsidRDefault="00BC7EED" w:rsidP="00640E1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Этап III. 31 января 2004 года Государственный совет публично объявил о своем твердом намерении «активно решить вопрос о разделе акций», что стало важным событием. Впоследствии, 29 апреля 2005 года, Комиссия по регулированию ценных бумаг Китая (CSRC) начала комплексную реформу структуры разделенных акций. Благодаря строгому соблюдению условий, взаимно согласованных с владельцами размещенных акций, был начат постепенный процесс конвертации этих акций в акции, находящиеся в обращении.</w:t>
      </w:r>
    </w:p>
    <w:p w14:paraId="524103C9" w14:textId="77777777" w:rsidR="00BC7EED" w:rsidRPr="003B10E2" w:rsidRDefault="00BC7EED"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Важно отметить, что в данном конкретном контексте оценка размещенных акций определяется на основе балансовой стоимости, тогда как оценка размещенных акций определяется на основе рыночной стоимости. В период с 2000 по 2006 год общая рыночная капитализация акций оставалась неизменной на уровне 4 триллионов юаней, а затем значительно выросла в 2007 году, достигнув примерно 30 триллионов юаней. Стоит отметить, что в том же году индекс Shanghai Composite достиг беспрецедентного рубежа, достигнув своего пика на впечатляющей отметке в 6123,04 пункта. Однако вскоре из-за последовавшего за этим мирового финансового кризиса рыночная капитализация значительно снизилась, упав лишь примерно до трети от пикового значения. С начала 2009 года рыночная капитализация размещенных акций постоянно снижалась, а доля акций в обращении выросла и превысила 20 трлн юаней и оставалась относительно стабильной до недавнего периода потрясений, повлиявших на фондовый рынок.</w:t>
      </w:r>
    </w:p>
    <w:p w14:paraId="233B17BA" w14:textId="77777777" w:rsidR="00BC7EED" w:rsidRPr="003B10E2" w:rsidRDefault="00BC7EED" w:rsidP="00BC7EED">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Общая рыночная капитализация достигла наивысшего уровня в 2009 году, когда наблюдался заметный рост рыночной капитализации акций, находящихся в обращении. Стоит отметить, что к концу 20</w:t>
      </w:r>
      <w:r w:rsidR="00605AAD" w:rsidRPr="003B10E2">
        <w:rPr>
          <w:rFonts w:ascii="Times New Roman" w:hAnsi="Times New Roman"/>
          <w:color w:val="000000"/>
          <w:sz w:val="28"/>
          <w:szCs w:val="28"/>
        </w:rPr>
        <w:t>22</w:t>
      </w:r>
      <w:r w:rsidRPr="003B10E2">
        <w:rPr>
          <w:rFonts w:ascii="Times New Roman" w:hAnsi="Times New Roman"/>
          <w:color w:val="000000"/>
          <w:sz w:val="28"/>
          <w:szCs w:val="28"/>
        </w:rPr>
        <w:t xml:space="preserve"> года доля рыночной капитализации неразмещенных акций снизилась примерно до 20% по сравнению с пиковым значением около 80% в начале 1990-х годов. Важно отметить, что предельная цена представляет собой максимально допустимое увеличение или уменьшение цены акций в течение одного торгового дня по сравнению с оценочной ценой предыдущего дня. На начальных этапах развития фондового рынка Китая не существовало никаких ограничений на ежедневные колебания цен. Однако с 26 декабря 1996 года Шанхайская фондовая биржа (SSE) и Шэньчжэньская фондовая биржа (SZSE) начали вводить дневной ценовой лимит, установленный на уровне 10%. Эта мера была использована для обеспечения стабильности и упорядоченного функционирования фондового рынка.</w:t>
      </w:r>
    </w:p>
    <w:p w14:paraId="2D0A0F04" w14:textId="77777777" w:rsidR="00BC7EED" w:rsidRPr="003B10E2" w:rsidRDefault="00BC7EED" w:rsidP="00BC7EED">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Однако важно отметить, что вышеупомянутое правило не распространяется на конкретные дни, когда происходят следующие события. Во-первых, это правило не распространяется на дату первичного публичного размещения акций (IPO), то есть день, когда частная компания становится публичной, а ее акции доступны для покупки широкой публикой. Эта важная веха на пути компании к превращению в государственную организацию не подпадает под действие действующего правила.</w:t>
      </w:r>
    </w:p>
    <w:p w14:paraId="75EEDB20" w14:textId="77777777" w:rsidR="00BC7EED" w:rsidRPr="003B10E2" w:rsidRDefault="00BC7EED" w:rsidP="00BC7EED">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Кроме того, дата первых торгов после реформы структуры распределения акций также выходит за рамки этого правила. Реформа структуры распределения акций компании, например изменение количества или типа доступных акций, влияет на оценку компании и торговлю ею на рынке. Таким образом, обсуждаемое правило не распространяется на первую дату торгов после этой реформы.</w:t>
      </w:r>
    </w:p>
    <w:p w14:paraId="6759502F" w14:textId="77777777" w:rsidR="00BC7EED" w:rsidRPr="003B10E2" w:rsidRDefault="00BC7EED" w:rsidP="00BC7EED">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Кроме того, это правило не распространяется на первую дату торгов после сезонных предложений. Сезонные предложения — это рекламные кампании или скидки, предлагаемые компаниями в определенные периоды с целью увеличения продаж или привлечения клиентов. Первая дата торгов после таких сезонных предложений, которые могут быть связаны с уникальной динамикой и колебаниями рынка, не подпадает под действие этого правила.</w:t>
      </w:r>
    </w:p>
    <w:p w14:paraId="68661B20" w14:textId="77777777" w:rsidR="00BC7EED" w:rsidRPr="003B10E2" w:rsidRDefault="00BC7EED" w:rsidP="00BC7EED">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Аналогичным образом, правило не распространяется на первую дату торгов после реструктуризации материальных активов. Реструктуризация материальных активов компании, например приобретение или отчуждение физической собственности или инфраструктуры, может оказать существенное влияние на ее финансовое положение и рыночную стоимость. </w:t>
      </w:r>
    </w:p>
    <w:p w14:paraId="302B84BA" w14:textId="77777777" w:rsidR="00BC7EED" w:rsidRPr="003B10E2" w:rsidRDefault="00BC7EED"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заключение, хотя важно признать, что это правило обычно применимо в большинстве торговых дней, крайне важно учитывать вышеупомянутые исключения, которые оказывают значительное влияние на общую динамику рынка</w:t>
      </w:r>
      <w:r w:rsidR="00143780">
        <w:rPr>
          <w:rFonts w:ascii="Times New Roman" w:hAnsi="Times New Roman"/>
          <w:color w:val="000000"/>
          <w:sz w:val="28"/>
          <w:szCs w:val="28"/>
        </w:rPr>
        <w:t xml:space="preserve">. </w:t>
      </w:r>
      <w:r w:rsidRPr="003B10E2">
        <w:rPr>
          <w:rFonts w:ascii="Times New Roman" w:hAnsi="Times New Roman"/>
          <w:color w:val="000000"/>
          <w:sz w:val="28"/>
          <w:szCs w:val="28"/>
        </w:rPr>
        <w:t>Стоит отметить, что на Шанхайской и Шэньчжэньской фондовых биржах все участники рынка строго следуют правилу T+1 при торговле акциями и продуктами паевых инвестиционных фондов.</w:t>
      </w:r>
    </w:p>
    <w:p w14:paraId="108F8ED8" w14:textId="77777777" w:rsidR="00BC7EED" w:rsidRPr="003B10E2" w:rsidRDefault="00BC7EED" w:rsidP="00BC7EED">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На эти акции ST действует дневной лимит в размере 5%, что составляет половину лимита, установленного для обыкновенных акций. Эта конкретная мера направлена на устранение особых обстоятельств, с которыми сталкиваются эти компании, и предоставление им более индивидуального подхода к финансовому оздоровлению.</w:t>
      </w:r>
    </w:p>
    <w:p w14:paraId="6E679B94" w14:textId="77777777" w:rsidR="00BC7EED" w:rsidRPr="003B10E2" w:rsidRDefault="00BC7EED"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Еще одним примечательным аспектом фондового рынка Китая является налог на транзакции, широко известный как гербовый сбор, который играет важную роль в финансовом ландшафте. Стоит отметить, что этот налог недавно претерпел некоторые корректировки, в результате чего ставка была снижена до 0,1% на продавца. Однако важно признать, что на начальных этапах развития фондового рынка гербовый сбор был сравнительно высоким по сравнению с аналогичными рынками по всему миру, как показано в Таблице 20. </w:t>
      </w:r>
    </w:p>
    <w:p w14:paraId="17C875ED" w14:textId="77777777" w:rsidR="00F00E72" w:rsidRPr="003B10E2" w:rsidRDefault="00F00E72"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Таблица 2</w:t>
      </w:r>
      <w:r w:rsidR="0007473C" w:rsidRPr="003B10E2">
        <w:rPr>
          <w:rFonts w:ascii="Times New Roman" w:hAnsi="Times New Roman"/>
          <w:color w:val="000000"/>
          <w:sz w:val="28"/>
          <w:szCs w:val="28"/>
        </w:rPr>
        <w:t>0 -</w:t>
      </w:r>
      <w:r w:rsidRPr="003B10E2">
        <w:rPr>
          <w:rFonts w:ascii="Times New Roman" w:hAnsi="Times New Roman"/>
          <w:color w:val="000000"/>
          <w:sz w:val="28"/>
          <w:szCs w:val="28"/>
        </w:rPr>
        <w:t xml:space="preserve"> Гербовый сбор при торговле акциями</w:t>
      </w:r>
    </w:p>
    <w:tbl>
      <w:tblPr>
        <w:tblW w:w="6524" w:type="dxa"/>
        <w:tblInd w:w="2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8" w:type="dxa"/>
          <w:left w:w="0" w:type="dxa"/>
          <w:right w:w="120" w:type="dxa"/>
        </w:tblCellMar>
        <w:tblLook w:val="04A0" w:firstRow="1" w:lastRow="0" w:firstColumn="1" w:lastColumn="0" w:noHBand="0" w:noVBand="1"/>
      </w:tblPr>
      <w:tblGrid>
        <w:gridCol w:w="2686"/>
        <w:gridCol w:w="3838"/>
      </w:tblGrid>
      <w:tr w:rsidR="00F00E72" w:rsidRPr="003B10E2" w14:paraId="47626347" w14:textId="77777777" w:rsidTr="00143780">
        <w:trPr>
          <w:trHeight w:val="409"/>
        </w:trPr>
        <w:tc>
          <w:tcPr>
            <w:tcW w:w="2686" w:type="dxa"/>
            <w:shd w:val="clear" w:color="auto" w:fill="auto"/>
          </w:tcPr>
          <w:p w14:paraId="0060D400" w14:textId="77777777" w:rsidR="00F00E72" w:rsidRPr="003B10E2" w:rsidRDefault="00640E12" w:rsidP="002D341E">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Дата</w:t>
            </w:r>
          </w:p>
        </w:tc>
        <w:tc>
          <w:tcPr>
            <w:tcW w:w="3838" w:type="dxa"/>
            <w:shd w:val="clear" w:color="auto" w:fill="auto"/>
          </w:tcPr>
          <w:p w14:paraId="1DB1C1BE" w14:textId="77777777" w:rsidR="00F00E72" w:rsidRPr="003B10E2" w:rsidRDefault="00F00E72" w:rsidP="002D341E">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Изменение</w:t>
            </w:r>
          </w:p>
        </w:tc>
      </w:tr>
      <w:tr w:rsidR="00F00E72" w:rsidRPr="003B10E2" w14:paraId="3C5FDBDC" w14:textId="77777777" w:rsidTr="00143780">
        <w:trPr>
          <w:trHeight w:val="381"/>
        </w:trPr>
        <w:tc>
          <w:tcPr>
            <w:tcW w:w="2686" w:type="dxa"/>
            <w:shd w:val="clear" w:color="auto" w:fill="auto"/>
          </w:tcPr>
          <w:p w14:paraId="24876712" w14:textId="77777777" w:rsidR="00F00E72" w:rsidRPr="003B10E2" w:rsidRDefault="00F00E72" w:rsidP="002D341E">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1991/10/10</w:t>
            </w:r>
          </w:p>
        </w:tc>
        <w:tc>
          <w:tcPr>
            <w:tcW w:w="3838" w:type="dxa"/>
            <w:shd w:val="clear" w:color="auto" w:fill="auto"/>
          </w:tcPr>
          <w:p w14:paraId="7989F3EE" w14:textId="77777777" w:rsidR="00F00E72" w:rsidRPr="003B10E2" w:rsidRDefault="00F00E72" w:rsidP="002D341E">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от 0,6% до 0,3%</w:t>
            </w:r>
          </w:p>
        </w:tc>
      </w:tr>
      <w:tr w:rsidR="00F00E72" w:rsidRPr="003B10E2" w14:paraId="603898EA" w14:textId="77777777" w:rsidTr="00143780">
        <w:trPr>
          <w:trHeight w:val="289"/>
        </w:trPr>
        <w:tc>
          <w:tcPr>
            <w:tcW w:w="2686" w:type="dxa"/>
            <w:shd w:val="clear" w:color="auto" w:fill="auto"/>
          </w:tcPr>
          <w:p w14:paraId="44825E10" w14:textId="77777777" w:rsidR="00F00E72" w:rsidRPr="003B10E2" w:rsidRDefault="00F00E72" w:rsidP="002D341E">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1997/05/10</w:t>
            </w:r>
          </w:p>
        </w:tc>
        <w:tc>
          <w:tcPr>
            <w:tcW w:w="3838" w:type="dxa"/>
            <w:shd w:val="clear" w:color="auto" w:fill="auto"/>
          </w:tcPr>
          <w:p w14:paraId="585F6F2B" w14:textId="77777777" w:rsidR="00F00E72" w:rsidRPr="003B10E2" w:rsidRDefault="00F00E72" w:rsidP="002D341E">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от 0,3% до 0,5%</w:t>
            </w:r>
          </w:p>
        </w:tc>
      </w:tr>
      <w:tr w:rsidR="00F00E72" w:rsidRPr="003B10E2" w14:paraId="224754FA" w14:textId="77777777" w:rsidTr="00143780">
        <w:trPr>
          <w:trHeight w:val="289"/>
        </w:trPr>
        <w:tc>
          <w:tcPr>
            <w:tcW w:w="2686" w:type="dxa"/>
            <w:shd w:val="clear" w:color="auto" w:fill="auto"/>
          </w:tcPr>
          <w:p w14:paraId="764F301B" w14:textId="77777777" w:rsidR="00F00E72" w:rsidRPr="003B10E2" w:rsidRDefault="00F00E72" w:rsidP="002D341E">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1998/06/12</w:t>
            </w:r>
          </w:p>
        </w:tc>
        <w:tc>
          <w:tcPr>
            <w:tcW w:w="3838" w:type="dxa"/>
            <w:shd w:val="clear" w:color="auto" w:fill="auto"/>
          </w:tcPr>
          <w:p w14:paraId="56F5799D" w14:textId="77777777" w:rsidR="00F00E72" w:rsidRPr="003B10E2" w:rsidRDefault="00F00E72" w:rsidP="002D341E">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от 0,5% до 0,4%</w:t>
            </w:r>
          </w:p>
        </w:tc>
      </w:tr>
      <w:tr w:rsidR="00F00E72" w:rsidRPr="003B10E2" w14:paraId="5CB5268A" w14:textId="77777777" w:rsidTr="00143780">
        <w:trPr>
          <w:trHeight w:val="289"/>
        </w:trPr>
        <w:tc>
          <w:tcPr>
            <w:tcW w:w="2686" w:type="dxa"/>
            <w:shd w:val="clear" w:color="auto" w:fill="auto"/>
          </w:tcPr>
          <w:p w14:paraId="2593C59A" w14:textId="77777777" w:rsidR="00F00E72" w:rsidRPr="003B10E2" w:rsidRDefault="00F00E72" w:rsidP="002D341E">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2001/11/16</w:t>
            </w:r>
          </w:p>
        </w:tc>
        <w:tc>
          <w:tcPr>
            <w:tcW w:w="3838" w:type="dxa"/>
            <w:shd w:val="clear" w:color="auto" w:fill="auto"/>
          </w:tcPr>
          <w:p w14:paraId="31106310" w14:textId="77777777" w:rsidR="00F00E72" w:rsidRPr="003B10E2" w:rsidRDefault="00F00E72" w:rsidP="002D341E">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от 0,4% до 0,2%</w:t>
            </w:r>
          </w:p>
        </w:tc>
      </w:tr>
      <w:tr w:rsidR="00F00E72" w:rsidRPr="003B10E2" w14:paraId="52F76944" w14:textId="77777777" w:rsidTr="00143780">
        <w:trPr>
          <w:trHeight w:val="289"/>
        </w:trPr>
        <w:tc>
          <w:tcPr>
            <w:tcW w:w="2686" w:type="dxa"/>
            <w:shd w:val="clear" w:color="auto" w:fill="auto"/>
          </w:tcPr>
          <w:p w14:paraId="2C947225" w14:textId="77777777" w:rsidR="00F00E72" w:rsidRPr="003B10E2" w:rsidRDefault="00F00E72" w:rsidP="002D341E">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2005/01/24</w:t>
            </w:r>
          </w:p>
        </w:tc>
        <w:tc>
          <w:tcPr>
            <w:tcW w:w="3838" w:type="dxa"/>
            <w:shd w:val="clear" w:color="auto" w:fill="auto"/>
          </w:tcPr>
          <w:p w14:paraId="55EBD280" w14:textId="77777777" w:rsidR="00F00E72" w:rsidRPr="003B10E2" w:rsidRDefault="00F00E72" w:rsidP="002D341E">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от 0,2% до 0,1%</w:t>
            </w:r>
          </w:p>
        </w:tc>
      </w:tr>
      <w:tr w:rsidR="00F00E72" w:rsidRPr="003B10E2" w14:paraId="1042AD6D" w14:textId="77777777" w:rsidTr="00143780">
        <w:trPr>
          <w:trHeight w:val="289"/>
        </w:trPr>
        <w:tc>
          <w:tcPr>
            <w:tcW w:w="2686" w:type="dxa"/>
            <w:shd w:val="clear" w:color="auto" w:fill="auto"/>
          </w:tcPr>
          <w:p w14:paraId="788E3DB3" w14:textId="77777777" w:rsidR="00F00E72" w:rsidRPr="003B10E2" w:rsidRDefault="00F00E72" w:rsidP="002D341E">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2007/05/30</w:t>
            </w:r>
          </w:p>
        </w:tc>
        <w:tc>
          <w:tcPr>
            <w:tcW w:w="3838" w:type="dxa"/>
            <w:shd w:val="clear" w:color="auto" w:fill="auto"/>
          </w:tcPr>
          <w:p w14:paraId="03E200BB" w14:textId="77777777" w:rsidR="00F00E72" w:rsidRPr="003B10E2" w:rsidRDefault="00F00E72" w:rsidP="002D341E">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от 0,1% до 0,3%</w:t>
            </w:r>
          </w:p>
        </w:tc>
      </w:tr>
      <w:tr w:rsidR="00F00E72" w:rsidRPr="003B10E2" w14:paraId="762DC235" w14:textId="77777777" w:rsidTr="00143780">
        <w:trPr>
          <w:trHeight w:val="341"/>
        </w:trPr>
        <w:tc>
          <w:tcPr>
            <w:tcW w:w="2686" w:type="dxa"/>
            <w:shd w:val="clear" w:color="auto" w:fill="auto"/>
          </w:tcPr>
          <w:p w14:paraId="6903D782" w14:textId="77777777" w:rsidR="00F00E72" w:rsidRPr="003B10E2" w:rsidRDefault="00F00E72" w:rsidP="002D341E">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2008/04/24</w:t>
            </w:r>
          </w:p>
        </w:tc>
        <w:tc>
          <w:tcPr>
            <w:tcW w:w="3838" w:type="dxa"/>
            <w:shd w:val="clear" w:color="auto" w:fill="auto"/>
          </w:tcPr>
          <w:p w14:paraId="536F76CF" w14:textId="77777777" w:rsidR="00F00E72" w:rsidRPr="003B10E2" w:rsidRDefault="00F00E72" w:rsidP="002D341E">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0,3% до 0,1%</w:t>
            </w:r>
          </w:p>
        </w:tc>
      </w:tr>
    </w:tbl>
    <w:p w14:paraId="54805161" w14:textId="77777777" w:rsidR="00640E12" w:rsidRPr="003B10E2" w:rsidRDefault="00640E12" w:rsidP="00640E12">
      <w:pPr>
        <w:spacing w:after="0" w:line="240" w:lineRule="auto"/>
        <w:jc w:val="center"/>
        <w:rPr>
          <w:rFonts w:ascii="Times New Roman" w:hAnsi="Times New Roman"/>
          <w:sz w:val="24"/>
          <w:szCs w:val="24"/>
        </w:rPr>
      </w:pPr>
      <w:r w:rsidRPr="003B10E2">
        <w:rPr>
          <w:rFonts w:ascii="Times New Roman" w:hAnsi="Times New Roman"/>
          <w:iCs/>
          <w:sz w:val="24"/>
          <w:szCs w:val="24"/>
        </w:rPr>
        <w:t>Источник: Thomson Reuters.</w:t>
      </w:r>
    </w:p>
    <w:p w14:paraId="59BEE641" w14:textId="77777777" w:rsidR="00BC7EED" w:rsidRPr="003B10E2" w:rsidRDefault="00BC7EED" w:rsidP="00A22C51">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знаменательный день 1 июля 1990 года Шэньчжэньская фондовая биржа, уделяя особое внимание своим участникам, провела взвешенную и взвешенную политику, установив с продавцов номинальный гербовый сбор в размере 0,6%, что позволило внести свой вклад в развитие экономики в целом. Демонстрируя свою непоколебимую приверженность справедливости и равноправию, Шэньчжэньская фондовая биржа в своем непоколебимом стремлении к совершенству в ноябре 1990 года распространила эту обязанность на покупателей, обеспечив сбалансированную и гармоничную среду для всех заинтересованных сторон.</w:t>
      </w:r>
    </w:p>
    <w:p w14:paraId="0B943AA9" w14:textId="77777777" w:rsidR="00BC7EED" w:rsidRPr="003B10E2" w:rsidRDefault="00BC7EED" w:rsidP="00BC7EED">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своем постоянном стремлении адаптироваться к постоянно меняющимся финансовым условиям Шэньчжэньская фондовая биржа в знаменательную дату, 1 октября 1991 года, продемонстрировала свою непоколебимую гибкость и оперативность, снизив вышеупомянутый гербовый сбор до более скромных 0,3%, что свидетельствует о ее глубоком понимании рыночной динамики и искреннем стремлении создать благоприятную торговую среду.</w:t>
      </w:r>
    </w:p>
    <w:p w14:paraId="509B2036" w14:textId="77777777" w:rsidR="00BC7EED" w:rsidRPr="003B10E2" w:rsidRDefault="00BC7EED" w:rsidP="00BC7EED">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Стремясь обеспечить хрупкий баланс интересов всех заинтересованных сторон, гербовый сбор на Шэньчжэньской и Шанхайской фондовых биржах в знаменательную дату, 10 мая 1997 года, немного вырос до 0,5%, что отражает осторожный и взвешенный подход этих учреждений к защите интересов своих участников. Благодаря исключительной способности адаптироваться к сложившимся экономическим условиям и реагировать на них, гербовый сбор был впоследствии снижен до 0,4% в знаменательный день 12 июня 1998 года, что отражает непоколебимую приверженность этих учреждений сохранению благоприятной торговой среды для всех вовлеченных сторон.</w:t>
      </w:r>
    </w:p>
    <w:p w14:paraId="6A2FA802" w14:textId="77777777" w:rsidR="00BC7EED" w:rsidRPr="003B10E2" w:rsidRDefault="00BC7EED" w:rsidP="00BC7EED">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Не останавливаясь на достигнутом, Шэньчжэньская и Шанхайская фондовые биржи, неуклонно стремясь к совершенству, решительно пошли по пути дальнейшего снижения, снизив ставку гербового сбора до невероятных 0,1% в знаменательный день 24 января 2005 года. Этот смелый и дерзкий шаг не только продемонстрировал их непревзойденную приверженность содействию экономическому росту, но и продемонстрировал их непоколебимую решимость обеспечить максимальное удобство и прибыльность для всех участников.</w:t>
      </w:r>
    </w:p>
    <w:p w14:paraId="414D4040" w14:textId="77777777" w:rsidR="00BC7EED" w:rsidRPr="003B10E2" w:rsidRDefault="00BC7EED" w:rsidP="00640E12">
      <w:pPr>
        <w:pStyle w:val="2"/>
        <w:spacing w:before="0" w:line="360" w:lineRule="auto"/>
        <w:ind w:firstLine="851"/>
        <w:contextualSpacing/>
        <w:jc w:val="both"/>
        <w:rPr>
          <w:rFonts w:ascii="Times New Roman" w:hAnsi="Times New Roman"/>
          <w:b/>
          <w:color w:val="000000"/>
          <w:sz w:val="28"/>
          <w:szCs w:val="28"/>
          <w:lang w:eastAsia="ar-SA"/>
        </w:rPr>
      </w:pPr>
      <w:bookmarkStart w:id="209" w:name="_Toc145164388"/>
    </w:p>
    <w:p w14:paraId="4BA6A3D4" w14:textId="77777777" w:rsidR="00F00E72" w:rsidRDefault="00F00E72" w:rsidP="00640E12">
      <w:pPr>
        <w:pStyle w:val="2"/>
        <w:spacing w:before="0" w:line="360" w:lineRule="auto"/>
        <w:ind w:firstLine="851"/>
        <w:contextualSpacing/>
        <w:jc w:val="both"/>
        <w:rPr>
          <w:rFonts w:ascii="Times New Roman" w:hAnsi="Times New Roman"/>
          <w:b/>
          <w:color w:val="000000"/>
          <w:sz w:val="28"/>
          <w:szCs w:val="28"/>
          <w:lang w:eastAsia="ar-SA"/>
        </w:rPr>
      </w:pPr>
      <w:r w:rsidRPr="003B10E2">
        <w:rPr>
          <w:rFonts w:ascii="Times New Roman" w:hAnsi="Times New Roman"/>
          <w:b/>
          <w:color w:val="000000"/>
          <w:sz w:val="28"/>
          <w:szCs w:val="28"/>
          <w:lang w:eastAsia="ar-SA"/>
        </w:rPr>
        <w:t xml:space="preserve">4.2 </w:t>
      </w:r>
      <w:r w:rsidR="00DF25DE" w:rsidRPr="003B10E2">
        <w:rPr>
          <w:rFonts w:ascii="Times New Roman" w:hAnsi="Times New Roman"/>
          <w:b/>
          <w:color w:val="000000"/>
          <w:sz w:val="28"/>
          <w:szCs w:val="28"/>
          <w:lang w:eastAsia="ar-SA"/>
        </w:rPr>
        <w:t>Структурные изменения на р</w:t>
      </w:r>
      <w:r w:rsidRPr="003B10E2">
        <w:rPr>
          <w:rFonts w:ascii="Times New Roman" w:hAnsi="Times New Roman"/>
          <w:b/>
          <w:color w:val="000000"/>
          <w:sz w:val="28"/>
          <w:szCs w:val="28"/>
          <w:lang w:eastAsia="ar-SA"/>
        </w:rPr>
        <w:t>ын</w:t>
      </w:r>
      <w:r w:rsidR="00DF25DE" w:rsidRPr="003B10E2">
        <w:rPr>
          <w:rFonts w:ascii="Times New Roman" w:hAnsi="Times New Roman"/>
          <w:b/>
          <w:color w:val="000000"/>
          <w:sz w:val="28"/>
          <w:szCs w:val="28"/>
          <w:lang w:eastAsia="ar-SA"/>
        </w:rPr>
        <w:t>ке</w:t>
      </w:r>
      <w:r w:rsidRPr="003B10E2">
        <w:rPr>
          <w:rFonts w:ascii="Times New Roman" w:hAnsi="Times New Roman"/>
          <w:b/>
          <w:color w:val="000000"/>
          <w:sz w:val="28"/>
          <w:szCs w:val="28"/>
          <w:lang w:eastAsia="ar-SA"/>
        </w:rPr>
        <w:t xml:space="preserve"> облигаций</w:t>
      </w:r>
      <w:bookmarkEnd w:id="209"/>
    </w:p>
    <w:p w14:paraId="52E7C7EB" w14:textId="77777777" w:rsidR="009A565E" w:rsidRPr="009A565E" w:rsidRDefault="009A565E" w:rsidP="009A565E">
      <w:pPr>
        <w:rPr>
          <w:lang w:eastAsia="ar-SA"/>
        </w:rPr>
      </w:pPr>
    </w:p>
    <w:p w14:paraId="20ED5C4A" w14:textId="77777777" w:rsidR="002D5748" w:rsidRPr="003B10E2" w:rsidRDefault="002D5748"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С 1998 года новых облигаций на предъявителя не выпускалось, в результате чего текущий выпуск казначейских облигаций ограничен бездокументарными облигациями или сберегательными облигациями. В случае несертифицированных облигаций право собственности регистрируется электронным способом и надежно хранится в Генеральном депозитарии CCDC, что обеспечивает надежную и эффективную систему. Ранее коммерческие банки и индивидуальные инвесторы были основными участниками рынка недокументированных казначейских облигаций; однако ситуация изменилась и теперь включает страховые компании, охранные фирмы и фонды, которые теперь играют решающую роль на этом рынке. Такая диверсификация участников способствовала общему росту и развитию рынка, повышению рыночной ликвидности и улучшению торговых условий. Внедрение централизованной системы формирования рынка и клиринга еще больше укрепило динамику рынка за счет снижения торговых издержек и расширения рыночной глубины, что в конечном итоге пошло на пользу всем заинтересованным сторонам. Таким образом, очевидно, что рынок казначейских облигаций в Китае со временем претерпел значительные изменения, в результате чего финансовая экосистема стала более инклюзивной и надежной.</w:t>
      </w:r>
    </w:p>
    <w:p w14:paraId="4CFA3529" w14:textId="77777777" w:rsidR="002D5748" w:rsidRPr="003B10E2" w:rsidRDefault="002D5748"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Сберегательные облигации тщательно предоставляются индивидуальным инвесторам через высокоэффективные и удобные кассы коммерческих банков, что обеспечивает доступность и простоту транзакций. Эти сберегательные облигации обладают важнейшей характеристикой, заслуживающей внимания, а именно их исключительным свойством является срок их действия до наступления срока погашения или возможность досрочного погашения, благодаря чему они не подлежат обращению на вторичном рынке. Следует отметить, что сберегательные облигации предоставляются инвесторам в двух разных форматах: в виде физических сертификатов или более современным и упрощенным способом в электронном виде. Электронные сберегательные облигации надежно хранятся в Генеральном депозитарии CCDC, надежном хранителе, известном своей непоколебимой приверженностью защите интересов инвесторов. Действительно интересно отметить, что рынок сберегательных облигаций по-прежнему относительно невелик по сравнению с недокументарными аналогами. </w:t>
      </w:r>
    </w:p>
    <w:p w14:paraId="35D63B2A" w14:textId="77777777" w:rsidR="002D5748" w:rsidRPr="003B10E2" w:rsidRDefault="002D5748" w:rsidP="00C7784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На начальном этапе казначейские облигации были ограничены определенными временными рамками, в частности от трех до пяти лет. </w:t>
      </w:r>
    </w:p>
    <w:p w14:paraId="76A888DB" w14:textId="77777777" w:rsidR="00F00E72" w:rsidRPr="003B10E2" w:rsidRDefault="002D5748" w:rsidP="00C7784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Вторичный рынок казначейских облигаций с его многокомпонентной структурой включает три ключевых элемента, а именно фондовый рынок, межбанковский рынок и внебиржевой рынок коммерческих банков. Стоит отметить, что среди этих компонентов рынок межбанковских облигаций занимает первое место с точки зрения его значительных размеров, в то время как фондовый рынок считается наиболее динамичным с точки зрения торговой деятельности. С другой стороны, внебиржевой рынок коммерческих банков выступает в качестве вспомогательного субъекта, способствующего общему функционированию вторичного рынка казначейских облигаций. </w:t>
      </w:r>
      <w:r w:rsidR="00C77844" w:rsidRPr="003B10E2">
        <w:rPr>
          <w:rFonts w:ascii="Times New Roman" w:hAnsi="Times New Roman"/>
          <w:color w:val="000000"/>
          <w:sz w:val="28"/>
          <w:szCs w:val="28"/>
        </w:rPr>
        <w:t xml:space="preserve">Рисунок </w:t>
      </w:r>
      <w:r w:rsidR="0007473C" w:rsidRPr="003B10E2">
        <w:rPr>
          <w:rFonts w:ascii="Times New Roman" w:hAnsi="Times New Roman"/>
          <w:color w:val="000000"/>
          <w:sz w:val="28"/>
          <w:szCs w:val="28"/>
        </w:rPr>
        <w:t xml:space="preserve">83 </w:t>
      </w:r>
      <w:r w:rsidR="00C77844" w:rsidRPr="003B10E2">
        <w:rPr>
          <w:rFonts w:ascii="Times New Roman" w:hAnsi="Times New Roman"/>
          <w:color w:val="000000"/>
          <w:sz w:val="28"/>
          <w:szCs w:val="28"/>
        </w:rPr>
        <w:t>иллюстрирует</w:t>
      </w:r>
      <w:r w:rsidR="00F00E72" w:rsidRPr="003B10E2">
        <w:rPr>
          <w:rFonts w:ascii="Times New Roman" w:hAnsi="Times New Roman"/>
          <w:color w:val="000000"/>
          <w:sz w:val="28"/>
          <w:szCs w:val="28"/>
        </w:rPr>
        <w:t xml:space="preserve"> структуру вторичного рынка государственных облигаций</w:t>
      </w:r>
      <w:r w:rsidR="00C77844" w:rsidRPr="003B10E2">
        <w:rPr>
          <w:rFonts w:ascii="Times New Roman" w:hAnsi="Times New Roman"/>
          <w:color w:val="000000"/>
          <w:sz w:val="28"/>
          <w:szCs w:val="28"/>
        </w:rPr>
        <w:t>.</w:t>
      </w:r>
    </w:p>
    <w:p w14:paraId="3A972827" w14:textId="77777777" w:rsidR="00C77844" w:rsidRPr="003B10E2" w:rsidRDefault="00C72198" w:rsidP="008F7122">
      <w:pPr>
        <w:spacing w:after="0" w:line="360" w:lineRule="auto"/>
        <w:ind w:firstLine="851"/>
        <w:jc w:val="both"/>
        <w:rPr>
          <w:rFonts w:ascii="Times New Roman" w:hAnsi="Times New Roman"/>
          <w:color w:val="000000"/>
          <w:sz w:val="28"/>
          <w:szCs w:val="28"/>
        </w:rPr>
      </w:pPr>
      <w:r w:rsidRPr="003B10E2">
        <w:rPr>
          <w:noProof/>
        </w:rPr>
        <w:drawing>
          <wp:inline distT="0" distB="0" distL="0" distR="0" wp14:anchorId="0C505A5A" wp14:editId="01A6F3DC">
            <wp:extent cx="5581650" cy="3248025"/>
            <wp:effectExtent l="0" t="0" r="0" b="0"/>
            <wp:docPr id="89" name="Рисунок 1" descr="Изображение выглядит как текст, снимок экрана, Шрифт, визитная карточка&#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выглядит как текст, снимок экрана, Шрифт, визитная карточка&#10;&#10;Автоматически созданное описание"/>
                    <pic:cNvPicPr>
                      <a:picLocks/>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581650" cy="3248025"/>
                    </a:xfrm>
                    <a:prstGeom prst="rect">
                      <a:avLst/>
                    </a:prstGeom>
                    <a:noFill/>
                    <a:ln>
                      <a:noFill/>
                    </a:ln>
                  </pic:spPr>
                </pic:pic>
              </a:graphicData>
            </a:graphic>
          </wp:inline>
        </w:drawing>
      </w:r>
    </w:p>
    <w:p w14:paraId="53EC3DE7" w14:textId="77777777" w:rsidR="0007473C" w:rsidRPr="003B10E2" w:rsidRDefault="0007473C" w:rsidP="0007473C">
      <w:pPr>
        <w:spacing w:after="0" w:line="240" w:lineRule="auto"/>
        <w:jc w:val="center"/>
        <w:rPr>
          <w:rFonts w:ascii="Times New Roman" w:hAnsi="Times New Roman"/>
          <w:sz w:val="24"/>
          <w:szCs w:val="24"/>
        </w:rPr>
      </w:pPr>
      <w:r w:rsidRPr="003B10E2">
        <w:rPr>
          <w:rFonts w:ascii="Times New Roman" w:hAnsi="Times New Roman"/>
          <w:iCs/>
          <w:sz w:val="24"/>
          <w:szCs w:val="24"/>
        </w:rPr>
        <w:t>Источник: Thomson Reuters.</w:t>
      </w:r>
    </w:p>
    <w:p w14:paraId="290FA9AD" w14:textId="77777777" w:rsidR="00F00E72" w:rsidRPr="003B10E2" w:rsidRDefault="00F00E72"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Рисунок </w:t>
      </w:r>
      <w:r w:rsidR="0007473C" w:rsidRPr="003B10E2">
        <w:rPr>
          <w:rFonts w:ascii="Times New Roman" w:hAnsi="Times New Roman"/>
          <w:color w:val="000000"/>
          <w:sz w:val="28"/>
          <w:szCs w:val="28"/>
        </w:rPr>
        <w:t>83</w:t>
      </w:r>
      <w:r w:rsidRPr="003B10E2">
        <w:rPr>
          <w:rFonts w:ascii="Times New Roman" w:hAnsi="Times New Roman"/>
          <w:color w:val="000000"/>
          <w:sz w:val="28"/>
          <w:szCs w:val="28"/>
        </w:rPr>
        <w:t xml:space="preserve"> </w:t>
      </w:r>
      <w:r w:rsidR="0007473C" w:rsidRPr="003B10E2">
        <w:rPr>
          <w:rFonts w:ascii="Times New Roman" w:hAnsi="Times New Roman"/>
          <w:color w:val="000000"/>
          <w:sz w:val="28"/>
          <w:szCs w:val="28"/>
        </w:rPr>
        <w:t xml:space="preserve">- </w:t>
      </w:r>
      <w:r w:rsidRPr="003B10E2">
        <w:rPr>
          <w:rFonts w:ascii="Times New Roman" w:hAnsi="Times New Roman"/>
          <w:color w:val="000000"/>
          <w:sz w:val="28"/>
          <w:szCs w:val="28"/>
        </w:rPr>
        <w:t>Структура вторичного рынка облигаций</w:t>
      </w:r>
    </w:p>
    <w:p w14:paraId="58ED14C2" w14:textId="77777777" w:rsidR="002D5748" w:rsidRPr="003B10E2" w:rsidRDefault="002D5748"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На рынке межбанковских облигаций используется первичная депозитарная структура, которая представляет собой систему, облегчающую хранение облигаций и управление ими. В этой структуре Китайская центральная депозитарная и клиринговая компания (CCDC) играет важнейшую роль, поскольку она отвечает за надзор за общим депозитарием на всех рынках облигаций, а также выступает в качестве основного депозитария, особенно на межбанковском рынке. Это означает, что CCDC обеспечивает эффективное и безопасное хранение облигаций, предоставляя надежную платформу для сделок с облигациями на межбанковском рынке. С другой стороны, биржевой рынок облигаций и рынок внебиржевых коммерческих банков имеют двухуровневую депозитарную структуру. На этих рынках CCDC по-прежнему выступает в качестве основного депозитария, но работает вместе с другими организациями. В частности, коммерческие банки выступают в качестве вторичных депозитариев. Эта многоуровневая структура обеспечивает комплексную и надежную систему хранения облигаций и управления ими, способствуя общей стабильности и эффективности рынков облигаций в Китае [502-504].</w:t>
      </w:r>
    </w:p>
    <w:p w14:paraId="1A423830" w14:textId="77777777" w:rsidR="002D5748" w:rsidRPr="003B10E2" w:rsidRDefault="002D5748"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По мере приближения к концу 20</w:t>
      </w:r>
      <w:r w:rsidR="00605AAD" w:rsidRPr="003B10E2">
        <w:rPr>
          <w:rFonts w:ascii="Times New Roman" w:hAnsi="Times New Roman"/>
          <w:color w:val="000000"/>
          <w:sz w:val="28"/>
          <w:szCs w:val="28"/>
        </w:rPr>
        <w:t>22</w:t>
      </w:r>
      <w:r w:rsidRPr="003B10E2">
        <w:rPr>
          <w:rFonts w:ascii="Times New Roman" w:hAnsi="Times New Roman"/>
          <w:color w:val="000000"/>
          <w:sz w:val="28"/>
          <w:szCs w:val="28"/>
        </w:rPr>
        <w:t xml:space="preserve"> года номинальная стоимость несертифицированных казначейских облигаций, котирующихся на фондовом рынке, впечатляюще достигла значительной суммы в 635 миллиардов юаней, что составляет примерно 5,89% от общей номинальной стоимости несертифицированных казначейских облигаций в обращении. </w:t>
      </w:r>
    </w:p>
    <w:p w14:paraId="79723784" w14:textId="77777777" w:rsidR="002D5748" w:rsidRPr="003B10E2" w:rsidRDefault="002D5748" w:rsidP="00B13217">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Необходимо принять во внимание тот факт, что во второй половине 2007 года объем непогашенных казначейских облигаций резко снизился. Этот всплеск стал очевидным, когда эта цифра выросла с 3 трлн юаней до поразительных 4,5 трлн юаней, главным образом благодаря выпуску специальных государственных облигаций в 2007 году</w:t>
      </w:r>
      <w:r w:rsidRPr="003B10E2">
        <w:t xml:space="preserve"> </w:t>
      </w:r>
      <w:r w:rsidRPr="003B10E2">
        <w:rPr>
          <w:rFonts w:ascii="Times New Roman" w:hAnsi="Times New Roman"/>
          <w:color w:val="000000"/>
          <w:sz w:val="28"/>
          <w:szCs w:val="28"/>
        </w:rPr>
        <w:t>[507-511].</w:t>
      </w:r>
    </w:p>
    <w:p w14:paraId="2DC8B7FE" w14:textId="77777777" w:rsidR="002D5748" w:rsidRPr="003B10E2" w:rsidRDefault="002D5748"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Рынок внебиржевых облигаций коммерческих банков представляет собой особый вариант внебиржевого рынка государственных облигаций, где индивидуальные инвесторы являются основными участниками торговли казначейскими облигациями с коммерческими банками через их филиальные сети. Кроме того, этим индивидуальным инвесторам впоследствии была предоставлена привилегия выкупить эти облигации. В настоящее время этот рынок служит продолжением рынка межбанковских облигаций, удовлетворяющего потребности мелких и средних частных инвесторов, а также институциональных инвесторов. </w:t>
      </w:r>
    </w:p>
    <w:p w14:paraId="08475AA0" w14:textId="77777777" w:rsidR="002D5748" w:rsidRPr="003B10E2" w:rsidRDefault="002D5748" w:rsidP="002D574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Большинство облигаций, торгуемых коммерческими банками на внебиржевом рынке, в основном являются сберегательными облигациями, что свидетельствует об осторожном и осторожном подходе этих финансовых учреждений. Следует отметить, что в 2015 году объем выпуска казначейских облигаций на внебиржевом рынке коммерческими банками составил всего 0,1 миллиарда юаней, что составляет ничтожно малую долю в 0,01% по сравнению с общим объемом несертифицированных казначейских облигаций, выпущенных в том же году. Такой ничтожный показатель отражает преобладающее предпочтение сберегательным облигациям среди взыскательных инвесторов.</w:t>
      </w:r>
    </w:p>
    <w:p w14:paraId="346C6D50" w14:textId="77777777" w:rsidR="002D5748" w:rsidRPr="003B10E2" w:rsidRDefault="002D5748" w:rsidP="002D574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заключение, данные, приведенные в вышеупомянутых параграфах, ясно указывают на доминирование сберегательных облигаций на внебиржевом рынке, что свидетельствует </w:t>
      </w:r>
      <w:r w:rsidR="001A737E" w:rsidRPr="003B10E2">
        <w:rPr>
          <w:rFonts w:ascii="Times New Roman" w:hAnsi="Times New Roman"/>
          <w:color w:val="000000"/>
          <w:sz w:val="28"/>
          <w:szCs w:val="28"/>
        </w:rPr>
        <w:t>об осмотрительности</w:t>
      </w:r>
      <w:r w:rsidRPr="003B10E2">
        <w:rPr>
          <w:rFonts w:ascii="Times New Roman" w:hAnsi="Times New Roman"/>
          <w:color w:val="000000"/>
          <w:sz w:val="28"/>
          <w:szCs w:val="28"/>
        </w:rPr>
        <w:t xml:space="preserve"> и принятии стратегических решений коммерческими банками. Выпуск казначейских облигаций, хотя и ограничен по объему, отражает приверженность этих учреждений сохранению прозрачности и подотчетности на рынке, одновременно удовлетворяя постоянно меняющиеся потребности и предпочтения инвесторов. Несомненно, необходимо проанализировать эти тенденции, чтобы получить полное представление о динамике финансового сектора. </w:t>
      </w:r>
    </w:p>
    <w:p w14:paraId="3EAA70F3" w14:textId="77777777" w:rsidR="002D5748" w:rsidRPr="003B10E2" w:rsidRDefault="002D5748" w:rsidP="002D574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До 2008 года было четыре случая, когда выпуск казначейских облигаций достиг своего пика. Средства, собранные в результате этой эмиссии, в основном были использованы для решения экономических проблем, возникших в связи с вышеупомянутым кризисом.</w:t>
      </w:r>
    </w:p>
    <w:p w14:paraId="2BBC00C8" w14:textId="77777777" w:rsidR="002D5748" w:rsidRPr="003B10E2" w:rsidRDefault="002D5748"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Стоит отметить два последних в</w:t>
      </w:r>
      <w:r w:rsidR="00ED3CC5">
        <w:rPr>
          <w:rFonts w:ascii="Times New Roman" w:hAnsi="Times New Roman"/>
          <w:color w:val="000000"/>
          <w:sz w:val="28"/>
          <w:szCs w:val="28"/>
        </w:rPr>
        <w:t xml:space="preserve">упуска </w:t>
      </w:r>
      <w:r w:rsidRPr="003B10E2">
        <w:rPr>
          <w:rFonts w:ascii="Times New Roman" w:hAnsi="Times New Roman"/>
          <w:color w:val="000000"/>
          <w:sz w:val="28"/>
          <w:szCs w:val="28"/>
        </w:rPr>
        <w:t>во второй половине 2007 года. За это время Министерство финансов выступило с инициативой выпуска двух специальных казначейских облигаций, стоимость которых составила 1,5 триллиона юаней. Целью этих облигаций было оказание финансовой поддержки Китайской инвестиционной корпорации. В результате этого развития общая сумма долга заметно выросла с примерно 3 триллионов юаней до примерно 4,5 триллионов юаней. В ответ на финансовый кризис правительство Китая приняло оперативные меры, введя пакет мер стимулирования экономики на сумму 4 трлн юаней к концу 2008 года. Этот пакет был направлен на смягчение последствий кризиса. В результате ежемесячный объем выпущенных казначейских облигаций значительно вырос, часто превышая отметку в 100 миллиардов юаней, что привело к периодическим пикам.</w:t>
      </w:r>
    </w:p>
    <w:p w14:paraId="6676BEB6" w14:textId="77777777" w:rsidR="002D5748" w:rsidRPr="003B10E2" w:rsidRDefault="002D5748"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Следует отметить, что рынок внебиржевых коммерческих банков, который первоначально был скромным по своим размерам до 2007 года, с 2008 года начал умеренный рост. Уместно подчеркнуть, что, несмотря на заметные различия между тремя рынками, главным образом в зависимости от типа облигаций и инвестора, возможности межрыночных депозитарных переводов ограничены. </w:t>
      </w:r>
    </w:p>
    <w:p w14:paraId="747F45F3" w14:textId="77777777" w:rsidR="008E453A" w:rsidRPr="003B10E2" w:rsidRDefault="008E453A"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Наконец, на рынке внебиржевых коммерческих банковских облигаций преимущественно участвуют индивидуальные инвесторы, участвующие в сделках с коммерческими банками. На каждом из этих рынков состав инвесторов различается, что отражает уникальные характеристики и предпочтения участвующих участников. При анализе инвестиций в государственные облигации важно учитывать эти различия, поскольку они могут существенно повлиять на динамику и поведение, наблюдаемые на каждом рынке. Понимая разнообразие участников и их мотивацию, политики и регуляторы рынка могут принимать обоснованные решения для обеспечения стабильности и эффективности на этих финансовых рынках.</w:t>
      </w:r>
    </w:p>
    <w:p w14:paraId="51AB6274" w14:textId="77777777" w:rsidR="008E453A" w:rsidRPr="003B10E2" w:rsidRDefault="008E453A"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По состоянию на конец 20</w:t>
      </w:r>
      <w:r w:rsidR="00605AAD" w:rsidRPr="003B10E2">
        <w:rPr>
          <w:rFonts w:ascii="Times New Roman" w:hAnsi="Times New Roman"/>
          <w:color w:val="000000"/>
          <w:sz w:val="28"/>
          <w:szCs w:val="28"/>
        </w:rPr>
        <w:t>22</w:t>
      </w:r>
      <w:r w:rsidRPr="003B10E2">
        <w:rPr>
          <w:rFonts w:ascii="Times New Roman" w:hAnsi="Times New Roman"/>
          <w:color w:val="000000"/>
          <w:sz w:val="28"/>
          <w:szCs w:val="28"/>
        </w:rPr>
        <w:t xml:space="preserve"> года стало очевидным, что из огромной суммы казначейских облигаций в размере 10,8 трлн юаней контрольный пакет акций принадлежал коммерческим банкам (67,07%). Кроме того, участники специальных расчетов владели солидной долей в 15,09%, а страховые компании сохранили скромную долю в 3,23%. Впоследствии после создания межбанковского рынка в 1998 году активы коммерческих банков постепенно увеличивались, в результате чего в 1999 году их доля превысила ошеломляющие 90%. Однако к 2004 году эта доля постепенно снизилась примерно до 60%. В то же время доля лиц, принадлежащих членам специальных поселений, росла, и к концу 2007 года она достигла почти 40%. Тенденция к сокращению сбережений коммерческих банков продолжалась и в 2008 году достигла примерно 50%, после чего она начала расти и в конечном итоге достигла своего пика к 20</w:t>
      </w:r>
      <w:r w:rsidR="00605AAD" w:rsidRPr="003B10E2">
        <w:rPr>
          <w:rFonts w:ascii="Times New Roman" w:hAnsi="Times New Roman"/>
          <w:color w:val="000000"/>
          <w:sz w:val="28"/>
          <w:szCs w:val="28"/>
        </w:rPr>
        <w:t>22</w:t>
      </w:r>
      <w:r w:rsidRPr="003B10E2">
        <w:rPr>
          <w:rFonts w:ascii="Times New Roman" w:hAnsi="Times New Roman"/>
          <w:color w:val="000000"/>
          <w:sz w:val="28"/>
          <w:szCs w:val="28"/>
        </w:rPr>
        <w:t xml:space="preserve"> году [517-519].</w:t>
      </w:r>
    </w:p>
    <w:p w14:paraId="36ECDAA0" w14:textId="77777777" w:rsidR="008E453A" w:rsidRPr="003B10E2" w:rsidRDefault="008E453A"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С 1998 года доля спец</w:t>
      </w:r>
      <w:r w:rsidR="00ED3CC5">
        <w:rPr>
          <w:rFonts w:ascii="Times New Roman" w:hAnsi="Times New Roman"/>
          <w:color w:val="000000"/>
          <w:sz w:val="28"/>
          <w:szCs w:val="28"/>
        </w:rPr>
        <w:t>выпусков</w:t>
      </w:r>
      <w:r w:rsidRPr="003B10E2">
        <w:rPr>
          <w:rFonts w:ascii="Times New Roman" w:hAnsi="Times New Roman"/>
          <w:color w:val="000000"/>
          <w:sz w:val="28"/>
          <w:szCs w:val="28"/>
        </w:rPr>
        <w:t xml:space="preserve"> в казначейских облигациях значительно возросла: с небольшой доли до примерно 10% от общего объема рынка. Этой категории удалось сохранить свои позиции примерно на этом уровне до 2007 года, когда произошло резкое увеличение объема активов. Впоследствии произошло постепенное снижение, хотя и медленными темпами. В настоящее время запасы казначейских облигаций претерпевают заметные и разительные изменения, которые в первую очередь связаны с произошедшими институциональными изменениями. В частности, важно отметить, что сразу после создания межбанковского рынка облигаций в 1997 году произошел сценарий, в соответствии с которым коммерческим банкам было запрещено участвовать в фондовых биржах. В результате большинство казначейских облигаций было изъято с фондовых бирж, что привело к наблюдаемым изменениям.</w:t>
      </w:r>
    </w:p>
    <w:p w14:paraId="378C07D7" w14:textId="77777777" w:rsidR="00B13217" w:rsidRPr="003B10E2" w:rsidRDefault="008E453A" w:rsidP="00B13217">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Еще одной важной тенденцией, наблюдаемой в последние годы, является явление волатильности, которое оказало значительное влияние на валютный рынок и привело к заметному снижению его рыночной доли. </w:t>
      </w:r>
    </w:p>
    <w:p w14:paraId="1215832C" w14:textId="77777777" w:rsidR="008E453A" w:rsidRPr="003B10E2" w:rsidRDefault="008E453A" w:rsidP="008E453A">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отличие от фондового рынка, где участники не открывают счета для торговли облигациями напрямую в CCDC, все участники межбанковского рынка делают это. Стоит отметить, что CCDC непосредственно отвечает за депозитарий и клиринг облигаций. В Китае корпоративные кредитные облигации можно разделить на четыре основных типа</w:t>
      </w:r>
      <w:r w:rsidR="00ED3CC5">
        <w:rPr>
          <w:rFonts w:ascii="Times New Roman" w:hAnsi="Times New Roman"/>
          <w:color w:val="000000"/>
          <w:sz w:val="28"/>
          <w:szCs w:val="28"/>
        </w:rPr>
        <w:t>.</w:t>
      </w:r>
      <w:r w:rsidRPr="003B10E2">
        <w:rPr>
          <w:rFonts w:ascii="Times New Roman" w:hAnsi="Times New Roman"/>
          <w:color w:val="000000"/>
          <w:sz w:val="28"/>
          <w:szCs w:val="28"/>
        </w:rPr>
        <w:t xml:space="preserve"> </w:t>
      </w:r>
    </w:p>
    <w:p w14:paraId="5E55EE13" w14:textId="77777777" w:rsidR="008E453A" w:rsidRPr="003B10E2" w:rsidRDefault="008E453A" w:rsidP="008E453A">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Управление корпоративными облигациями и надзор за ними возложены на Генеральный депозитарий CCDC, который является ключевым игроком на финансовом рынке Китая. Чтобы обеспечить справедливую и прозрачную практику, Китайской комиссии по регулированию ценных бумаг (CSRC) поручено регулировать выпуск и торговлю корпоративными облигациями. Важно отметить, что торговля корпоративными облигациями ограничена рынком облигаций и депозитарием CSDC, что создает контролируемую и регулируемую среду для инвесторов. </w:t>
      </w:r>
    </w:p>
    <w:p w14:paraId="219B267F" w14:textId="77777777" w:rsidR="008E453A" w:rsidRPr="003B10E2" w:rsidRDefault="008E453A"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Эти финансовые инструменты необходимы предприятиям и учреждениям для удовлетворения своих краткосрочных и среднесрочных потребностей в финансировании, позволяя им эффективно управлять денежными потоками и требованиями к ликвидности в динамичной рыночной среде. С другой стороны, корпоративные облигации специально разработаны для целей долгосрочного финансирования и предоставляют компаниям возможность осуществлять стратегические инвестиции, расширять свою деятельность и повышать общую конкурентоспособность. Стоит отметить, что краткосрочные коммерческие ценные бумаги со сроком погашения не более одного года представляют собой гибкий вариант финансирования, который можно легко пролонгировать или погасить в зависимости от финансового положения заемщиков и рыночных условий. Аналогичным образом, среднесрочные облигации со сроком погашения от одного до десяти лет предоставляют эмитентам более широкий выбор вариантов финансирования и позволяют им согласовать структуру долга с долгосрочными бизнес-стратегиями. В целом, широкий спектр облигационных инструментов, доступных на межбанковском рынке облигаций и в депозитарии Шанхайской клиринговой палаты (SHCH), не только способствует общей стабильности и развитию финансовой системы, но и служит жизненно важными инструментами для бизнеса, инвесторов и экономики в целом.</w:t>
      </w:r>
    </w:p>
    <w:p w14:paraId="58209693" w14:textId="77777777" w:rsidR="008E453A" w:rsidRPr="003B10E2" w:rsidRDefault="008E453A" w:rsidP="008E453A">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Корпоративные облигации выпускаются различными типами предприятий, такими как государственные учреждения, предприятия с коллективной собственностью и государственные предприятия. В первые годы эти предприятия должны были пройти двухэтапный процесс утверждения. Во-первых, они должны были обратиться за одобрением в Государственную плановую комиссию (SPC), а затем СПК должна была обратиться за разрешением и одобрением в Государственный совет. К сожалению, этот процесс характеризовался избыточностью и сложностью, что </w:t>
      </w:r>
      <w:r w:rsidR="00ED3CC5" w:rsidRPr="003B10E2">
        <w:rPr>
          <w:rFonts w:ascii="Times New Roman" w:hAnsi="Times New Roman"/>
          <w:color w:val="000000"/>
          <w:sz w:val="28"/>
          <w:szCs w:val="28"/>
        </w:rPr>
        <w:t>в итоге</w:t>
      </w:r>
      <w:r w:rsidRPr="003B10E2">
        <w:rPr>
          <w:rFonts w:ascii="Times New Roman" w:hAnsi="Times New Roman"/>
          <w:color w:val="000000"/>
          <w:sz w:val="28"/>
          <w:szCs w:val="28"/>
        </w:rPr>
        <w:t xml:space="preserve"> препятствовало росту и развитию рынка корпоративных облигаций. Таким образом, объем выпуска корпоративных облигаций в 2006 и 2007 годах составил всего 66 миллиардов юаней и 172 миллиарда юаней соответственно. Однако в 2008 году произошел поворотный момент в направлении либерализации рынка корпоративных облигаций, который значительно упростил процесс выпуска.</w:t>
      </w:r>
    </w:p>
    <w:p w14:paraId="753D6755" w14:textId="77777777" w:rsidR="008E453A" w:rsidRPr="003B10E2" w:rsidRDefault="008E453A" w:rsidP="008E453A">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результате этого упрощения рынок корпоративных облигаций начал процветать. Это позитивное изменение четко отразилось на количестве выпусков: корпоративные облигации на сумму 237 миллиардов юаней были выпущены в 2008 году и ошеломляющие 593 миллиарда юаней в 20</w:t>
      </w:r>
      <w:r w:rsidR="00605AAD" w:rsidRPr="003B10E2">
        <w:rPr>
          <w:rFonts w:ascii="Times New Roman" w:hAnsi="Times New Roman"/>
          <w:color w:val="000000"/>
          <w:sz w:val="28"/>
          <w:szCs w:val="28"/>
        </w:rPr>
        <w:t>22</w:t>
      </w:r>
      <w:r w:rsidRPr="003B10E2">
        <w:rPr>
          <w:rFonts w:ascii="Times New Roman" w:hAnsi="Times New Roman"/>
          <w:color w:val="000000"/>
          <w:sz w:val="28"/>
          <w:szCs w:val="28"/>
        </w:rPr>
        <w:t xml:space="preserve"> году. Упрощение процесса выпуска не только устранило ненужное бремя, но и предоставило предприятиям более удобный и эффективный способ получения финансирования на рынке корпоративных облигаций. Сократив бюрократические и административные препоны, предприятия смогли воспользоваться открывающимися возможностями и получить более легкий доступ к необходимому капиталу. Этот новый упрощенный доступ к рынку корпоративных облигаций не только способствовал экономическому росту, но и способствовал созданию более динамичной и динамичной деловой среды.</w:t>
      </w:r>
    </w:p>
    <w:p w14:paraId="4FB2113A" w14:textId="77777777" w:rsidR="008E453A" w:rsidRPr="003B10E2" w:rsidRDefault="008E453A" w:rsidP="008E453A">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Кроме того, либерализация рынка корпоративных облигаций оказала влияние не только на финансовый сектор. Она сыграла решающую роль в содействии общему экономическому развитию, поощряя предприятия к поиску новых путей привлечения капитала. Это, в свою очередь, стимулировало инновации, предпринимательство и конкурентоспособность, поскольку предприятия больше не полагались только на традиционные источники финансирования. Либерализация рынка корпоративных облигаций также привлекла как внутренних, так и международных инвесторов, что привело к дальнейшей диверсификации базы инвесторов и вливанию на рынок дополнительной ликвидности. Такое расширение участия и повышение ликвидности не только повысили эффективность рынка, но и предоставили инвесторам более широкие возможности для диверсификации портфелей и управления рисками.</w:t>
      </w:r>
    </w:p>
    <w:p w14:paraId="7D4BC6E4" w14:textId="77777777" w:rsidR="008E453A" w:rsidRPr="003B10E2" w:rsidRDefault="008E453A" w:rsidP="008E453A">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заключение следует отметить, что упрощение процесса выпуска корпоративных облигаций в 2008 году стало важным поворотным моментом на рынке корпоративных облигаций. Устранение бюрократических барьеров и административных сложностей способствовало повышению доступности и эффективности рынка, что привело к значительному увеличению выпуска корпоративных облигаций. Это, в свою очередь, способствовало экономическому росту, стимулировало инновации и конкурентоспособность и привлекло более широкий круг инвесторов. Либерализация рынка корпоративных облигаций, несомненно, сыграла ключевую роль в содействии общему экономическому развитию и создании более динамичной деловой среды.</w:t>
      </w:r>
    </w:p>
    <w:p w14:paraId="5F1A1D73" w14:textId="77777777" w:rsidR="00F00E72" w:rsidRPr="003B10E2" w:rsidRDefault="008E453A" w:rsidP="008E453A">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Корпоративные облигации, представляющие собой облигации с долгосрочным сроком действия, выпускаются компаниями, котирующимися на бирже, и компаниями, не котирующимися на бирже. Стоит отметить, что Закон о компаниях прямо разрешает котирующимся на бирже компаниям выпускать долговые обязательства; однако это положение применялось только в 2007 году</w:t>
      </w:r>
      <w:r w:rsidR="00B13217">
        <w:rPr>
          <w:rFonts w:ascii="Times New Roman" w:hAnsi="Times New Roman"/>
          <w:color w:val="000000"/>
          <w:sz w:val="28"/>
          <w:szCs w:val="28"/>
        </w:rPr>
        <w:t xml:space="preserve"> </w:t>
      </w:r>
      <w:r w:rsidR="00465DE4" w:rsidRPr="003B10E2">
        <w:rPr>
          <w:rFonts w:ascii="Times New Roman" w:hAnsi="Times New Roman"/>
          <w:color w:val="000000"/>
          <w:sz w:val="28"/>
          <w:szCs w:val="28"/>
        </w:rPr>
        <w:t>[522-52</w:t>
      </w:r>
      <w:r w:rsidR="00010E0E" w:rsidRPr="003B10E2">
        <w:rPr>
          <w:rFonts w:ascii="Times New Roman" w:hAnsi="Times New Roman"/>
          <w:color w:val="000000"/>
          <w:sz w:val="28"/>
          <w:szCs w:val="28"/>
        </w:rPr>
        <w:t>4</w:t>
      </w:r>
      <w:r w:rsidR="00465DE4" w:rsidRPr="003B10E2">
        <w:rPr>
          <w:rFonts w:ascii="Times New Roman" w:hAnsi="Times New Roman"/>
          <w:color w:val="000000"/>
          <w:sz w:val="28"/>
          <w:szCs w:val="28"/>
        </w:rPr>
        <w:t>].</w:t>
      </w:r>
    </w:p>
    <w:p w14:paraId="07E8B21A" w14:textId="77777777" w:rsidR="008E453A" w:rsidRPr="003B10E2" w:rsidRDefault="008E453A" w:rsidP="00010E0E">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Следует отметить, что выпуск краткосрочных коммерческих ценных бумаг в Китае начался в 1989 году. В первые годы своего существования процесс выпуска краткосрочных коммерческих ценных бумаг регулировался строгими правилами, что требовало одобрения Народного банка Китая. Однако в 2005 году произошел значительный сдвиг, когда появилась новая регуляторная политика, которая привела к возобновлению работы рынка.</w:t>
      </w:r>
    </w:p>
    <w:p w14:paraId="05054373" w14:textId="77777777" w:rsidR="008E453A" w:rsidRPr="003B10E2" w:rsidRDefault="008E453A" w:rsidP="008E453A">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соответствии с этой новой регуляторной политикой выпуск краткосрочных коммерческих </w:t>
      </w:r>
      <w:r w:rsidR="00ED3CC5">
        <w:rPr>
          <w:rFonts w:ascii="Times New Roman" w:hAnsi="Times New Roman"/>
          <w:color w:val="000000"/>
          <w:sz w:val="28"/>
          <w:szCs w:val="28"/>
        </w:rPr>
        <w:t xml:space="preserve">бумаг </w:t>
      </w:r>
      <w:r w:rsidRPr="003B10E2">
        <w:rPr>
          <w:rFonts w:ascii="Times New Roman" w:hAnsi="Times New Roman"/>
          <w:color w:val="000000"/>
          <w:sz w:val="28"/>
          <w:szCs w:val="28"/>
        </w:rPr>
        <w:t>перешел от прежней системы выдачи разрешений к инновационной системе регистрации. Это изменение подхода было направлено на оптимизацию процесса и облегчение выпуска этих коммерческих ценных бумаг. Заметной вехой в истории выпуска краткосрочных коммерческих ценных бумаг в Китае стал 2016 год, когда было выпущено краткосрочных коммерческих ценных бумаг на внушительную сумму 608,3 млрд юаней. Одновременно общая сумма депозитов достигла поразительных 602,2 млрд юаней, что еще больше укрепило значимость и влияние этих финансовых инструментов на китайском рынке.</w:t>
      </w:r>
    </w:p>
    <w:p w14:paraId="35F94880" w14:textId="77777777" w:rsidR="008E453A" w:rsidRPr="003B10E2" w:rsidRDefault="008E453A" w:rsidP="008E453A">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Выпуск краткосрочных коммерческих ценных бумаг нефинансовыми предприятиями со статусом юридического лица служит важнейшим средством финансирования различных организаций в Китае. Этот инструмент, аналогичный коммерческим бумагам в Соединенных Штатах, позволяет предприятиям напрямую получать необходимые средства для удовлетворения краткосрочных финансовых потребностей. Эти коммерческие ценные бумаги, срок погашения которых не превышает одного года, представляют собой гибкий и эффективный вариант финансирования.</w:t>
      </w:r>
    </w:p>
    <w:p w14:paraId="375F3968" w14:textId="77777777" w:rsidR="008E453A" w:rsidRPr="003B10E2" w:rsidRDefault="008E453A" w:rsidP="008E453A">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Внедрение краткосрочных коммерческих ценных бумаг в Китае в 1989 году ознаменовало существенное изменение финансового ландшафта страны. Однако первоначально процесс выпуска этих бумаг регулировался строгими правилами, требующими одобрения Народного банка Китая. Эта нормативная база сохранялась до 2005 года, когда была введена новая политика, в результате которой рынок краткосрочных коммерческих ценных бумаг вновь открылся.</w:t>
      </w:r>
    </w:p>
    <w:p w14:paraId="5B2A1BA1" w14:textId="77777777" w:rsidR="008E453A" w:rsidRPr="003B10E2" w:rsidRDefault="008E453A" w:rsidP="00010E0E">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соответствии с новой регуляторной политикой была введена система регистрации, которая заменила предыдущую систему выдачи разрешений. Это изменение было направлено на оптимизацию процесса выпуска и предоставление предприятиям большей гибкости в получении финансовых средств в виде краткосрочных коммерческих бумаг. </w:t>
      </w:r>
    </w:p>
    <w:p w14:paraId="7972C8F3" w14:textId="77777777" w:rsidR="008E453A" w:rsidRPr="003B10E2" w:rsidRDefault="008E453A" w:rsidP="008E453A">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целом выпуск и использование краткосрочных коммерческих ценных бумаг в Китае играют решающую роль в удовлетворении финансовых потребностей нефинансовых предприятий. Переход от системы одобрения к системе регистрации способствовал росту и доступности этих ценных бумаг, что позволило предприятиям эффективно удовлетворять свои потребности в краткосрочном финансировании</w:t>
      </w:r>
      <w:r w:rsidR="00ED3CC5">
        <w:rPr>
          <w:rFonts w:ascii="Times New Roman" w:hAnsi="Times New Roman"/>
          <w:color w:val="000000"/>
          <w:sz w:val="28"/>
          <w:szCs w:val="28"/>
        </w:rPr>
        <w:t>,</w:t>
      </w:r>
      <w:r w:rsidRPr="003B10E2">
        <w:rPr>
          <w:rFonts w:ascii="Times New Roman" w:hAnsi="Times New Roman"/>
          <w:color w:val="000000"/>
          <w:sz w:val="28"/>
          <w:szCs w:val="28"/>
        </w:rPr>
        <w:t xml:space="preserve"> данные за 20</w:t>
      </w:r>
      <w:r w:rsidR="00605AAD" w:rsidRPr="003B10E2">
        <w:rPr>
          <w:rFonts w:ascii="Times New Roman" w:hAnsi="Times New Roman"/>
          <w:color w:val="000000"/>
          <w:sz w:val="28"/>
          <w:szCs w:val="28"/>
        </w:rPr>
        <w:t>22</w:t>
      </w:r>
      <w:r w:rsidRPr="003B10E2">
        <w:rPr>
          <w:rFonts w:ascii="Times New Roman" w:hAnsi="Times New Roman"/>
          <w:color w:val="000000"/>
          <w:sz w:val="28"/>
          <w:szCs w:val="28"/>
        </w:rPr>
        <w:t xml:space="preserve"> год свидетельствуют о положительном влиянии этих изменений и подчеркивают важность краткосрочных коммерческих ценных бумаг в экономике Китая</w:t>
      </w:r>
      <w:r w:rsidR="00010E0E" w:rsidRPr="003B10E2">
        <w:rPr>
          <w:rFonts w:ascii="Times New Roman" w:hAnsi="Times New Roman"/>
          <w:color w:val="000000"/>
          <w:sz w:val="28"/>
          <w:szCs w:val="28"/>
        </w:rPr>
        <w:t xml:space="preserve"> </w:t>
      </w:r>
      <w:r w:rsidRPr="003B10E2">
        <w:rPr>
          <w:rFonts w:ascii="Times New Roman" w:hAnsi="Times New Roman"/>
          <w:color w:val="000000"/>
          <w:sz w:val="28"/>
          <w:szCs w:val="28"/>
        </w:rPr>
        <w:t xml:space="preserve">[515-516]. </w:t>
      </w:r>
    </w:p>
    <w:p w14:paraId="43940DD6" w14:textId="77777777" w:rsidR="00F00E72" w:rsidRPr="003B10E2" w:rsidRDefault="008E453A" w:rsidP="008E453A">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При изучении интригующей природы китайского рынка корпоративных кредитных облигаций становится очевидным, что он отражает структуру рынка государственных облигаций, поскольку он включает как фондовый рынок, так и межбанковский рынок. Хотя корпоративные кредитные облигации действительно иногда выпускаются коммерческими банками на внебиржевом рынке (OTC), важно отметить, что по сравнению с двумя другими вышеупомянутыми рынками такое явление встречается относительно редко. Кроме того, важно подчеркнуть, что общая сумма долга по номинальной стоимости в этой конкретной области относительно невелика. Китайская депозитарная и клиринговая корпорация (CSDC) берет на себя основные обязанности по регистрации, депозитарию и клирингу облигаций</w:t>
      </w:r>
      <w:r w:rsidR="00B13217">
        <w:rPr>
          <w:rFonts w:ascii="Times New Roman" w:hAnsi="Times New Roman"/>
          <w:color w:val="000000"/>
          <w:sz w:val="28"/>
          <w:szCs w:val="28"/>
        </w:rPr>
        <w:t xml:space="preserve"> </w:t>
      </w:r>
      <w:r w:rsidR="00AF7C92" w:rsidRPr="003B10E2">
        <w:rPr>
          <w:rFonts w:ascii="Times New Roman" w:hAnsi="Times New Roman"/>
          <w:color w:val="000000"/>
          <w:sz w:val="28"/>
          <w:szCs w:val="28"/>
        </w:rPr>
        <w:t>[5</w:t>
      </w:r>
      <w:r w:rsidR="00010E0E" w:rsidRPr="003B10E2">
        <w:rPr>
          <w:rFonts w:ascii="Times New Roman" w:hAnsi="Times New Roman"/>
          <w:color w:val="000000"/>
          <w:sz w:val="28"/>
          <w:szCs w:val="28"/>
        </w:rPr>
        <w:t>12</w:t>
      </w:r>
      <w:r w:rsidR="00AF7C92" w:rsidRPr="003B10E2">
        <w:rPr>
          <w:rFonts w:ascii="Times New Roman" w:hAnsi="Times New Roman"/>
          <w:color w:val="000000"/>
          <w:sz w:val="28"/>
          <w:szCs w:val="28"/>
        </w:rPr>
        <w:t>-5</w:t>
      </w:r>
      <w:r w:rsidR="00010E0E" w:rsidRPr="003B10E2">
        <w:rPr>
          <w:rFonts w:ascii="Times New Roman" w:hAnsi="Times New Roman"/>
          <w:color w:val="000000"/>
          <w:sz w:val="28"/>
          <w:szCs w:val="28"/>
        </w:rPr>
        <w:t>13</w:t>
      </w:r>
      <w:r w:rsidR="00AF7C92" w:rsidRPr="003B10E2">
        <w:rPr>
          <w:rFonts w:ascii="Times New Roman" w:hAnsi="Times New Roman"/>
          <w:color w:val="000000"/>
          <w:sz w:val="28"/>
          <w:szCs w:val="28"/>
        </w:rPr>
        <w:t>].</w:t>
      </w:r>
    </w:p>
    <w:p w14:paraId="21E39273" w14:textId="77777777" w:rsidR="0055748D" w:rsidRPr="003B10E2" w:rsidRDefault="00B13217" w:rsidP="008F7122">
      <w:pPr>
        <w:spacing w:after="0" w:line="360" w:lineRule="auto"/>
        <w:ind w:firstLine="851"/>
        <w:jc w:val="both"/>
        <w:rPr>
          <w:rFonts w:ascii="Times New Roman" w:hAnsi="Times New Roman"/>
          <w:color w:val="000000"/>
          <w:sz w:val="28"/>
          <w:szCs w:val="28"/>
        </w:rPr>
      </w:pPr>
      <w:r>
        <w:rPr>
          <w:rFonts w:ascii="Times New Roman" w:hAnsi="Times New Roman"/>
          <w:color w:val="000000"/>
          <w:sz w:val="28"/>
          <w:szCs w:val="28"/>
        </w:rPr>
        <w:t xml:space="preserve">В </w:t>
      </w:r>
      <w:r w:rsidR="0055748D" w:rsidRPr="003B10E2">
        <w:rPr>
          <w:rFonts w:ascii="Times New Roman" w:hAnsi="Times New Roman"/>
          <w:color w:val="000000"/>
          <w:sz w:val="28"/>
          <w:szCs w:val="28"/>
        </w:rPr>
        <w:t>2005 году количество облигаций превысило 50, и этот рост значительно ускорился в 2006 году: менее чем за год их количество удвоилось. В конце концов, к концу 20</w:t>
      </w:r>
      <w:r w:rsidR="00010E0E" w:rsidRPr="003B10E2">
        <w:rPr>
          <w:rFonts w:ascii="Times New Roman" w:hAnsi="Times New Roman"/>
          <w:color w:val="000000"/>
          <w:sz w:val="28"/>
          <w:szCs w:val="28"/>
        </w:rPr>
        <w:t>22</w:t>
      </w:r>
      <w:r w:rsidR="0055748D" w:rsidRPr="003B10E2">
        <w:rPr>
          <w:rFonts w:ascii="Times New Roman" w:hAnsi="Times New Roman"/>
          <w:color w:val="000000"/>
          <w:sz w:val="28"/>
          <w:szCs w:val="28"/>
        </w:rPr>
        <w:t xml:space="preserve"> года совокупное количество корпоративных облигаций выросло примерно до 250 облигаций [515-516].</w:t>
      </w:r>
    </w:p>
    <w:p w14:paraId="32761919" w14:textId="77777777" w:rsidR="0055748D" w:rsidRPr="003B10E2" w:rsidRDefault="0055748D" w:rsidP="00871F7E">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К концу 20</w:t>
      </w:r>
      <w:r w:rsidR="00010E0E" w:rsidRPr="003B10E2">
        <w:rPr>
          <w:rFonts w:ascii="Times New Roman" w:hAnsi="Times New Roman"/>
          <w:color w:val="000000"/>
          <w:sz w:val="28"/>
          <w:szCs w:val="28"/>
        </w:rPr>
        <w:t>22</w:t>
      </w:r>
      <w:r w:rsidRPr="003B10E2">
        <w:rPr>
          <w:rFonts w:ascii="Times New Roman" w:hAnsi="Times New Roman"/>
          <w:color w:val="000000"/>
          <w:sz w:val="28"/>
          <w:szCs w:val="28"/>
        </w:rPr>
        <w:t xml:space="preserve"> года средний срок погашения кредитов предприятий на валютном рынке сократился примерно до четырех лет, что свидетельствует о заметном сокращении по сравнению с предыдущими годами. Первоначально, в 2000 году, средний срок погашения кредитов этих предприятий был довольно коротким и составлял менее двух лет. Однако после 2003 года средний срок погашения постепенно увеличивался, превысив восьмилетний рубеж, что стало обнадеживающим признаком для рынка. К сожалению, в 2007 году эта положительная тенденция снизилась. Следовательно, в конце 20</w:t>
      </w:r>
      <w:r w:rsidR="00010E0E" w:rsidRPr="003B10E2">
        <w:rPr>
          <w:rFonts w:ascii="Times New Roman" w:hAnsi="Times New Roman"/>
          <w:color w:val="000000"/>
          <w:sz w:val="28"/>
          <w:szCs w:val="28"/>
        </w:rPr>
        <w:t>22</w:t>
      </w:r>
      <w:r w:rsidRPr="003B10E2">
        <w:rPr>
          <w:rFonts w:ascii="Times New Roman" w:hAnsi="Times New Roman"/>
          <w:color w:val="000000"/>
          <w:sz w:val="28"/>
          <w:szCs w:val="28"/>
        </w:rPr>
        <w:t xml:space="preserve"> года было отмечено, что средний срок погашения корпоративных облигаций на фондовом рынке, к сожалению, снизился примерно до четырех лет. </w:t>
      </w:r>
    </w:p>
    <w:p w14:paraId="77ADAD52" w14:textId="77777777" w:rsidR="0055748D" w:rsidRPr="003B10E2" w:rsidRDefault="0055748D"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Кроме того, при рассмотрении среднесрочных облигаций важно отметить, что из 1,0 триллиона юаней, доверенных Центральному депозитарию и клирингу ценных бумаг Китая (CCDC), 361 миллиард юаней пришлось на коммерческие банки, 95 миллиардов юаней — на страховые компании, а на фондовые учреждения — 478 миллиардов юаней. Более того, по сравнению с 3,4 трлн юаней, хранящимися в Шанхайской клиринговой палате (SHCH), коммерческие банки владели внушительными 1,0 трлн юаней, страховые компании — существенные 1,3 трлн юаней, а фондовые учреждения — 2,1 трлн юаней. Эти цифры свидетельствуют о широком присутствии и влиянии различных финансовых организаций на рынке межбанковских облигаций, в секторе корпоративных облигаций и в сфере среднесрочных облигаций.</w:t>
      </w:r>
    </w:p>
    <w:p w14:paraId="5CDF0970" w14:textId="77777777" w:rsidR="0055748D" w:rsidRPr="003B10E2" w:rsidRDefault="0055748D"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Еще одно примечательное изменение — стратегическое репозиционирование корпоративных облигаций в сфере коммерческих банков. В начале предусмотренного отчетного периода, а именно в 2003 году, присутствие корпоративных облигаций в этом контексте было практически незначительным. Однако стоит отметить, что к 2009 году этот показатель значительно вырос, превысив значительный порог в 30%. В течение этого периода размер корпоративных облигаций в паевых инвестиционных фондах значительно колебался. Также важно признать тот факт, что в течение этого конкретного периода участники специальных расчетов постоянно и постепенно увеличивали свои инвестиции в корпоративные облигации. Крайне важно подчеркнуть всеобъемлющее влияние индивидуальных инвесторов с точки зрения их доминирующего положения в сфере владения корпоративными облигациями на фондовом рынке.</w:t>
      </w:r>
    </w:p>
    <w:p w14:paraId="737A0831" w14:textId="77777777" w:rsidR="0055748D" w:rsidRPr="003B10E2" w:rsidRDefault="0055748D"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дополнение к вышеупомянутым государственным облигациям и корпоративным облигациям, как указано выше, важно отметить, что существуют и другие категории облигаций, которые активно торгуются на обширном китайском рынке облигаций. К этим дополнительным типам облигаций относятся векселя Народного банка Китая и финансовые облигации, которые предоставляют дополнительные возможности инвесторам, ищущим разнообразные варианты инвестирования. В частности, векселя Народного банка Китая можно классифицировать как краткосрочные долговые сертификаты, специально выпущенные Народным банком Китая исключительно коммерческим банкам. Эти векселя со сроком погашения от трех месяцев до трех лет служат привлекательным инвестиционным инструментом для тех, кто хочет участвовать в краткосрочных финансовых проектах. Вывод этих законопроектов на рынок межбанковских облигаций в июне 2002 года стал стратегическим шагом Народного банка Китая, направленным не только на расширение своих инструментов на открытом рынке, но и на повышение эффективности и результативности осуществления денежно-кредитной политики. Это решение было обусловлено в первую очередь необходимостью эффективного управления колебаниями валютных резервов и управления ими. К концу 2002 года совокупная стоимость этих векселей значительно выросла до ошеломляющих 14 миллиардов юаней, что свидетельствует об их значительном влиянии и растущей популярности на китайском рынке облигаций.</w:t>
      </w:r>
    </w:p>
    <w:p w14:paraId="2B993F55" w14:textId="77777777" w:rsidR="0055748D" w:rsidRPr="003B10E2" w:rsidRDefault="0055748D"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Стоит отметить, что первоначально эти политические банки не имели разветвленной сети филиалов, которой могли похвастаться существующие коммерческие банки, что создавало трудности с привлечением достаточных средств. Для покрытия этого дефицита политические банки в значительной степени полагались на финансирование Народного банка Китая и Министерства финансов, хотя этих источников часто было недостаточно. Стремясь решить эту проблему, с 1998 года три политических банка начали выпускать страховые облигации четырем крупнейшим государственным коммерческим банкам и другим участникам рынка межбанковских облигаций. В результате рынок страховых облигаций значительно вырос одновременно с расширением полисных банков</w:t>
      </w:r>
      <w:r w:rsidR="00086C62" w:rsidRPr="00086C62">
        <w:rPr>
          <w:rFonts w:ascii="Times New Roman" w:hAnsi="Times New Roman"/>
          <w:color w:val="000000"/>
          <w:sz w:val="28"/>
          <w:szCs w:val="28"/>
        </w:rPr>
        <w:t xml:space="preserve"> [515-520]</w:t>
      </w:r>
      <w:r w:rsidRPr="003B10E2">
        <w:rPr>
          <w:rFonts w:ascii="Times New Roman" w:hAnsi="Times New Roman"/>
          <w:color w:val="000000"/>
          <w:sz w:val="28"/>
          <w:szCs w:val="28"/>
        </w:rPr>
        <w:t>.</w:t>
      </w:r>
    </w:p>
    <w:p w14:paraId="311F595A" w14:textId="77777777" w:rsidR="00823793" w:rsidRPr="003B10E2" w:rsidRDefault="0055748D" w:rsidP="00823793">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С самого начала данный рынок демонстрировал устойчивую и последовательную траекторию роста. Если мы рассмотрим три различные категории облигаций, становится очевидным, что политические облигации занимают лидирующие позиции и лидируют как по размеру их выпуска, так и по общей сумме непогашенных обязательств. Стоит отметить, что коммерческие банки играют важную роль в выпуске облигаций и предлагают три конкретных типа: общие облигации, которые в основном используются для удовлетворения ежедневных потребностей в ликвидности; субординированные облигации, которые занимают подчиненное положение с точки зрения требований к активам и доходам; и облигации с гибридным капиталом, которые обладают характеристиками как долевых, так и долговых инструментов. Обращая наше внимание на китайский рынок капитала, мы наблюдаем необычайную и замечательную динамику роста, которая наблюдалась с момента его оживления в начале 1990-х годов. Всесторонний анализ исторического развития рынка потенциально может выявить фундаментальную взаимосвязь между риском и прибыльностью различных классов активов, представленных на этом рынке. Такое исследование может также выявить факторы, способствовавшие быстрому росту рынка и способствующие превращению этого рынка в один из самых заметных и влиятельных рынков капитала в мире в относительно сжатые сроки</w:t>
      </w:r>
      <w:r w:rsidR="00086C62" w:rsidRPr="00086C62">
        <w:t xml:space="preserve"> </w:t>
      </w:r>
      <w:r w:rsidR="00086C62" w:rsidRPr="00086C62">
        <w:rPr>
          <w:rFonts w:ascii="Times New Roman" w:hAnsi="Times New Roman"/>
          <w:color w:val="000000"/>
          <w:sz w:val="28"/>
          <w:szCs w:val="28"/>
        </w:rPr>
        <w:t>[520-524].</w:t>
      </w:r>
    </w:p>
    <w:p w14:paraId="1AB39163" w14:textId="77777777" w:rsidR="0055748D" w:rsidRPr="003B10E2" w:rsidRDefault="0055748D" w:rsidP="00823793">
      <w:pPr>
        <w:spacing w:after="0" w:line="360" w:lineRule="auto"/>
        <w:ind w:firstLine="851"/>
        <w:jc w:val="both"/>
        <w:rPr>
          <w:rFonts w:ascii="Times New Roman" w:hAnsi="Times New Roman"/>
          <w:color w:val="000000"/>
          <w:sz w:val="28"/>
          <w:szCs w:val="28"/>
        </w:rPr>
      </w:pPr>
    </w:p>
    <w:p w14:paraId="75DD4593" w14:textId="77777777" w:rsidR="00823793" w:rsidRDefault="00823793" w:rsidP="0055748D">
      <w:pPr>
        <w:keepNext/>
        <w:keepLines/>
        <w:spacing w:after="0" w:line="360" w:lineRule="auto"/>
        <w:ind w:firstLine="851"/>
        <w:contextualSpacing/>
        <w:jc w:val="both"/>
        <w:outlineLvl w:val="1"/>
        <w:rPr>
          <w:rFonts w:ascii="Times New Roman" w:eastAsia="Times New Roman" w:hAnsi="Times New Roman"/>
          <w:b/>
          <w:color w:val="000000"/>
          <w:sz w:val="28"/>
          <w:szCs w:val="28"/>
          <w:lang w:eastAsia="ar-SA"/>
        </w:rPr>
      </w:pPr>
      <w:bookmarkStart w:id="210" w:name="_Toc145164389"/>
      <w:r w:rsidRPr="003B10E2">
        <w:rPr>
          <w:rFonts w:ascii="Times New Roman" w:eastAsia="Times New Roman" w:hAnsi="Times New Roman"/>
          <w:b/>
          <w:color w:val="000000"/>
          <w:sz w:val="28"/>
          <w:szCs w:val="28"/>
          <w:lang w:eastAsia="ar-SA"/>
        </w:rPr>
        <w:t>4.3 Трансформация свойств активов на рынке Китая</w:t>
      </w:r>
      <w:bookmarkEnd w:id="210"/>
    </w:p>
    <w:p w14:paraId="44C30499" w14:textId="77777777" w:rsidR="00BB401C" w:rsidRPr="003B10E2" w:rsidRDefault="00BB401C" w:rsidP="0055748D">
      <w:pPr>
        <w:keepNext/>
        <w:keepLines/>
        <w:spacing w:after="0" w:line="360" w:lineRule="auto"/>
        <w:ind w:firstLine="851"/>
        <w:contextualSpacing/>
        <w:jc w:val="both"/>
        <w:outlineLvl w:val="1"/>
        <w:rPr>
          <w:rFonts w:ascii="Times New Roman" w:eastAsia="Times New Roman" w:hAnsi="Times New Roman"/>
          <w:b/>
          <w:color w:val="000000"/>
          <w:sz w:val="28"/>
          <w:szCs w:val="28"/>
          <w:lang w:eastAsia="ar-SA"/>
        </w:rPr>
      </w:pPr>
    </w:p>
    <w:p w14:paraId="08944684" w14:textId="77777777" w:rsidR="00F00E72" w:rsidRPr="003B10E2" w:rsidRDefault="0055748D" w:rsidP="0055748D">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этом разделе рассматривается сложный и увлекательный процесс эволюции активов в очень динамичной рыночной среде Китая. В традиционной финансовой сфере доходность краткосрочных казначейских облигаций соответствует установленным срокам инвестирования. Тем не менее следует отметить, что из-за редкого выпуска краткосрочных казначейских облигаций министерством финансов Китая появилась стратегическая альтернатива. Эта альтернатива предполагает использование долгосрочных или среднесрочных казначейских облигаций, оставшийся срок погашения которых составляет около одного года, что является эффективной заменой </w:t>
      </w:r>
      <w:r w:rsidR="00AF7C92" w:rsidRPr="003B10E2">
        <w:rPr>
          <w:rFonts w:ascii="Times New Roman" w:hAnsi="Times New Roman"/>
          <w:color w:val="000000"/>
          <w:sz w:val="28"/>
          <w:szCs w:val="28"/>
        </w:rPr>
        <w:t>[515-516]</w:t>
      </w:r>
      <w:r w:rsidR="00F00E72" w:rsidRPr="003B10E2">
        <w:rPr>
          <w:rFonts w:ascii="Times New Roman" w:hAnsi="Times New Roman"/>
          <w:color w:val="000000"/>
          <w:sz w:val="28"/>
          <w:szCs w:val="28"/>
        </w:rPr>
        <w:t xml:space="preserve">. </w:t>
      </w:r>
    </w:p>
    <w:p w14:paraId="3B61DCC4" w14:textId="77777777" w:rsidR="0055748D" w:rsidRPr="003B10E2" w:rsidRDefault="0055748D" w:rsidP="00D43D86">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Первоначальные инвестиции в размере 1,00 юаня в краткосрочные казначейские облигации в начале 1997 года, которые послужили основой для наших данных Казначейства, к концу 20</w:t>
      </w:r>
      <w:r w:rsidR="00010E0E" w:rsidRPr="003B10E2">
        <w:rPr>
          <w:rFonts w:ascii="Times New Roman" w:hAnsi="Times New Roman"/>
          <w:color w:val="000000"/>
          <w:sz w:val="28"/>
          <w:szCs w:val="28"/>
        </w:rPr>
        <w:t>22</w:t>
      </w:r>
      <w:r w:rsidRPr="003B10E2">
        <w:rPr>
          <w:rFonts w:ascii="Times New Roman" w:hAnsi="Times New Roman"/>
          <w:color w:val="000000"/>
          <w:sz w:val="28"/>
          <w:szCs w:val="28"/>
        </w:rPr>
        <w:t xml:space="preserve"> года принесут в общей сложности 2,13 юаня, а совокупная годовая доходность составит 3,86 юаня. С поправкой на инфляцию в этот конкретный период конечная стоимость этих инвестиций составит 1,46 юаня, что отражает совокупную реальную доходность в размере 1,91 процента в год в период с 1997 по 20</w:t>
      </w:r>
      <w:r w:rsidR="00010E0E" w:rsidRPr="003B10E2">
        <w:rPr>
          <w:rFonts w:ascii="Times New Roman" w:hAnsi="Times New Roman"/>
          <w:color w:val="000000"/>
          <w:sz w:val="28"/>
          <w:szCs w:val="28"/>
        </w:rPr>
        <w:t>22</w:t>
      </w:r>
      <w:r w:rsidRPr="003B10E2">
        <w:rPr>
          <w:rFonts w:ascii="Times New Roman" w:hAnsi="Times New Roman"/>
          <w:color w:val="000000"/>
          <w:sz w:val="28"/>
          <w:szCs w:val="28"/>
        </w:rPr>
        <w:t xml:space="preserve"> год. За тот же период стоимость акций как крупных, так и небольших компаний значительно выросла и достигла 3,46 юаня и 47,59 юаня соответственно, то есть годовые темпы роста составили 6,40% и 21,30%. С учетом инфляции реальная доходность крупных и малых акций за этот соответствующий период составит 4,41% и 19,03% соответственно. Совершенно очевидно, что акции в период с 1997 по 20</w:t>
      </w:r>
      <w:r w:rsidR="00010E0E" w:rsidRPr="003B10E2">
        <w:rPr>
          <w:rFonts w:ascii="Times New Roman" w:hAnsi="Times New Roman"/>
          <w:color w:val="000000"/>
          <w:sz w:val="28"/>
          <w:szCs w:val="28"/>
        </w:rPr>
        <w:t>22</w:t>
      </w:r>
      <w:r w:rsidRPr="003B10E2">
        <w:rPr>
          <w:rFonts w:ascii="Times New Roman" w:hAnsi="Times New Roman"/>
          <w:color w:val="000000"/>
          <w:sz w:val="28"/>
          <w:szCs w:val="28"/>
        </w:rPr>
        <w:t xml:space="preserve"> год значительно превзошли краткосрочные казначейские облигации с точки зрения финансовых показателей и прибыли</w:t>
      </w:r>
      <w:r w:rsidR="00086C62" w:rsidRPr="00086C62">
        <w:t xml:space="preserve"> </w:t>
      </w:r>
      <w:r w:rsidR="00086C62" w:rsidRPr="00086C62">
        <w:rPr>
          <w:rFonts w:ascii="Times New Roman" w:hAnsi="Times New Roman"/>
          <w:color w:val="000000"/>
          <w:sz w:val="28"/>
          <w:szCs w:val="28"/>
        </w:rPr>
        <w:t>[525-529].</w:t>
      </w:r>
    </w:p>
    <w:p w14:paraId="345F287D" w14:textId="77777777" w:rsidR="0055748D" w:rsidRPr="003B10E2" w:rsidRDefault="0055748D" w:rsidP="00D43D86">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Индекс доходности долгосрочных казначейских облигаций, специально рассчитанный для 10-летних облигаций, к концу 2022 года составил 3,32 юаня. Стоит отметить, что общая годовая доходность этих долгосрочных казначейских облигаций за 20 лет составила 6,18%. Если внимательно учесть инфляцию, реальная годовая доходность этих облигаций за вышеупомянутый период составила 4,19%. Интересно отметить, что общая годовая доходность среднесрочных казначейских облигаций составляет 5,62%, что очень близко к реальной доходности долгосрочных казначейских облигаций. Чтобы углубиться в этот вопрос, мы обнаружили, что реальная доходность среднесрочных казначейских облигаций за тот же период составила в среднем около 3,64% [515-516].</w:t>
      </w:r>
    </w:p>
    <w:p w14:paraId="41A122B8" w14:textId="77777777" w:rsidR="000F007C" w:rsidRPr="003B10E2" w:rsidRDefault="000F007C" w:rsidP="00D43D86">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По сравнению с доходностью акций за тот же период доходность долгосрочных и среднесрочных казначейских облигаций заметно ниже, чем доходность акций, которые характеризуются сравнительно более высокой доходностью. Более того, доходность долгосрочных и среднесрочных казначейских облигаций лишь незначительно ниже доходности акций, которые также демонстрируют сравнительно более высокую доходность. Примечательно, что с 2000 по 2022 год долгосрочные корпоративные облигации демонстрировали исключительные показатели, превосходящие доходность долгосрочных и краткосрочных казначейских облигаций. Примечательно, что совокупный годовой темп роста долгосрочных корпоративных облигаций составил 4,94%, что свидетельствует об их потенциальном выгодном инвестиционном потенциале. И наоборот, за тот же период первоначальные инвестиции в небольшие акции в размере 1,00 юаня принесли впечатляющую прибыль в размере 15,82 юаня, что соответствует совокупной годовой доходности 17,64%. Аналогичным образом, инвестиции в акции в размере 2,86 юаня принесли доход в размере 6,38%. Также следует отметить, что доходность долгосрочных казначейских облигаций составила 1,91 юаня при совокупном годовом темпе роста в 3,87%, в то время как доходность краткосрочных казначейских облигаций составила 1,61 юаня при совокупном годовом темпе роста 2,83%</w:t>
      </w:r>
      <w:r w:rsidR="00086C62" w:rsidRPr="00086C62">
        <w:rPr>
          <w:rFonts w:ascii="Times New Roman" w:hAnsi="Times New Roman"/>
          <w:color w:val="000000"/>
          <w:sz w:val="28"/>
          <w:szCs w:val="28"/>
        </w:rPr>
        <w:t xml:space="preserve"> [530-534]</w:t>
      </w:r>
      <w:r w:rsidRPr="003B10E2">
        <w:rPr>
          <w:rFonts w:ascii="Times New Roman" w:hAnsi="Times New Roman"/>
          <w:color w:val="000000"/>
          <w:sz w:val="28"/>
          <w:szCs w:val="28"/>
        </w:rPr>
        <w:t xml:space="preserve">. </w:t>
      </w:r>
    </w:p>
    <w:p w14:paraId="5DBDC87B" w14:textId="77777777" w:rsidR="000F007C" w:rsidRPr="003B10E2" w:rsidRDefault="000F007C"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Совершенно очевидно, что в этот конкретный период доходность долгосрочных корпоративных облигаций значительно уступала доходности акций; однако они превзошли казначейские облигации и инфляцию. Причина этого несоответствия заключается в том, что почти все долгосрочные корпоративные облигации, проанализированные в этом контексте, были выпущены государственными и местными предприятиями или агентствами, поэтому риск дефолта практически ничтожен. Кроме того, очевидно, что фондовые индексы демонстрируют значительно большую волатильность по сравнению с индексами фиксированного дохода и инфляцией. И наоборот, последняя группа имеет тенденцию к более линейной восходящей траектории. В период с 1993 по 20</w:t>
      </w:r>
      <w:r w:rsidR="00010E0E" w:rsidRPr="003B10E2">
        <w:rPr>
          <w:rFonts w:ascii="Times New Roman" w:hAnsi="Times New Roman"/>
          <w:color w:val="000000"/>
          <w:sz w:val="28"/>
          <w:szCs w:val="28"/>
        </w:rPr>
        <w:t>22</w:t>
      </w:r>
      <w:r w:rsidRPr="003B10E2">
        <w:rPr>
          <w:rFonts w:ascii="Times New Roman" w:hAnsi="Times New Roman"/>
          <w:color w:val="000000"/>
          <w:sz w:val="28"/>
          <w:szCs w:val="28"/>
        </w:rPr>
        <w:t xml:space="preserve"> год совокупный годовой уровень инфляции составлял 4,11%. Стоит отметить, что в период с 1993 по 1996 год в Китае наблюдался период высокой инфляции, о чем свидетельствует ежегодный рост индекса потребительских цен для городских жителей на 16%, в результате чего общий рост за этот период составил 80,5%. Тем не менее, со второй половины 1990-х годов Китай пережил два периода умеренной дефляции: с 1998 по 2000 год и с 2001 по 2003 год, а в остальные периоды 2000-х годов инфляция была заметно низкой и стабильной</w:t>
      </w:r>
      <w:r w:rsidR="00086C62" w:rsidRPr="00086C62">
        <w:t xml:space="preserve"> </w:t>
      </w:r>
      <w:r w:rsidR="00086C62" w:rsidRPr="00086C62">
        <w:rPr>
          <w:rFonts w:ascii="Times New Roman" w:hAnsi="Times New Roman"/>
          <w:color w:val="000000"/>
          <w:sz w:val="28"/>
          <w:szCs w:val="28"/>
        </w:rPr>
        <w:t>[531-535].</w:t>
      </w:r>
    </w:p>
    <w:p w14:paraId="54C0F624" w14:textId="77777777" w:rsidR="000F007C" w:rsidRPr="003B10E2" w:rsidRDefault="000F007C" w:rsidP="000F007C">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Как долгосрочные казначейские облигации, так и корпоративные облигации претерпели значительные колебания, при этом волатильность долгосрочных казначейских облигаций составила 9,94%, а корпоративных облигаций — 8,93%. Однако важно отметить, что, несмотря на эти колебания, они по-прежнему ниже волатильности, наблюдаемой на биржевых рынках. С другой стороны, среднесрочные и краткосрочные казначейские облигации продемонстрировали самый низкий уровень волатильности — соответственно 6,34% и 3,45%. При анализе общей волатильности инфляции становится очевидным, что она также претерпела значительные колебания, достигнув уровня 6,16% в начале периода выборки</w:t>
      </w:r>
      <w:r w:rsidR="00086C62" w:rsidRPr="00086C62">
        <w:rPr>
          <w:rFonts w:ascii="Times New Roman" w:hAnsi="Times New Roman"/>
          <w:color w:val="000000"/>
          <w:sz w:val="28"/>
          <w:szCs w:val="28"/>
        </w:rPr>
        <w:t xml:space="preserve"> [536-539]</w:t>
      </w:r>
      <w:r w:rsidRPr="003B10E2">
        <w:rPr>
          <w:rFonts w:ascii="Times New Roman" w:hAnsi="Times New Roman"/>
          <w:color w:val="000000"/>
          <w:sz w:val="28"/>
          <w:szCs w:val="28"/>
        </w:rPr>
        <w:t>.</w:t>
      </w:r>
    </w:p>
    <w:p w14:paraId="09AFACA8" w14:textId="77777777" w:rsidR="000F007C" w:rsidRPr="003B10E2" w:rsidRDefault="000F007C" w:rsidP="000F007C">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Учитывая высокую изменчивость индексов благосостояния, особенно интересно наблюдать за их влиянием на средние геометрические показатели акций, особенно по сравнению с их арифметическими аналогами. Это сравнение показывает, что средние геометрические значения акций заметно ниже. При анализе небольших акций становится очевидным, что средняя геометрическая доходность составляет 21,40%, а крупных акций — всего 5,83%. Этот резкий контраст доходности наглядно демонстрирует негативное влияние высокой волатильности на долгосрочных инвесторов в акции в течение этого периода</w:t>
      </w:r>
      <w:r w:rsidR="00086C62" w:rsidRPr="00086C62">
        <w:rPr>
          <w:rFonts w:ascii="Times New Roman" w:hAnsi="Times New Roman"/>
          <w:color w:val="000000"/>
          <w:sz w:val="28"/>
          <w:szCs w:val="28"/>
        </w:rPr>
        <w:t xml:space="preserve"> [540-544]</w:t>
      </w:r>
      <w:r w:rsidRPr="003B10E2">
        <w:rPr>
          <w:rFonts w:ascii="Times New Roman" w:hAnsi="Times New Roman"/>
          <w:color w:val="000000"/>
          <w:sz w:val="28"/>
          <w:szCs w:val="28"/>
        </w:rPr>
        <w:t>.</w:t>
      </w:r>
    </w:p>
    <w:p w14:paraId="337F59E3" w14:textId="77777777" w:rsidR="000F007C" w:rsidRPr="003B10E2" w:rsidRDefault="000F007C" w:rsidP="000F007C">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заключение необходимо признать, что как долгосрочные казначейские облигации, так и корпоративные облигации характеризуются значительным уровнем волатильности, хотя и ниже волатильности акций. Кроме того, снижение уровня волатильности среднесрочных и краткосрочных казначейских облигаций еще раз подчеркивает их стабильность. Кроме того, необходимо учитывать общую волатильность инфляции, поскольку она оказала заметное влияние на финансовый ландшафт. Наконец, сравнение средних геометрических и арифметических значений акций подчеркивает пагубное влияние высокой волатильности на долгосрочных инвесторов в акции</w:t>
      </w:r>
      <w:r w:rsidR="00086C62" w:rsidRPr="00086C62">
        <w:rPr>
          <w:rFonts w:ascii="Times New Roman" w:hAnsi="Times New Roman"/>
          <w:color w:val="000000"/>
          <w:sz w:val="28"/>
          <w:szCs w:val="28"/>
        </w:rPr>
        <w:t xml:space="preserve"> [545-549]</w:t>
      </w:r>
      <w:r w:rsidRPr="003B10E2">
        <w:rPr>
          <w:rFonts w:ascii="Times New Roman" w:hAnsi="Times New Roman"/>
          <w:color w:val="000000"/>
          <w:sz w:val="28"/>
          <w:szCs w:val="28"/>
        </w:rPr>
        <w:t>.</w:t>
      </w:r>
    </w:p>
    <w:p w14:paraId="37A81D6D" w14:textId="77777777" w:rsidR="000F007C" w:rsidRPr="003B10E2" w:rsidRDefault="000F007C" w:rsidP="000F007C">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Что касается долгосрочных результатов, стоит отметить, что с 1993 года по 2022 год акции небольших компаний превосходили другие варианты инвестирования. Средняя доходность акций этих небольших компаний с поправкой на инфляцию составила около 16,60% годовых, что можно назвать весьма примечательным. С другой стороны, если обратить внимание на акции крупных компаний, мы обнаружим, что их доходность значительно снизилась: средняя доходность акций с поправкой на инфляцию составила лишь около 1,64% в год. Этот показатель заметно ниже средней доходности краткосрочных казначейских облигаций, которая в период с 1997 по 20</w:t>
      </w:r>
      <w:r w:rsidR="00010E0E" w:rsidRPr="003B10E2">
        <w:rPr>
          <w:rFonts w:ascii="Times New Roman" w:hAnsi="Times New Roman"/>
          <w:color w:val="000000"/>
          <w:sz w:val="28"/>
          <w:szCs w:val="28"/>
        </w:rPr>
        <w:t>22</w:t>
      </w:r>
      <w:r w:rsidRPr="003B10E2">
        <w:rPr>
          <w:rFonts w:ascii="Times New Roman" w:hAnsi="Times New Roman"/>
          <w:color w:val="000000"/>
          <w:sz w:val="28"/>
          <w:szCs w:val="28"/>
        </w:rPr>
        <w:t xml:space="preserve"> год составляла примерно 1,91%</w:t>
      </w:r>
      <w:r w:rsidR="00086C62" w:rsidRPr="00086C62">
        <w:rPr>
          <w:rFonts w:ascii="Times New Roman" w:hAnsi="Times New Roman"/>
          <w:color w:val="000000"/>
          <w:sz w:val="28"/>
          <w:szCs w:val="28"/>
        </w:rPr>
        <w:t xml:space="preserve"> [550-554]</w:t>
      </w:r>
      <w:r w:rsidRPr="003B10E2">
        <w:rPr>
          <w:rFonts w:ascii="Times New Roman" w:hAnsi="Times New Roman"/>
          <w:color w:val="000000"/>
          <w:sz w:val="28"/>
          <w:szCs w:val="28"/>
        </w:rPr>
        <w:t>.</w:t>
      </w:r>
    </w:p>
    <w:p w14:paraId="477DAEC5" w14:textId="77777777" w:rsidR="000F007C" w:rsidRPr="003B10E2" w:rsidRDefault="000F007C" w:rsidP="000F007C">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Кроме того, стоит отметить, что за тот же период среднесрочные и долгосрочные казначейские облигации продемонстрировали более благоприятные показатели эффективности. Среднесрочные казначейские облигации принесли среднюю годовую доходность с поправкой на инфляцию примерно в 3,64%, и эту цифру не следует упускать из виду. Аналогичным образом, долгосрочные казначейские облигации показали еще лучшие результаты: средняя годовая доходность с поправкой на инфляцию составила примерно 4,19%. Очевидно, что эти облигации предоставили инвесторам более стабильный и выгодный вариант инвестирования по сравнению с акциями</w:t>
      </w:r>
      <w:r w:rsidR="00086C62" w:rsidRPr="00086C62">
        <w:rPr>
          <w:rFonts w:ascii="Times New Roman" w:hAnsi="Times New Roman"/>
          <w:color w:val="000000"/>
          <w:sz w:val="28"/>
          <w:szCs w:val="28"/>
        </w:rPr>
        <w:t xml:space="preserve"> [555-559]</w:t>
      </w:r>
      <w:r w:rsidRPr="003B10E2">
        <w:rPr>
          <w:rFonts w:ascii="Times New Roman" w:hAnsi="Times New Roman"/>
          <w:color w:val="000000"/>
          <w:sz w:val="28"/>
          <w:szCs w:val="28"/>
        </w:rPr>
        <w:t>.</w:t>
      </w:r>
    </w:p>
    <w:p w14:paraId="3BA6A30B" w14:textId="77777777" w:rsidR="000F007C" w:rsidRPr="003B10E2" w:rsidRDefault="000F007C" w:rsidP="000F007C">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Наконец, крайне важно пролить свет на динамику долгосрочных корпоративных облигаций. Очевидно, что эти облигации оказались не такими хорошими, как другие варианты инвестирования, поскольку в период с 2000 по 2022 год их доходность с поправкой на инфляцию составляла всего 2,66% в год. Хотя эта цифра не так впечатляет, как доходность акций небольших компаний или даже казначейских облигаций, она все же дает возможность инвесторам, ищущим более консервативный и надежный способ инвестирования. Поэтому рекомендуется тщательно проанализировать и рассмотреть различные показатели эффективности и факторы риска, связанные с каждым вариантом инвестирования, прежде чем принимать какие-либо финансовые решения</w:t>
      </w:r>
      <w:r w:rsidR="00086C62" w:rsidRPr="00086C62">
        <w:rPr>
          <w:rFonts w:ascii="Times New Roman" w:hAnsi="Times New Roman"/>
          <w:color w:val="000000"/>
          <w:sz w:val="28"/>
          <w:szCs w:val="28"/>
        </w:rPr>
        <w:t xml:space="preserve"> [560-565]</w:t>
      </w:r>
      <w:r w:rsidRPr="003B10E2">
        <w:rPr>
          <w:rFonts w:ascii="Times New Roman" w:hAnsi="Times New Roman"/>
          <w:color w:val="000000"/>
          <w:sz w:val="28"/>
          <w:szCs w:val="28"/>
        </w:rPr>
        <w:t>.</w:t>
      </w:r>
    </w:p>
    <w:p w14:paraId="02C9B0EB" w14:textId="77777777" w:rsidR="000F007C" w:rsidRPr="003B10E2" w:rsidRDefault="000F007C"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С точки зрения средней арифметической доходности с учетом влияния инфляции можно отметить, что акции небольших компаний демонстрируют самую значительную стоимость, достигающую впечатляющих 30,22%. Заметное несоответствие между средней арифметической доходностью и геометрической доходностью акций можно объяснить присущей им высокой волатильностью. Что касается облигаций, то их среднегодовая доходность с поправкой на инфляцию варьируется в широком диапазоне значений. В частности, доходность краткосрочных казначейских облигаций составляет в среднем 1,99%, а среднесрочные и долгосрочные казначейские облигации — 3,84% и 4,63% соответственно. С другой стороны, доходность долгосрочных корпоративных облигаций составляет 3,00%. Интересным наблюдением является небольшое снижение стандартных отклонений акций после корректировки на инфляцию. Это указывает на определенный уровень стабильности этих акций. Однако влияние инфляции на доходность облигаций относительно ограничено, в первую очередь из-за присущей им волатильности. Важно отметить, что после корректировки на инфляцию волатильность доходности краткосрочных казначейских облигаций возрастает</w:t>
      </w:r>
      <w:r w:rsidR="00086C62" w:rsidRPr="00086C62">
        <w:rPr>
          <w:rFonts w:ascii="Times New Roman" w:hAnsi="Times New Roman"/>
          <w:color w:val="000000"/>
          <w:sz w:val="28"/>
          <w:szCs w:val="28"/>
        </w:rPr>
        <w:t xml:space="preserve"> [566-561]</w:t>
      </w:r>
      <w:r w:rsidRPr="003B10E2">
        <w:rPr>
          <w:rFonts w:ascii="Times New Roman" w:hAnsi="Times New Roman"/>
          <w:color w:val="000000"/>
          <w:sz w:val="28"/>
          <w:szCs w:val="28"/>
        </w:rPr>
        <w:t>.</w:t>
      </w:r>
    </w:p>
    <w:p w14:paraId="0E94EBA2" w14:textId="77777777" w:rsidR="000F007C" w:rsidRPr="003B10E2" w:rsidRDefault="000F007C"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Волатильность доходности с поправкой на инфляцию по вышеупомянутым классам активов демонстрирует идентичные модели и значения по сравнению с номинальной доходностью. При изучении акций малых и крупных компаний становится очевидным, что их годовая реальная доходность демонстрирует относительно низкую волатильность, а именно 65,79% и 57,37% соответственно. Что касается краткосрочных, среднесрочных и долгосрочных казначейских облигаций, то их годовая волатильность с поправкой на инфляцию составляет 4,13%, 6,67% и 9,97% соответственно. Что касается долгосрочных корпоративных облигаций, то их годовая реальная доходность демонстрирует волатильность 8,66% [515-516]. Анализ доходности за пятилетний скользящий период показывает интригующую закономерность: более чем в 80% из 20 выборочных периодов все активы демонстрировали положительную доходность. Примечательно, что акции небольших компаний принесли самую высокую доходность за пять лет из 20 рассматриваемых периодов. При переходе к показателям прибыли за 10 лет</w:t>
      </w:r>
      <w:r w:rsidR="00D34BBB">
        <w:rPr>
          <w:rFonts w:ascii="Times New Roman" w:hAnsi="Times New Roman"/>
          <w:color w:val="000000"/>
          <w:sz w:val="28"/>
          <w:szCs w:val="28"/>
        </w:rPr>
        <w:t xml:space="preserve"> </w:t>
      </w:r>
      <w:r w:rsidRPr="003B10E2">
        <w:rPr>
          <w:rFonts w:ascii="Times New Roman" w:hAnsi="Times New Roman"/>
          <w:color w:val="000000"/>
          <w:sz w:val="28"/>
          <w:szCs w:val="28"/>
        </w:rPr>
        <w:t>становится очевидным, что складывается аналогичная картина. Однако из-за относительно короткого периода времени, составляющего всего 15 лет, результаты по доходности за десять лет подвержены небольшим проблемам с выборкой</w:t>
      </w:r>
      <w:r w:rsidR="00086C62" w:rsidRPr="00086C62">
        <w:rPr>
          <w:rFonts w:ascii="Times New Roman" w:hAnsi="Times New Roman"/>
          <w:color w:val="000000"/>
          <w:sz w:val="28"/>
          <w:szCs w:val="28"/>
        </w:rPr>
        <w:t xml:space="preserve"> [562-563]</w:t>
      </w:r>
      <w:r w:rsidRPr="003B10E2">
        <w:rPr>
          <w:rFonts w:ascii="Times New Roman" w:hAnsi="Times New Roman"/>
          <w:color w:val="000000"/>
          <w:sz w:val="28"/>
          <w:szCs w:val="28"/>
        </w:rPr>
        <w:t>.</w:t>
      </w:r>
    </w:p>
    <w:p w14:paraId="02206B8B" w14:textId="77777777" w:rsidR="000F007C" w:rsidRPr="003B10E2" w:rsidRDefault="000F007C"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Статистический анализ исторической доходности активов позволяет получить ценную информацию об их характеристиках, таких как средняя доходность, оценка риска на основе волатильности доходности и одновременное движение доходности активов. Стоит отметить, что при сравнении истории акций крупных компаний с историей долгосрочных казначейских облигаций история первых, как правило, длиннее. В целом, динамика акций демонстрировала более высокий уровень волатильности по сравнению с долгосрочными казначейскими облигациями на протяжении всей их соответствующей истории. Примечательно, что волатильность акций была особенно выражена в первые годы, когда было продано лишь ограниченное количество акций и не существовало ограничений на ежедневные колебания цен. Эта повышенная волатильность </w:t>
      </w:r>
      <w:r w:rsidR="00D34BBB" w:rsidRPr="003B10E2">
        <w:rPr>
          <w:rFonts w:ascii="Times New Roman" w:hAnsi="Times New Roman"/>
          <w:color w:val="000000"/>
          <w:sz w:val="28"/>
          <w:szCs w:val="28"/>
        </w:rPr>
        <w:t>в итоге</w:t>
      </w:r>
      <w:r w:rsidRPr="003B10E2">
        <w:rPr>
          <w:rFonts w:ascii="Times New Roman" w:hAnsi="Times New Roman"/>
          <w:color w:val="000000"/>
          <w:sz w:val="28"/>
          <w:szCs w:val="28"/>
        </w:rPr>
        <w:t xml:space="preserve"> достигла своего пика к концу 1994 года. Впоследствии в 2000 и 2004 годах волатильность перешла в относительно умеренную фазу. Однако с 2006 по 2010 год волатильность вновь возросла, хотя и осталась ниже экстремальных уровней, наблюдавшихся в предыдущие годы</w:t>
      </w:r>
      <w:r w:rsidR="00086C62" w:rsidRPr="00086C62">
        <w:rPr>
          <w:rFonts w:ascii="Times New Roman" w:hAnsi="Times New Roman"/>
          <w:color w:val="000000"/>
          <w:sz w:val="28"/>
          <w:szCs w:val="28"/>
        </w:rPr>
        <w:t xml:space="preserve"> [564-569]</w:t>
      </w:r>
      <w:r w:rsidRPr="003B10E2">
        <w:rPr>
          <w:rFonts w:ascii="Times New Roman" w:hAnsi="Times New Roman"/>
          <w:color w:val="000000"/>
          <w:sz w:val="28"/>
          <w:szCs w:val="28"/>
        </w:rPr>
        <w:t>.</w:t>
      </w:r>
    </w:p>
    <w:p w14:paraId="30CA54C4" w14:textId="77777777" w:rsidR="000F007C" w:rsidRPr="003B10E2" w:rsidRDefault="000F007C" w:rsidP="00010E0E">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Волатильность рынка облигаций обычно носит более умеренный характер и характеризуется определенной стабильностью в долгосрочной перспективе. В период с 1997 года по начало 1998 года ситуация с долгосрочными казначейскими облигациями характеризовалась повышенным уровнем волатильности. Однако в 1999 году рынок облигаций продемонстрировал заметный уровень стабильности, что привело к стабильно низкой волатильности. Стоит отметить, что во время сезона 2008-2009 годов произошел значительный приток капитала на рынок облигаций. Этот приток, в свою очередь, способствовал периоду повышенной волатильности на рынке облигаций</w:t>
      </w:r>
      <w:r w:rsidR="00086C62" w:rsidRPr="00086C62">
        <w:rPr>
          <w:rFonts w:ascii="Times New Roman" w:hAnsi="Times New Roman"/>
          <w:color w:val="000000"/>
          <w:sz w:val="28"/>
          <w:szCs w:val="28"/>
        </w:rPr>
        <w:t xml:space="preserve"> [570-574]</w:t>
      </w:r>
      <w:r w:rsidRPr="003B10E2">
        <w:rPr>
          <w:rFonts w:ascii="Times New Roman" w:hAnsi="Times New Roman"/>
          <w:color w:val="000000"/>
          <w:sz w:val="28"/>
          <w:szCs w:val="28"/>
        </w:rPr>
        <w:t>.</w:t>
      </w:r>
    </w:p>
    <w:p w14:paraId="5D22AF8E" w14:textId="77777777" w:rsidR="000F007C" w:rsidRPr="003B10E2" w:rsidRDefault="000F007C" w:rsidP="000F007C">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При расчете ежемесячной доходности всего рынка используется комплексный подход. Прежде всего, тщательно рассчитывается доходность отдельных акций за каждый месяц. После этого доходность портфеля затем оценивается с учетом веса каждой отдельной акции в портфеле. Этот тщательный процесс обеспечивает всестороннюю и точную оценку ежемесячной доходности рынка, что позволяет принимать обоснованные решения и осуществлять стратегическое планирование, что крайне важно в любом инвестиционном проекте</w:t>
      </w:r>
      <w:r w:rsidR="00086C62" w:rsidRPr="00086C62">
        <w:rPr>
          <w:rFonts w:ascii="Times New Roman" w:hAnsi="Times New Roman"/>
          <w:color w:val="000000"/>
          <w:sz w:val="28"/>
          <w:szCs w:val="28"/>
        </w:rPr>
        <w:t xml:space="preserve"> [575-578]</w:t>
      </w:r>
      <w:r w:rsidRPr="003B10E2">
        <w:rPr>
          <w:rFonts w:ascii="Times New Roman" w:hAnsi="Times New Roman"/>
          <w:color w:val="000000"/>
          <w:sz w:val="28"/>
          <w:szCs w:val="28"/>
        </w:rPr>
        <w:t>.</w:t>
      </w:r>
    </w:p>
    <w:p w14:paraId="16B5CEF4" w14:textId="77777777" w:rsidR="000F007C" w:rsidRPr="003B10E2" w:rsidRDefault="000F007C" w:rsidP="000F007C">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Некоторые доходы от активов можно классифицировать как случайные, в то время как другие можно считать непредсказуемыми или подверженными определенным тенденциям и периодичности. Предсказуемость или отсутствие такой доходности активов может быть отражена в их последовательных корреляциях или автокорреляциях. С теоретической точки зрения последовательность с высоким коэффициентом автокорреляции, равным 1, считается полностью предсказуемой. С другой стороны, последовательность с коэффициентами, близкими к нулю, считается почти полностью случайной, что затрудняет прогнозирование</w:t>
      </w:r>
      <w:r w:rsidR="00086C62" w:rsidRPr="00086C62">
        <w:rPr>
          <w:rFonts w:ascii="Times New Roman" w:hAnsi="Times New Roman"/>
          <w:color w:val="000000"/>
          <w:sz w:val="28"/>
          <w:szCs w:val="28"/>
        </w:rPr>
        <w:t xml:space="preserve"> [579-584]</w:t>
      </w:r>
      <w:r w:rsidRPr="003B10E2">
        <w:rPr>
          <w:rFonts w:ascii="Times New Roman" w:hAnsi="Times New Roman"/>
          <w:color w:val="000000"/>
          <w:sz w:val="28"/>
          <w:szCs w:val="28"/>
        </w:rPr>
        <w:t>.</w:t>
      </w:r>
    </w:p>
    <w:p w14:paraId="57D11D7D" w14:textId="77777777" w:rsidR="00F00E72" w:rsidRPr="003B10E2" w:rsidRDefault="000F007C" w:rsidP="000F007C">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целом волатильность рынка облигаций имеет тенденцию к снижению, за заметными исключениями в определенные периоды повышенной волатильности. Расчет ежемесячной доходности рынка требует тщательной оценки доходности отдельных акций и последующего определения доходности портфеля. Наконец, предсказуемость доходности активов зависит от различных факторов, включая их корреляции и автокорреляции, что позволяет детально понять их потенциальную предсказуемость </w:t>
      </w:r>
      <w:r w:rsidR="00AF7C92" w:rsidRPr="003B10E2">
        <w:rPr>
          <w:rFonts w:ascii="Times New Roman" w:hAnsi="Times New Roman"/>
          <w:color w:val="000000"/>
          <w:sz w:val="28"/>
          <w:szCs w:val="28"/>
        </w:rPr>
        <w:t>[515-516]</w:t>
      </w:r>
      <w:r w:rsidR="00F00E72" w:rsidRPr="003B10E2">
        <w:rPr>
          <w:rFonts w:ascii="Times New Roman" w:hAnsi="Times New Roman"/>
          <w:color w:val="000000"/>
          <w:sz w:val="28"/>
          <w:szCs w:val="28"/>
        </w:rPr>
        <w:t>.</w:t>
      </w:r>
    </w:p>
    <w:p w14:paraId="0C651CC1" w14:textId="77777777" w:rsidR="000F007C" w:rsidRPr="003B10E2" w:rsidRDefault="000F007C"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Долгосрочные корпоративные облигации, долгосрочные казначейские облигации и среднесрочные казначейские облигации считаются относительно менее рискованными инвестиционными вариантами, что, следовательно, приводит к снижению их средней доходности. Стоит отметить, что годовая доходность корпоративных облигаций имеет стандартное отклонение в размере 8,93%, что указывает на диапазон потенциальных колебаний доходности. Кроме того, средняя арифметическая доходность корпоративных облигаций составляет 5,28%, что отражает среднюю доходность, которую инвесторы могут ожидать в долгосрочной перспективе. В случае долгосрочных казначейских облигаций годовые отклонения доходности составляют 9,94%, что подчеркивает потенциальную изменчивость доходности с течением времени. Аналогичным образом, годовые отклонения доходности среднесрочных казначейских облигаций составляют 6,34%, что свидетельствует об относительно более низком уровне волатильности по сравнению с корпоративными и долгосрочными казначейскими облигациями. По сообщениям, средняя арифметическая доходность долгосрочных и среднесрочных казначейских облигаций составляет 6,61% и 5,80% соответственно, что означает среднюю доходность, которую инвесторы могут ожидать от этих инвестиционных инструментов. Интересно, что годовая доходность долгосрочных корпоративных облигаций имеет значительную отрицательную постоянную корреляцию (-0,47), что указывает на обратную зависимость между доходностью и другими значимыми факторами. Напротив, доходность долгосрочных и среднесрочных казначейских облигаций имеет лишь слегка положительную постоянную корреляцию (0,02 и 0,02 соответственно), что свидетельствует об умеренной положительной взаимосвязи между доходностью и другими значимыми переменными</w:t>
      </w:r>
      <w:r w:rsidR="00086C62" w:rsidRPr="00086C62">
        <w:rPr>
          <w:rFonts w:ascii="Times New Roman" w:hAnsi="Times New Roman"/>
          <w:color w:val="000000"/>
          <w:sz w:val="28"/>
          <w:szCs w:val="28"/>
        </w:rPr>
        <w:t xml:space="preserve"> [585-590]</w:t>
      </w:r>
      <w:r w:rsidRPr="003B10E2">
        <w:rPr>
          <w:rFonts w:ascii="Times New Roman" w:hAnsi="Times New Roman"/>
          <w:color w:val="000000"/>
          <w:sz w:val="28"/>
          <w:szCs w:val="28"/>
        </w:rPr>
        <w:t>.</w:t>
      </w:r>
    </w:p>
    <w:p w14:paraId="1E0CD183" w14:textId="77777777" w:rsidR="000F007C" w:rsidRPr="003B10E2" w:rsidRDefault="000F007C" w:rsidP="000F007C">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Краткосрочные казначейские облигации считаются практически безрисковыми и имеют самую низкую доходность в 3,86%, что свидетельствует об их стабильности и надежности как инвестиционного инструмента. Следует отметить, что стандартное отклонение доходности этих облигаций, составляющее 3,45%, может быть связано с колебаниями краткосрочных процентных ставок в течение определенного периода времени, а не с риском, связанным с их прибыльностью. Примечательно, что это стандартное отклонение служит полезным индикатором степени изменения этих процентных ставок с течением времени и дает инвесторам ценную информацию. Более того, сильная корреляция, наблюдаемая в доходности краткосрочных казначейских облигаций, подчеркивает устойчивый характер краткосрочных процентных ставок и, следовательно, их постоянство с течением времени. Эта корреляция, как показывают эмпирические данные, еще раз подчеркивает взаимосвязь краткосрочных процентных ставок и их влияние на доходность этих облигаций [515-516].</w:t>
      </w:r>
    </w:p>
    <w:p w14:paraId="6CCE474F" w14:textId="77777777" w:rsidR="000F007C" w:rsidRPr="003B10E2" w:rsidRDefault="000F007C" w:rsidP="000F007C">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Кроме того, стоит признать, что корреляция между доходностью различных активов отражает общие риски, с которыми они сталкиваются. Изучая эти корреляции, инвесторы получают полное представление об общих рисках, связанных с различными активами. Такая аналитика особенно ценна, поскольку она проливает свет на общие риски, присущие инвестиционным портфелям, и тем самым позволяет инвесторам эффективно управлять потенциальными уязвимостями и устранять их. Важно отметить, что эти общие риски представляют значительный интерес и беспокойство инвесторов, поскольку они указывают на системные факторы, которым подвержены активы. Выявляя и оценивая эти систематические риски, инвесторы могут принимать обоснованные решения и принимать соответствующие меры для защиты своих инвестиционных портфелей</w:t>
      </w:r>
      <w:r w:rsidR="00086C62" w:rsidRPr="00086C62">
        <w:rPr>
          <w:rFonts w:ascii="Times New Roman" w:hAnsi="Times New Roman"/>
          <w:color w:val="000000"/>
          <w:sz w:val="28"/>
          <w:szCs w:val="28"/>
        </w:rPr>
        <w:t xml:space="preserve"> [591-594]</w:t>
      </w:r>
      <w:r w:rsidRPr="003B10E2">
        <w:rPr>
          <w:rFonts w:ascii="Times New Roman" w:hAnsi="Times New Roman"/>
          <w:color w:val="000000"/>
          <w:sz w:val="28"/>
          <w:szCs w:val="28"/>
        </w:rPr>
        <w:t>.</w:t>
      </w:r>
    </w:p>
    <w:p w14:paraId="40928ECC" w14:textId="77777777" w:rsidR="000F007C" w:rsidRPr="003B10E2" w:rsidRDefault="000F007C" w:rsidP="000F007C">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теории инвестиций широко распространено мнение, что систематические риски в конечном итоге связаны с ожидаемой доходностью этих активов. Это убеждение основано на понимании того, что активы, подверженные более высоким системным рискам, должны приносить более высокую прибыль, компенсируя инвесторам дополнительные риски. Признавая взаимосвязь между систематическими рисками и ожидаемой доходностью, инвесторы могут принимать обоснованные решения о распределении своего инвестиционного капитала. Более того, такое понимание подчеркивает важность тщательного анализа и понимания систематических рисков, связанных с различными активами, поскольку они играют ключевую роль в формировании инвестиционных стратегий и результатов</w:t>
      </w:r>
      <w:r w:rsidR="00086C62" w:rsidRPr="00086C62">
        <w:rPr>
          <w:rFonts w:ascii="Times New Roman" w:hAnsi="Times New Roman"/>
          <w:color w:val="000000"/>
          <w:sz w:val="28"/>
          <w:szCs w:val="28"/>
        </w:rPr>
        <w:t xml:space="preserve"> [595-599]</w:t>
      </w:r>
      <w:r w:rsidRPr="003B10E2">
        <w:rPr>
          <w:rFonts w:ascii="Times New Roman" w:hAnsi="Times New Roman"/>
          <w:color w:val="000000"/>
          <w:sz w:val="28"/>
          <w:szCs w:val="28"/>
        </w:rPr>
        <w:t>.</w:t>
      </w:r>
    </w:p>
    <w:p w14:paraId="517CED91" w14:textId="77777777" w:rsidR="000F007C" w:rsidRPr="003B10E2" w:rsidRDefault="003225B4" w:rsidP="000F007C">
      <w:pPr>
        <w:spacing w:after="0" w:line="360" w:lineRule="auto"/>
        <w:ind w:firstLine="851"/>
        <w:jc w:val="both"/>
        <w:rPr>
          <w:rFonts w:ascii="Times New Roman" w:hAnsi="Times New Roman"/>
          <w:color w:val="000000"/>
          <w:sz w:val="28"/>
          <w:szCs w:val="28"/>
        </w:rPr>
      </w:pPr>
      <w:r>
        <w:rPr>
          <w:rFonts w:ascii="Times New Roman" w:hAnsi="Times New Roman"/>
          <w:color w:val="000000"/>
          <w:sz w:val="28"/>
          <w:szCs w:val="28"/>
        </w:rPr>
        <w:t>К</w:t>
      </w:r>
      <w:r w:rsidR="000F007C" w:rsidRPr="003B10E2">
        <w:rPr>
          <w:rFonts w:ascii="Times New Roman" w:hAnsi="Times New Roman"/>
          <w:color w:val="000000"/>
          <w:sz w:val="28"/>
          <w:szCs w:val="28"/>
        </w:rPr>
        <w:t>раткосрочные казначейские облигации представляют собой практически безрисковую инвестиционную возможность с умеренной доходностью. Стандартное отклонение доходности этих компаний отражает влияние краткосрочных колебаний процентных ставок, а не рисков, присущих доходности. Кроме того, сильная корреляция между доходностью этих облигаций отражает устойчивый характер краткосрочных процентных ставок. Корреляция между доходностью различных активов подчеркивает общие риски, с которыми они сталкиваются, и дает инвесторам ценную информацию. Особый интерес представляют общие риски, включающие в себя системные элементы, которые, как полагают, связаны с ожидаемой доходностью. Понимание этих систематических рисков и управление ими крайне важны для инвесторов для эффективного управления инвестиционным ландшафтом</w:t>
      </w:r>
      <w:r w:rsidR="00086C62" w:rsidRPr="00086C62">
        <w:rPr>
          <w:rFonts w:ascii="Times New Roman" w:hAnsi="Times New Roman"/>
          <w:color w:val="000000"/>
          <w:sz w:val="28"/>
          <w:szCs w:val="28"/>
        </w:rPr>
        <w:t xml:space="preserve"> [600-604]</w:t>
      </w:r>
      <w:r w:rsidR="000F007C" w:rsidRPr="003B10E2">
        <w:rPr>
          <w:rFonts w:ascii="Times New Roman" w:hAnsi="Times New Roman"/>
          <w:color w:val="000000"/>
          <w:sz w:val="28"/>
          <w:szCs w:val="28"/>
        </w:rPr>
        <w:t>.</w:t>
      </w:r>
    </w:p>
    <w:p w14:paraId="40B2BC20" w14:textId="77777777" w:rsidR="00F00E72" w:rsidRPr="003B10E2" w:rsidRDefault="000F007C" w:rsidP="000F007C">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Установлено, что корреляция между доходностью акций крупных и малых компаний составляет 0,73, что весьма интересно. Довольно неожиданно, что оба типа акций демонстрируют существенную отрицательную корреляцию с доходностью корпоративных облигаций: акции крупных компаний имеют корреляцию -0,49, а акции малых компаний — -0,43. Кроме того, акции также демонстрируют значительную отрицательную корреляцию с казначейскими облигациями. Что касается доходности акций крупных компаний, то отрицательная корреляция наблюдается как с долгосрочными, так и со среднесрочными казначейскими облигациями со значениями корреляции -0,27 и -0,26 соответственно. Аналогичным образом, акции небольших компаний также имеют отрицательную корреляцию с долгосрочными и среднесрочными казначейскими облигациями, хотя их стоимость несколько ниже. Важно отметить, что акции как крупных, так и небольших компаний демонстрируют нетривиальную отрицательную корреляцию с инфляцией: значения корреляции составляют -0,17 и -0,16 соответственно. Эти данные проливают свет на сложные взаимосвязи между различными финансовыми инструментами и предоставляют ценную информацию как инвесторам, так и аналитикам</w:t>
      </w:r>
      <w:r w:rsidR="00AF7C92" w:rsidRPr="003B10E2">
        <w:rPr>
          <w:rFonts w:ascii="Times New Roman" w:hAnsi="Times New Roman"/>
          <w:color w:val="000000"/>
          <w:sz w:val="28"/>
          <w:szCs w:val="28"/>
        </w:rPr>
        <w:t xml:space="preserve"> [515-516]</w:t>
      </w:r>
      <w:r w:rsidR="00F00E72" w:rsidRPr="003B10E2">
        <w:rPr>
          <w:rFonts w:ascii="Times New Roman" w:hAnsi="Times New Roman"/>
          <w:color w:val="000000"/>
          <w:sz w:val="28"/>
          <w:szCs w:val="28"/>
        </w:rPr>
        <w:t>.</w:t>
      </w:r>
    </w:p>
    <w:p w14:paraId="23E7F969" w14:textId="77777777" w:rsidR="000F007C" w:rsidRPr="003B10E2" w:rsidRDefault="000F007C"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Крупные премии за акции отрицательно коррелируют с небольшими премиями за акции, а также премиями за дефолт и срочными премиями, что означает, что при увеличении первых премий последние имеют тенденцию к снижению. Кроме того, следует отметить, что корреляция между премиями за </w:t>
      </w:r>
      <w:r w:rsidR="003225B4">
        <w:rPr>
          <w:rFonts w:ascii="Times New Roman" w:hAnsi="Times New Roman"/>
          <w:color w:val="000000"/>
          <w:sz w:val="28"/>
          <w:szCs w:val="28"/>
        </w:rPr>
        <w:t xml:space="preserve">риск </w:t>
      </w:r>
      <w:r w:rsidRPr="003B10E2">
        <w:rPr>
          <w:rFonts w:ascii="Times New Roman" w:hAnsi="Times New Roman"/>
          <w:color w:val="000000"/>
          <w:sz w:val="28"/>
          <w:szCs w:val="28"/>
        </w:rPr>
        <w:t>акци</w:t>
      </w:r>
      <w:r w:rsidR="003225B4">
        <w:rPr>
          <w:rFonts w:ascii="Times New Roman" w:hAnsi="Times New Roman"/>
          <w:color w:val="000000"/>
          <w:sz w:val="28"/>
          <w:szCs w:val="28"/>
        </w:rPr>
        <w:t>й</w:t>
      </w:r>
      <w:r w:rsidRPr="003B10E2">
        <w:rPr>
          <w:rFonts w:ascii="Times New Roman" w:hAnsi="Times New Roman"/>
          <w:color w:val="000000"/>
          <w:sz w:val="28"/>
          <w:szCs w:val="28"/>
        </w:rPr>
        <w:t xml:space="preserve"> и дефолтными платежами, а также срочными платежами чрезвычайно значительна: коэффициенты составляют соответственно -0,34 и -0,40. Эти данные показывают, что по мере роста премий за </w:t>
      </w:r>
      <w:r w:rsidR="003225B4">
        <w:rPr>
          <w:rFonts w:ascii="Times New Roman" w:hAnsi="Times New Roman"/>
          <w:color w:val="000000"/>
          <w:sz w:val="28"/>
          <w:szCs w:val="28"/>
        </w:rPr>
        <w:t xml:space="preserve">риск </w:t>
      </w:r>
      <w:r w:rsidRPr="003B10E2">
        <w:rPr>
          <w:rFonts w:ascii="Times New Roman" w:hAnsi="Times New Roman"/>
          <w:color w:val="000000"/>
          <w:sz w:val="28"/>
          <w:szCs w:val="28"/>
        </w:rPr>
        <w:t>акци</w:t>
      </w:r>
      <w:r w:rsidR="003225B4">
        <w:rPr>
          <w:rFonts w:ascii="Times New Roman" w:hAnsi="Times New Roman"/>
          <w:color w:val="000000"/>
          <w:sz w:val="28"/>
          <w:szCs w:val="28"/>
        </w:rPr>
        <w:t>й,</w:t>
      </w:r>
      <w:r w:rsidRPr="003B10E2">
        <w:rPr>
          <w:rFonts w:ascii="Times New Roman" w:hAnsi="Times New Roman"/>
          <w:color w:val="000000"/>
          <w:sz w:val="28"/>
          <w:szCs w:val="28"/>
        </w:rPr>
        <w:t xml:space="preserve"> платежи за дефолт и срочные платежи, как правило, уменьшаются. И наоборот, небольшие премии за </w:t>
      </w:r>
      <w:r w:rsidR="003225B4">
        <w:rPr>
          <w:rFonts w:ascii="Times New Roman" w:hAnsi="Times New Roman"/>
          <w:color w:val="000000"/>
          <w:sz w:val="28"/>
          <w:szCs w:val="28"/>
        </w:rPr>
        <w:t xml:space="preserve">риск </w:t>
      </w:r>
      <w:r w:rsidRPr="003B10E2">
        <w:rPr>
          <w:rFonts w:ascii="Times New Roman" w:hAnsi="Times New Roman"/>
          <w:color w:val="000000"/>
          <w:sz w:val="28"/>
          <w:szCs w:val="28"/>
        </w:rPr>
        <w:t>акци</w:t>
      </w:r>
      <w:r w:rsidR="003225B4">
        <w:rPr>
          <w:rFonts w:ascii="Times New Roman" w:hAnsi="Times New Roman"/>
          <w:color w:val="000000"/>
          <w:sz w:val="28"/>
          <w:szCs w:val="28"/>
        </w:rPr>
        <w:t>й</w:t>
      </w:r>
      <w:r w:rsidRPr="003B10E2">
        <w:rPr>
          <w:rFonts w:ascii="Times New Roman" w:hAnsi="Times New Roman"/>
          <w:color w:val="000000"/>
          <w:sz w:val="28"/>
          <w:szCs w:val="28"/>
        </w:rPr>
        <w:t xml:space="preserve"> положительно коррелируют с премиями за дефолт и срок погашения. Это говорит о том, что при увеличении премий за </w:t>
      </w:r>
      <w:r w:rsidR="003225B4">
        <w:rPr>
          <w:rFonts w:ascii="Times New Roman" w:hAnsi="Times New Roman"/>
          <w:color w:val="000000"/>
          <w:sz w:val="28"/>
          <w:szCs w:val="28"/>
        </w:rPr>
        <w:t xml:space="preserve">риск </w:t>
      </w:r>
      <w:r w:rsidRPr="003B10E2">
        <w:rPr>
          <w:rFonts w:ascii="Times New Roman" w:hAnsi="Times New Roman"/>
          <w:color w:val="000000"/>
          <w:sz w:val="28"/>
          <w:szCs w:val="28"/>
        </w:rPr>
        <w:t>акци</w:t>
      </w:r>
      <w:r w:rsidR="003225B4">
        <w:rPr>
          <w:rFonts w:ascii="Times New Roman" w:hAnsi="Times New Roman"/>
          <w:color w:val="000000"/>
          <w:sz w:val="28"/>
          <w:szCs w:val="28"/>
        </w:rPr>
        <w:t>й</w:t>
      </w:r>
      <w:r w:rsidRPr="003B10E2">
        <w:rPr>
          <w:rFonts w:ascii="Times New Roman" w:hAnsi="Times New Roman"/>
          <w:color w:val="000000"/>
          <w:sz w:val="28"/>
          <w:szCs w:val="28"/>
        </w:rPr>
        <w:t xml:space="preserve"> растут и премии за дефолт и срок погашения. Кроме того, инвесторы выражают обеспокоенность изменениями рисков, которые можно оценить, изучив стандартное отклонение или волатильность доходности за различные периоды времени. Этот показатель риска позволяет инвесторам оценивать потенциальные колебания доходности и соответствующим образом корректировать свои инвестиционные стратегии</w:t>
      </w:r>
      <w:r w:rsidR="00086C62" w:rsidRPr="00086C62">
        <w:rPr>
          <w:rFonts w:ascii="Times New Roman" w:hAnsi="Times New Roman"/>
          <w:color w:val="000000"/>
          <w:sz w:val="28"/>
          <w:szCs w:val="28"/>
        </w:rPr>
        <w:t xml:space="preserve"> [605-608]</w:t>
      </w:r>
      <w:r w:rsidRPr="003B10E2">
        <w:rPr>
          <w:rFonts w:ascii="Times New Roman" w:hAnsi="Times New Roman"/>
          <w:color w:val="000000"/>
          <w:sz w:val="28"/>
          <w:szCs w:val="28"/>
        </w:rPr>
        <w:t>.</w:t>
      </w:r>
    </w:p>
    <w:p w14:paraId="1557E632" w14:textId="77777777" w:rsidR="000F007C" w:rsidRPr="003B10E2" w:rsidRDefault="000F007C"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Уровень волатильности, наблюдаемый в доходности акций, постоянно превышает уровень доходности облигаций и темпов инфляции, что является устоявшейся и повторяющейся тенденцией. Совершенно очевидно, что акции небольших компаний, как правило, демонстрируют более высокую степень волатильности по сравнению с более крупными аналогами, что соответствует нашим ожиданиям и сложившейся рыночной динамике. Нельзя упускать из виду тот факт, что уровень волатильности активов претерпел существенные изменения за анализируемый период с 1993 по 20</w:t>
      </w:r>
      <w:r w:rsidR="00605AAD" w:rsidRPr="003B10E2">
        <w:rPr>
          <w:rFonts w:ascii="Times New Roman" w:hAnsi="Times New Roman"/>
          <w:color w:val="000000"/>
          <w:sz w:val="28"/>
          <w:szCs w:val="28"/>
        </w:rPr>
        <w:t>22</w:t>
      </w:r>
      <w:r w:rsidRPr="003B10E2">
        <w:rPr>
          <w:rFonts w:ascii="Times New Roman" w:hAnsi="Times New Roman"/>
          <w:color w:val="000000"/>
          <w:sz w:val="28"/>
          <w:szCs w:val="28"/>
        </w:rPr>
        <w:t xml:space="preserve"> год. Если обратить особое внимание на волатильность акций, то становится очевидным, что в первые годы она достигла исключительно высоких уровней как для крупных, так и для небольших акций. Однако заметные всплески волатильности фондового рынка наблюдались в критические моменты, такие как резкий спад фондового рынка Китая в 2007 году, последующий мировой финансовый кризис и неспокойное время 2015 года. Эти события привели к значительному росту волатильности фондового рынка. Динамика изменения волатильности доходности облигаций с течением времени имеет схожую траекторию: сначала она была повышена, а затем снизилась в первой половине 2000-х годов. Впоследствии во второй половине 2000-х годов волатильность резко возросла, но в последующие годы она стабилизировалась на более низком уровне</w:t>
      </w:r>
      <w:r w:rsidR="00086C62" w:rsidRPr="00086C62">
        <w:rPr>
          <w:rFonts w:ascii="Times New Roman" w:hAnsi="Times New Roman"/>
          <w:color w:val="000000"/>
          <w:sz w:val="28"/>
          <w:szCs w:val="28"/>
        </w:rPr>
        <w:t xml:space="preserve"> [609]</w:t>
      </w:r>
      <w:r w:rsidRPr="003B10E2">
        <w:rPr>
          <w:rFonts w:ascii="Times New Roman" w:hAnsi="Times New Roman"/>
          <w:color w:val="000000"/>
          <w:sz w:val="28"/>
          <w:szCs w:val="28"/>
        </w:rPr>
        <w:t>.</w:t>
      </w:r>
    </w:p>
    <w:p w14:paraId="6826D6B7" w14:textId="77777777" w:rsidR="00A22C51" w:rsidRPr="003B10E2" w:rsidRDefault="00A22C51"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Траектория волатильности инфляции развивалась по аналогичной схеме: она была относительно высокой в 1990-х годах, затем она значительно снизилась в первой половине 2000-х годов, во второй половине 2000-х годов наблюдалась подъем, а затем вернулась к более низкому уровню в последнее время. Расчет стандартных отклонений за скользящий период осуществляется путем систематического сканирования окна фиксированной длины по каждому временному ряду и определения стандартного отклонения класса активов за каждый соответствующий период. Этот конкретный подход оказался бесценным инструментом для определения волатильности или уровня риска, связанного с активами, с учетом периодов ожидания, аналогичных периодам ожидания реальных инвесторов. Поскольку дата закрытия скользящего окна служит индикатором волатильности, она отражает реализованную волатильность в период, предшествовавший вышеупомянутой дате окончания [515-516].</w:t>
      </w:r>
    </w:p>
    <w:p w14:paraId="3508206B" w14:textId="77777777" w:rsidR="00A22C51" w:rsidRPr="003B10E2" w:rsidRDefault="00A22C51"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Совершенно очевидно, что стандартные отклонения в период с 1997 по 1998 год имели относительно значительную тенденцию как с точки зрения небольших, так и крупных запасов. Аналогичным образом, эти стандартные отклонения оказались относительно низкими в период с 2001 по 2005 год. Однако следует отметить, что после 2006 года волатильность вновь возросла и достигла своего пика в 2009 году. После этого пика волатильность начала стабильно снижаться и сохранялась до первой половины 2015 года. Однако эта тенденция заметно изменилась: во второй половине 2015 года после значительных рыночных потрясений произошло изменение траектории роста</w:t>
      </w:r>
      <w:r w:rsidR="00086C62" w:rsidRPr="00086C62">
        <w:rPr>
          <w:rFonts w:ascii="Times New Roman" w:hAnsi="Times New Roman"/>
          <w:color w:val="000000"/>
          <w:sz w:val="28"/>
          <w:szCs w:val="28"/>
        </w:rPr>
        <w:t xml:space="preserve"> [609-610]</w:t>
      </w:r>
      <w:r w:rsidRPr="003B10E2">
        <w:rPr>
          <w:rFonts w:ascii="Times New Roman" w:hAnsi="Times New Roman"/>
          <w:color w:val="000000"/>
          <w:sz w:val="28"/>
          <w:szCs w:val="28"/>
        </w:rPr>
        <w:t>.</w:t>
      </w:r>
    </w:p>
    <w:p w14:paraId="13D07EF7" w14:textId="77777777" w:rsidR="00A22C51" w:rsidRPr="003B10E2" w:rsidRDefault="00A22C51" w:rsidP="00AF7C9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Феномен размера фирмы можно объяснить множеством способов, каждый из которых позволяет получить ценную информацию. Во-первых, стоит отметить, что повышение доходности акций в долгосрочной перспективе не может быть связано исключительно с более высоким системным риском. Хотя эта взаимосвязь, возможно, и не поддается полному объяснению, эмпирические исследования неизменно показывают, что доходность небольших акций превышает ожидаемую доходность акций. Во-вторых, разница в годовой доходности акций имеет устойчивую корреляцию, что позволяет предположить, что историческая годовая доходность может оказаться весьма полезной для прогнозирования будущих доходов. Было обнаружено, что эта устойчивая корреляция, обычно называемая автокорреляцией, не имеет эмпирической значимости в контексте акций и большинства других рынков капитала. Таким образом, эти убедительные выводы проливают свет на сложную динамику, существующую в сфере размера фирмы, и ее влияние на финансовые рынки.</w:t>
      </w:r>
    </w:p>
    <w:p w14:paraId="40A39841" w14:textId="77777777" w:rsidR="00A22C51" w:rsidRPr="003B10E2" w:rsidRDefault="00A22C51"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дополнение к вышеупомянутым моментам стоит отметить, что влияние размера фирмы на различные аспекты не является постоянным в течение года, а носит сезонный характер. Это означает, что в определенные месяцы, а именно в феврале, марте, июле, августе, сентябре и ноябре, доходность акций небольших компаний, как правило, превосходит доходность акций крупных компаний. Как только соответствующие данные будут представлены, будет проведен всесторонний анализ влияния размера компании на долгосрочную доходность, превышающую сопутствующие риски, а также наличия последовательной корреляции и сезонности. Становится очевидной заметная тенденция к росту среднего геометрического/арифметического значения при переходе от самого высокого дециля к самому низкому. Кроме того, общий риск, выражающийся в стандартном отклонении годовой доходности, снижается по мере роста размера компании в целом. Важно отметить, что в то время, как годовая доходность акций демонстрирует незначительную постоянную корреляцию, портфели демонстрируют небольшую отрицательную автокорреляцию.</w:t>
      </w:r>
    </w:p>
    <w:p w14:paraId="5F14DD3D" w14:textId="77777777" w:rsidR="00A22C51" w:rsidRPr="003B10E2" w:rsidRDefault="00A22C51"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Учитывая тот факт, что акции небольших компаний, как правило, подвержены более высокому уровню риска, важно признать, что их потенциал получения существенной прибыли может служить средством частичной компенсации этого неотъемлемого риска. Модель ценообразования на капитальные активы (CAPM) является широко признанной и принятой системой, которая служит отправной точкой при определении премии за риск, связанной с данным активом, которая, по сути, является формой компенсации за уровень риска, который он представляет. Для количественной оценки систематического риска актива принято измерять его бет</w:t>
      </w:r>
      <w:r w:rsidR="003225B4">
        <w:rPr>
          <w:rFonts w:ascii="Times New Roman" w:hAnsi="Times New Roman"/>
          <w:color w:val="000000"/>
          <w:sz w:val="28"/>
          <w:szCs w:val="28"/>
        </w:rPr>
        <w:t>у</w:t>
      </w:r>
      <w:r w:rsidRPr="003B10E2">
        <w:rPr>
          <w:rFonts w:ascii="Times New Roman" w:hAnsi="Times New Roman"/>
          <w:color w:val="000000"/>
          <w:sz w:val="28"/>
          <w:szCs w:val="28"/>
        </w:rPr>
        <w:t>, которая, по сути, представляет собой числовое представление волатильности актива по отношению к рынку в целом. Стоит отметить, что значение бета, превышающее 1, указывает на то, что данная ценная бумага более рискованна, чем рынок в целом. Согласно принципам CAPM, инвесторы получают вознаграждение за принятие дополнительного систематического риска. Однако при анализе исторической динамики портфелей, в частности на рынках Шанхая и Шэньчжэня, становится очевидным, что снижение доходности, наблюдаемое в нижних децилях, не может быть полностью объяснено только моделью CAPM. Это несоответствие еще больше усугубляется остаточным превышением индекса CAPM, которое становится все более существенным по мере перехода компаний от первого дециля к самым маленьким компаниям десятого дециля. Это явление особенно заметно при рассмотрении акций компаний с малой капитализацией, падающих в пределах восьмой-десятой децилей. В связи с этим явлением, связанным с размерами, растет потребность во всестороннем пересмотре CAPM, в связи с чем было предложено тщательно рассмотреть вопрос об учете размера.</w:t>
      </w:r>
    </w:p>
    <w:p w14:paraId="3E784F04" w14:textId="77777777" w:rsidR="00A22C51" w:rsidRPr="003B10E2" w:rsidRDefault="00A22C51"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Модель ценообразования на капитальные активы (CAPM), аналитический инструмент, обычно используемый в финансовой сфере, используется для расчета доходности, превышающей безрисковую ставку. Кроме того, она служит средством сравнения вышеупомянутой оценки с историческими данными. Согласно CAPM, доходность конкретной ценной бумаги состоит из двух отдельных компонентов: безрисковой ставки и избыточной доходности. Эта избыточная доходность определяется путем умножения коэффициента бета (β) на премию за риск акций, которая, по сути, представляет собой компенсацию, выплачиваемую инвесторам за их готовность нести рыночный риск. Разница между ожидаемой избыточной доходностью, прогнозируемой CAPM, и актуализированной избыточной доходностью представляет собой сумму премии. Совершенно очевидно, что инвестирование в портфель, состоящий из акций с микрокапитализацией, принесет значительно большую прибыль по сравнению с портфелем, состоящим исключительно из акций с низкой и средней капитализацией. Кроме того, стоит отметить, что рынок ценных бумаг со средней капитализацией отличается большей стабильностью по сравнению с другими категориями. Важно отметить, что линия рынка ценных бумаг, которая служит графическим представлением модели CAPM, определена без каких-либо корректировок с учетом размера премии.</w:t>
      </w:r>
    </w:p>
    <w:p w14:paraId="287C2ED6" w14:textId="77777777" w:rsidR="00A22C51" w:rsidRPr="003B10E2" w:rsidRDefault="00A22C51"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Ценностные фирмы</w:t>
      </w:r>
      <w:r w:rsidR="003225B4">
        <w:rPr>
          <w:rFonts w:ascii="Times New Roman" w:hAnsi="Times New Roman"/>
          <w:color w:val="000000"/>
          <w:sz w:val="28"/>
          <w:szCs w:val="28"/>
        </w:rPr>
        <w:t xml:space="preserve"> -</w:t>
      </w:r>
      <w:r w:rsidRPr="003B10E2">
        <w:rPr>
          <w:rFonts w:ascii="Times New Roman" w:hAnsi="Times New Roman"/>
          <w:color w:val="000000"/>
          <w:sz w:val="28"/>
          <w:szCs w:val="28"/>
        </w:rPr>
        <w:t xml:space="preserve"> фирмы, фундаментальная стоимость которых значительно выше их рыночной стоимости. Проведено значительное количество исследований, которые показали, что эти компании с высокой стоимостью, как правило, приносят более высокую среднюю прибыль, чем их растущие аналоги как в Соединенных Штатах, так и на многих международных фондовых рынках. Однако при ближайшем рассмотрении становится очевидным, что это различие в показателях в первую очередь связано с исключительными оценками, достигнутыми всего за несколько лет. Учитывая относительно недолгую историю Китая на рынках капитала, остается неясным, можно ли считать эту ценовую надбавку надежной в контексте китайского фондового рынка.</w:t>
      </w:r>
    </w:p>
    <w:p w14:paraId="3F1D8E2D" w14:textId="77777777" w:rsidR="00A22C51" w:rsidRPr="003B10E2" w:rsidRDefault="00A22C51" w:rsidP="00A22C51">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Учитывая тот факт, что компании, котирующиеся на фондовой бирже Китая, часто имеют несколько классов акций, доступных для торговли, важно отметить, что инвесторы могут торговать только плавающими акциями категории А. Для оценки доходности этих акций используется соотношение акций к рынку, которое определяется как отношение балансовой стоимости акций на акцию к плавающей цене акций категории А. Стоит отметить, что компании с относительно низким соотношением балансовой стоимости и рыночной стоимости относятся к категории компаний с растущей стоимостью, а компании с более высоким соотношением балансовой стоимости к рыночной стоимости — к компаниям с более высокой стоимостью. Однако из-за относительно короткой истории китайского фондового рынка и наличия значительных стандартных отклонений в доходности акций на китайском рынке сохраняется определенная неопределенность в отношении устойчивости ценовой премии. Фактически, учитывая влияние волатильности, становится ясно, что ценовая надбавка не была статистически значимой на протяжении всего периода выборки.</w:t>
      </w:r>
      <w:bookmarkStart w:id="211" w:name="_Toc497226951"/>
      <w:bookmarkStart w:id="212" w:name="_Toc497227228"/>
      <w:bookmarkStart w:id="213" w:name="_Toc497237409"/>
      <w:bookmarkStart w:id="214" w:name="_Toc500085754"/>
      <w:bookmarkStart w:id="215" w:name="_Toc502763405"/>
      <w:bookmarkStart w:id="216" w:name="_Toc503179478"/>
      <w:bookmarkStart w:id="217" w:name="_Toc523499844"/>
      <w:bookmarkStart w:id="218" w:name="_Toc530742375"/>
    </w:p>
    <w:p w14:paraId="6BE4244B" w14:textId="77777777" w:rsidR="00A22C51" w:rsidRPr="003B10E2" w:rsidRDefault="00A22C51" w:rsidP="00A22C51">
      <w:pPr>
        <w:spacing w:after="0" w:line="360" w:lineRule="auto"/>
        <w:ind w:firstLine="851"/>
        <w:jc w:val="both"/>
        <w:rPr>
          <w:rFonts w:ascii="Times New Roman" w:eastAsia="Times New Roman" w:hAnsi="Times New Roman"/>
          <w:b/>
          <w:iCs/>
          <w:color w:val="000000"/>
          <w:sz w:val="32"/>
          <w:szCs w:val="32"/>
          <w:lang w:eastAsia="ar-SA"/>
        </w:rPr>
      </w:pPr>
      <w:r w:rsidRPr="003B10E2">
        <w:rPr>
          <w:rFonts w:ascii="Times New Roman" w:eastAsia="Times New Roman" w:hAnsi="Times New Roman"/>
          <w:b/>
          <w:iCs/>
          <w:color w:val="000000"/>
          <w:sz w:val="32"/>
          <w:szCs w:val="32"/>
          <w:lang w:eastAsia="ar-SA"/>
        </w:rPr>
        <w:t xml:space="preserve"> </w:t>
      </w:r>
    </w:p>
    <w:p w14:paraId="2A514A2F" w14:textId="77777777" w:rsidR="00465E2F" w:rsidRPr="003225B4" w:rsidRDefault="00010E0E" w:rsidP="003225B4">
      <w:pPr>
        <w:spacing w:after="0" w:line="360" w:lineRule="auto"/>
        <w:ind w:firstLine="851"/>
        <w:jc w:val="center"/>
        <w:rPr>
          <w:rFonts w:ascii="Times New Roman" w:hAnsi="Times New Roman"/>
          <w:b/>
          <w:bCs/>
          <w:color w:val="000000"/>
          <w:sz w:val="32"/>
          <w:szCs w:val="32"/>
          <w:lang w:eastAsia="ar-SA"/>
        </w:rPr>
      </w:pPr>
      <w:r w:rsidRPr="003B10E2">
        <w:rPr>
          <w:rFonts w:ascii="Times New Roman" w:eastAsia="Times New Roman" w:hAnsi="Times New Roman"/>
          <w:b/>
          <w:iCs/>
          <w:color w:val="000000"/>
          <w:sz w:val="32"/>
          <w:szCs w:val="32"/>
          <w:lang w:eastAsia="ar-SA"/>
        </w:rPr>
        <w:br w:type="page"/>
      </w:r>
      <w:r w:rsidR="001208B4" w:rsidRPr="003B10E2">
        <w:rPr>
          <w:rFonts w:ascii="Times New Roman" w:eastAsia="Times New Roman" w:hAnsi="Times New Roman"/>
          <w:b/>
          <w:iCs/>
          <w:color w:val="000000"/>
          <w:sz w:val="32"/>
          <w:szCs w:val="32"/>
          <w:lang w:eastAsia="ar-SA"/>
        </w:rPr>
        <w:t>Заключение</w:t>
      </w:r>
      <w:bookmarkEnd w:id="211"/>
      <w:bookmarkEnd w:id="212"/>
      <w:bookmarkEnd w:id="213"/>
      <w:bookmarkEnd w:id="214"/>
      <w:bookmarkEnd w:id="215"/>
      <w:bookmarkEnd w:id="216"/>
      <w:bookmarkEnd w:id="217"/>
      <w:bookmarkEnd w:id="218"/>
    </w:p>
    <w:p w14:paraId="0B97A726" w14:textId="77777777" w:rsidR="001208B4" w:rsidRPr="003B10E2" w:rsidRDefault="001208B4" w:rsidP="001208B4">
      <w:pPr>
        <w:widowControl w:val="0"/>
        <w:spacing w:after="0" w:line="360" w:lineRule="auto"/>
        <w:ind w:firstLine="851"/>
        <w:jc w:val="both"/>
        <w:rPr>
          <w:rFonts w:ascii="Times New Roman" w:eastAsia="Times New Roman" w:hAnsi="Times New Roman"/>
          <w:color w:val="000000"/>
          <w:sz w:val="28"/>
          <w:szCs w:val="28"/>
          <w:lang w:eastAsia="ar-SA"/>
        </w:rPr>
      </w:pPr>
      <w:bookmarkStart w:id="219" w:name="_Hlk147772136"/>
      <w:r w:rsidRPr="003B10E2">
        <w:rPr>
          <w:rFonts w:ascii="Times New Roman" w:eastAsia="Times New Roman" w:hAnsi="Times New Roman"/>
          <w:color w:val="000000"/>
          <w:sz w:val="28"/>
          <w:szCs w:val="28"/>
          <w:lang w:eastAsia="ar-SA"/>
        </w:rPr>
        <w:t xml:space="preserve">Исходя из структуры диссертационного исследования и основных результатов работы, выносимых на защиту, выводы целесообразно разделить на две группы. </w:t>
      </w:r>
    </w:p>
    <w:p w14:paraId="53F40783" w14:textId="77777777" w:rsidR="001208B4" w:rsidRPr="003B10E2" w:rsidRDefault="001208B4" w:rsidP="002B4572">
      <w:pPr>
        <w:spacing w:after="0" w:line="360" w:lineRule="auto"/>
        <w:ind w:firstLine="851"/>
        <w:jc w:val="both"/>
        <w:rPr>
          <w:rFonts w:ascii="Times New Roman" w:hAnsi="Times New Roman"/>
          <w:color w:val="000000"/>
          <w:sz w:val="28"/>
          <w:szCs w:val="28"/>
        </w:rPr>
      </w:pPr>
      <w:bookmarkStart w:id="220" w:name="_Hlk138270928"/>
      <w:r w:rsidRPr="003B10E2">
        <w:rPr>
          <w:rFonts w:ascii="Times New Roman" w:hAnsi="Times New Roman"/>
          <w:color w:val="000000"/>
          <w:sz w:val="28"/>
          <w:szCs w:val="28"/>
        </w:rPr>
        <w:t>Теория развития финансовых рынков и влияния финансового рынка на экономический рост ещё в целом не сформирована, хотя факт влияния сегодня является бесспорным.</w:t>
      </w:r>
      <w:r w:rsidR="002B4572" w:rsidRPr="003B10E2">
        <w:rPr>
          <w:rFonts w:ascii="Times New Roman" w:hAnsi="Times New Roman"/>
          <w:color w:val="000000"/>
          <w:sz w:val="28"/>
          <w:szCs w:val="28"/>
        </w:rPr>
        <w:t xml:space="preserve"> </w:t>
      </w:r>
      <w:r w:rsidRPr="003B10E2">
        <w:rPr>
          <w:rFonts w:ascii="Times New Roman" w:hAnsi="Times New Roman"/>
          <w:color w:val="000000"/>
          <w:sz w:val="28"/>
          <w:szCs w:val="28"/>
        </w:rPr>
        <w:t>Уровень ликвидности фондов</w:t>
      </w:r>
      <w:r w:rsidR="002B4572" w:rsidRPr="003B10E2">
        <w:rPr>
          <w:rFonts w:ascii="Times New Roman" w:hAnsi="Times New Roman"/>
          <w:color w:val="000000"/>
          <w:sz w:val="28"/>
          <w:szCs w:val="28"/>
        </w:rPr>
        <w:t>ых</w:t>
      </w:r>
      <w:r w:rsidRPr="003B10E2">
        <w:rPr>
          <w:rFonts w:ascii="Times New Roman" w:hAnsi="Times New Roman"/>
          <w:color w:val="000000"/>
          <w:sz w:val="28"/>
          <w:szCs w:val="28"/>
        </w:rPr>
        <w:t xml:space="preserve"> рынк</w:t>
      </w:r>
      <w:r w:rsidR="002B4572" w:rsidRPr="003B10E2">
        <w:rPr>
          <w:rFonts w:ascii="Times New Roman" w:hAnsi="Times New Roman"/>
          <w:color w:val="000000"/>
          <w:sz w:val="28"/>
          <w:szCs w:val="28"/>
        </w:rPr>
        <w:t>ов России и Китая</w:t>
      </w:r>
      <w:r w:rsidRPr="003B10E2">
        <w:rPr>
          <w:rFonts w:ascii="Times New Roman" w:hAnsi="Times New Roman"/>
          <w:color w:val="000000"/>
          <w:sz w:val="28"/>
          <w:szCs w:val="28"/>
        </w:rPr>
        <w:t xml:space="preserve"> положительно и статистически значимо коррелирует с текущими и будущими темпами экономического роста, накопления капитала и повышения производительности труда.</w:t>
      </w:r>
    </w:p>
    <w:p w14:paraId="53D11AF5" w14:textId="77777777" w:rsidR="001208B4" w:rsidRPr="003B10E2" w:rsidRDefault="001208B4" w:rsidP="001208B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Эффективный фондовый рынок способствует привлечению дополнительных инвестиций на финансирование проектов, что ведет к ускорению экономического роста, мобилизации внутренних сбережений и снижению рисков путем диверсификации [233]. </w:t>
      </w:r>
    </w:p>
    <w:p w14:paraId="18041833" w14:textId="77777777" w:rsidR="00484557" w:rsidRPr="003B10E2" w:rsidRDefault="00484557" w:rsidP="003F5A50">
      <w:pPr>
        <w:spacing w:after="0" w:line="360" w:lineRule="auto"/>
        <w:ind w:firstLine="851"/>
        <w:jc w:val="both"/>
        <w:rPr>
          <w:rFonts w:ascii="Times New Roman" w:eastAsia="Times New Roman" w:hAnsi="Times New Roman"/>
          <w:color w:val="000000"/>
          <w:sz w:val="28"/>
          <w:szCs w:val="28"/>
          <w:lang w:eastAsia="ar-SA"/>
        </w:rPr>
      </w:pPr>
      <w:r w:rsidRPr="003B10E2">
        <w:rPr>
          <w:rFonts w:ascii="Times New Roman" w:eastAsia="Times New Roman" w:hAnsi="Times New Roman"/>
          <w:color w:val="000000"/>
          <w:sz w:val="28"/>
          <w:szCs w:val="28"/>
          <w:lang w:eastAsia="ar-SA"/>
        </w:rPr>
        <w:t>За последние тридцать лет рынок капитала Китая значительно вырос вместе с экономикой, что стало выдающимся достижением страны. В настоящее время Китай является вторым по величине рынком капитала в мире с точки зрения рыночной капитализации и, несомненно, добился впечатляющих успехов в этой области. Однако важно признать, что строгий контроль за движением капитала в стране стал препятствием, ограничивающим темпы развития страны и изолирующим ее от остального мира. Тем не менее, эта ситуация быстро меняется, поскольку Китай активно стремится к интеграции в мировую финансовую систему. Следовательно, изменения, происходящие на китайском рынке капитала, прямо или косвенно оказывают все более сильное влияние на мировые рынки, открывая новую эру взаимосвязанности и взаимного влияния.</w:t>
      </w:r>
    </w:p>
    <w:p w14:paraId="70212548" w14:textId="77777777" w:rsidR="003F5A50" w:rsidRPr="003B10E2" w:rsidRDefault="003F5A50" w:rsidP="003F5A50">
      <w:pPr>
        <w:spacing w:after="0" w:line="360" w:lineRule="auto"/>
        <w:ind w:firstLine="851"/>
        <w:jc w:val="both"/>
        <w:rPr>
          <w:rFonts w:ascii="Times New Roman" w:eastAsia="Times New Roman" w:hAnsi="Times New Roman"/>
          <w:color w:val="000000"/>
          <w:sz w:val="28"/>
          <w:szCs w:val="28"/>
          <w:lang w:eastAsia="ar-SA"/>
        </w:rPr>
      </w:pPr>
      <w:r w:rsidRPr="003B10E2">
        <w:rPr>
          <w:rFonts w:ascii="Times New Roman" w:eastAsia="Times New Roman" w:hAnsi="Times New Roman"/>
          <w:color w:val="000000"/>
          <w:sz w:val="28"/>
          <w:szCs w:val="28"/>
          <w:lang w:eastAsia="ar-SA"/>
        </w:rPr>
        <w:t xml:space="preserve">Кроме этого, диссертация отвечает на вопрос: что в настоящее время рынок капитала России не может быть конкурентоспособным по отношению к </w:t>
      </w:r>
      <w:r w:rsidR="002877CD" w:rsidRPr="003B10E2">
        <w:rPr>
          <w:rFonts w:ascii="Times New Roman" w:eastAsia="Times New Roman" w:hAnsi="Times New Roman"/>
          <w:color w:val="000000"/>
          <w:sz w:val="28"/>
          <w:szCs w:val="28"/>
          <w:lang w:eastAsia="ar-SA"/>
        </w:rPr>
        <w:t xml:space="preserve">рынкам капитала </w:t>
      </w:r>
      <w:r w:rsidRPr="003B10E2">
        <w:rPr>
          <w:rFonts w:ascii="Times New Roman" w:eastAsia="Times New Roman" w:hAnsi="Times New Roman"/>
          <w:color w:val="000000"/>
          <w:sz w:val="28"/>
          <w:szCs w:val="28"/>
          <w:lang w:eastAsia="ar-SA"/>
        </w:rPr>
        <w:t>други</w:t>
      </w:r>
      <w:r w:rsidR="002877CD" w:rsidRPr="003B10E2">
        <w:rPr>
          <w:rFonts w:ascii="Times New Roman" w:eastAsia="Times New Roman" w:hAnsi="Times New Roman"/>
          <w:color w:val="000000"/>
          <w:sz w:val="28"/>
          <w:szCs w:val="28"/>
          <w:lang w:eastAsia="ar-SA"/>
        </w:rPr>
        <w:t>х</w:t>
      </w:r>
      <w:r w:rsidRPr="003B10E2">
        <w:rPr>
          <w:rFonts w:ascii="Times New Roman" w:eastAsia="Times New Roman" w:hAnsi="Times New Roman"/>
          <w:color w:val="000000"/>
          <w:sz w:val="28"/>
          <w:szCs w:val="28"/>
          <w:lang w:eastAsia="ar-SA"/>
        </w:rPr>
        <w:t xml:space="preserve"> формирующи</w:t>
      </w:r>
      <w:r w:rsidR="002877CD" w:rsidRPr="003B10E2">
        <w:rPr>
          <w:rFonts w:ascii="Times New Roman" w:eastAsia="Times New Roman" w:hAnsi="Times New Roman"/>
          <w:color w:val="000000"/>
          <w:sz w:val="28"/>
          <w:szCs w:val="28"/>
          <w:lang w:eastAsia="ar-SA"/>
        </w:rPr>
        <w:t>х</w:t>
      </w:r>
      <w:r w:rsidRPr="003B10E2">
        <w:rPr>
          <w:rFonts w:ascii="Times New Roman" w:eastAsia="Times New Roman" w:hAnsi="Times New Roman"/>
          <w:color w:val="000000"/>
          <w:sz w:val="28"/>
          <w:szCs w:val="28"/>
          <w:lang w:eastAsia="ar-SA"/>
        </w:rPr>
        <w:t>ся центр</w:t>
      </w:r>
      <w:r w:rsidR="002877CD" w:rsidRPr="003B10E2">
        <w:rPr>
          <w:rFonts w:ascii="Times New Roman" w:eastAsia="Times New Roman" w:hAnsi="Times New Roman"/>
          <w:color w:val="000000"/>
          <w:sz w:val="28"/>
          <w:szCs w:val="28"/>
          <w:lang w:eastAsia="ar-SA"/>
        </w:rPr>
        <w:t>ов</w:t>
      </w:r>
      <w:r w:rsidRPr="003B10E2">
        <w:rPr>
          <w:rFonts w:ascii="Times New Roman" w:eastAsia="Times New Roman" w:hAnsi="Times New Roman"/>
          <w:color w:val="000000"/>
          <w:sz w:val="28"/>
          <w:szCs w:val="28"/>
          <w:lang w:eastAsia="ar-SA"/>
        </w:rPr>
        <w:t xml:space="preserve"> мировых финансов на примере Китая.</w:t>
      </w:r>
    </w:p>
    <w:p w14:paraId="42A0234F" w14:textId="77777777" w:rsidR="003F5A50" w:rsidRPr="003B10E2" w:rsidRDefault="003F5A50" w:rsidP="003F5A50">
      <w:pPr>
        <w:spacing w:after="0" w:line="360" w:lineRule="auto"/>
        <w:ind w:firstLine="851"/>
        <w:jc w:val="both"/>
        <w:rPr>
          <w:rFonts w:ascii="Times New Roman" w:eastAsia="Times New Roman" w:hAnsi="Times New Roman"/>
          <w:color w:val="000000"/>
          <w:sz w:val="28"/>
          <w:szCs w:val="28"/>
          <w:lang w:eastAsia="ar-SA"/>
        </w:rPr>
      </w:pPr>
      <w:r w:rsidRPr="003B10E2">
        <w:rPr>
          <w:rFonts w:ascii="Times New Roman" w:eastAsia="Times New Roman" w:hAnsi="Times New Roman"/>
          <w:color w:val="000000"/>
          <w:sz w:val="28"/>
          <w:szCs w:val="28"/>
          <w:lang w:eastAsia="ar-SA"/>
        </w:rPr>
        <w:t>Основной вывод исследования состоит в том, что национальные рынки капитала России и Китая не являются дра</w:t>
      </w:r>
      <w:r w:rsidR="00D32EE3" w:rsidRPr="003B10E2">
        <w:rPr>
          <w:rFonts w:ascii="Times New Roman" w:eastAsia="Times New Roman" w:hAnsi="Times New Roman"/>
          <w:color w:val="000000"/>
          <w:sz w:val="28"/>
          <w:szCs w:val="28"/>
          <w:lang w:eastAsia="ar-SA"/>
        </w:rPr>
        <w:t>й</w:t>
      </w:r>
      <w:r w:rsidRPr="003B10E2">
        <w:rPr>
          <w:rFonts w:ascii="Times New Roman" w:eastAsia="Times New Roman" w:hAnsi="Times New Roman"/>
          <w:color w:val="000000"/>
          <w:sz w:val="28"/>
          <w:szCs w:val="28"/>
          <w:lang w:eastAsia="ar-SA"/>
        </w:rPr>
        <w:t>верами экономического роста России и Китая в современных валютно-финансовых условиях.</w:t>
      </w:r>
    </w:p>
    <w:p w14:paraId="147753C3" w14:textId="77777777" w:rsidR="001208B4" w:rsidRPr="003B10E2" w:rsidRDefault="001208B4" w:rsidP="001208B4">
      <w:pPr>
        <w:widowControl w:val="0"/>
        <w:spacing w:after="0" w:line="360" w:lineRule="auto"/>
        <w:ind w:firstLine="851"/>
        <w:jc w:val="both"/>
        <w:rPr>
          <w:rFonts w:ascii="Times New Roman" w:eastAsia="Times New Roman" w:hAnsi="Times New Roman"/>
          <w:color w:val="000000"/>
          <w:sz w:val="28"/>
          <w:szCs w:val="28"/>
          <w:lang w:eastAsia="ar-SA"/>
        </w:rPr>
      </w:pPr>
      <w:r w:rsidRPr="003B10E2">
        <w:rPr>
          <w:rFonts w:ascii="Times New Roman" w:eastAsia="Times New Roman" w:hAnsi="Times New Roman"/>
          <w:color w:val="000000"/>
          <w:sz w:val="28"/>
          <w:szCs w:val="28"/>
          <w:lang w:eastAsia="ar-SA"/>
        </w:rPr>
        <w:t>Подтверждена взаимозависимость между волатильностью макроэкономических показателей и волатильностью цен на активы на финансовом рынке.</w:t>
      </w:r>
    </w:p>
    <w:p w14:paraId="40D50CF2" w14:textId="77777777" w:rsidR="001208B4" w:rsidRPr="003B10E2" w:rsidRDefault="001208B4" w:rsidP="001208B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Новые тренды перечислены ниже по степени важности.</w:t>
      </w:r>
    </w:p>
    <w:p w14:paraId="485E8717" w14:textId="77777777" w:rsidR="001208B4" w:rsidRPr="003B10E2" w:rsidRDefault="00465E2F" w:rsidP="00465E2F">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1) </w:t>
      </w:r>
      <w:r w:rsidR="001208B4" w:rsidRPr="003B10E2">
        <w:rPr>
          <w:rFonts w:ascii="Times New Roman" w:hAnsi="Times New Roman"/>
          <w:color w:val="000000"/>
          <w:sz w:val="28"/>
          <w:szCs w:val="28"/>
        </w:rPr>
        <w:t>Секьюритизация активов на рынке криптовалют.</w:t>
      </w:r>
    </w:p>
    <w:p w14:paraId="6D715BC3" w14:textId="77777777" w:rsidR="001208B4" w:rsidRPr="003B10E2" w:rsidRDefault="00465E2F" w:rsidP="00465E2F">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2) </w:t>
      </w:r>
      <w:r w:rsidR="001208B4" w:rsidRPr="003B10E2">
        <w:rPr>
          <w:rFonts w:ascii="Times New Roman" w:hAnsi="Times New Roman"/>
          <w:color w:val="000000"/>
          <w:sz w:val="28"/>
          <w:szCs w:val="28"/>
        </w:rPr>
        <w:t>Перераспределение финансовых потоков между секторами экономики.</w:t>
      </w:r>
    </w:p>
    <w:p w14:paraId="30DA42F3" w14:textId="77777777" w:rsidR="001208B4" w:rsidRPr="003B10E2" w:rsidRDefault="00465E2F" w:rsidP="00465E2F">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3) </w:t>
      </w:r>
      <w:r w:rsidR="001208B4" w:rsidRPr="003B10E2">
        <w:rPr>
          <w:rFonts w:ascii="Times New Roman" w:hAnsi="Times New Roman"/>
          <w:color w:val="000000"/>
          <w:sz w:val="28"/>
          <w:szCs w:val="28"/>
        </w:rPr>
        <w:t>Усиление определенных групп рисков.</w:t>
      </w:r>
    </w:p>
    <w:p w14:paraId="4047288A" w14:textId="77777777" w:rsidR="001208B4" w:rsidRPr="003B10E2" w:rsidRDefault="00465E2F" w:rsidP="00465E2F">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4) </w:t>
      </w:r>
      <w:r w:rsidR="001208B4" w:rsidRPr="003B10E2">
        <w:rPr>
          <w:rFonts w:ascii="Times New Roman" w:hAnsi="Times New Roman"/>
          <w:color w:val="000000"/>
          <w:sz w:val="28"/>
          <w:szCs w:val="28"/>
        </w:rPr>
        <w:t>Воздействие изменений в цифровых технологиях.</w:t>
      </w:r>
    </w:p>
    <w:p w14:paraId="04EAFBD2" w14:textId="77777777" w:rsidR="001208B4" w:rsidRPr="003B10E2" w:rsidRDefault="00465E2F" w:rsidP="00465E2F">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5) </w:t>
      </w:r>
      <w:r w:rsidR="001208B4" w:rsidRPr="003B10E2">
        <w:rPr>
          <w:rFonts w:ascii="Times New Roman" w:hAnsi="Times New Roman"/>
          <w:color w:val="000000"/>
          <w:sz w:val="28"/>
          <w:szCs w:val="28"/>
        </w:rPr>
        <w:t>Изменение инвестиционной теории: от кейнсианства к поведенческим финансам (подробнее описано в параграфе 1.2).</w:t>
      </w:r>
    </w:p>
    <w:p w14:paraId="45CB57EB" w14:textId="77777777" w:rsidR="001208B4" w:rsidRPr="003B10E2" w:rsidRDefault="001208B4" w:rsidP="001208B4">
      <w:pPr>
        <w:widowControl w:val="0"/>
        <w:spacing w:after="0" w:line="360" w:lineRule="auto"/>
        <w:ind w:firstLine="851"/>
        <w:jc w:val="both"/>
        <w:rPr>
          <w:rFonts w:ascii="Times New Roman" w:eastAsia="Times New Roman" w:hAnsi="Times New Roman"/>
          <w:color w:val="000000"/>
          <w:sz w:val="28"/>
          <w:szCs w:val="28"/>
          <w:lang w:eastAsia="ar-SA"/>
        </w:rPr>
      </w:pPr>
      <w:r w:rsidRPr="003B10E2">
        <w:rPr>
          <w:rFonts w:ascii="Times New Roman" w:eastAsia="Times New Roman" w:hAnsi="Times New Roman"/>
          <w:color w:val="000000"/>
          <w:sz w:val="28"/>
          <w:szCs w:val="28"/>
          <w:lang w:eastAsia="ar-SA"/>
        </w:rPr>
        <w:t xml:space="preserve">С содержательной точки зрения результаты прогнозов цен на активы говорят о вялом восстановлении финансового рынка после кризисов: динамика макроэкономических индикаторов свидетельствует о </w:t>
      </w:r>
      <w:r w:rsidRPr="003B10E2">
        <w:rPr>
          <w:rFonts w:ascii="Times New Roman" w:eastAsia="Times New Roman" w:hAnsi="Times New Roman"/>
          <w:color w:val="000000"/>
          <w:sz w:val="28"/>
          <w:szCs w:val="28"/>
          <w:lang w:val="en-US" w:eastAsia="ar-SA"/>
        </w:rPr>
        <w:t>L</w:t>
      </w:r>
      <w:r w:rsidRPr="003B10E2">
        <w:rPr>
          <w:rFonts w:ascii="Times New Roman" w:eastAsia="Times New Roman" w:hAnsi="Times New Roman"/>
          <w:color w:val="000000"/>
          <w:sz w:val="28"/>
          <w:szCs w:val="28"/>
          <w:lang w:eastAsia="ar-SA"/>
        </w:rPr>
        <w:t>-образной траектории выхода России</w:t>
      </w:r>
      <w:r w:rsidR="002B4572" w:rsidRPr="003B10E2">
        <w:rPr>
          <w:rFonts w:ascii="Times New Roman" w:eastAsia="Times New Roman" w:hAnsi="Times New Roman"/>
          <w:color w:val="000000"/>
          <w:sz w:val="28"/>
          <w:szCs w:val="28"/>
          <w:lang w:eastAsia="ar-SA"/>
        </w:rPr>
        <w:t xml:space="preserve"> и Китая</w:t>
      </w:r>
      <w:r w:rsidRPr="003B10E2">
        <w:rPr>
          <w:rFonts w:ascii="Times New Roman" w:eastAsia="Times New Roman" w:hAnsi="Times New Roman"/>
          <w:color w:val="000000"/>
          <w:sz w:val="28"/>
          <w:szCs w:val="28"/>
          <w:lang w:eastAsia="ar-SA"/>
        </w:rPr>
        <w:t xml:space="preserve"> из кризиса. </w:t>
      </w:r>
    </w:p>
    <w:p w14:paraId="24F8A7CB" w14:textId="77777777" w:rsidR="001208B4" w:rsidRPr="003B10E2" w:rsidRDefault="001208B4" w:rsidP="001208B4">
      <w:pPr>
        <w:widowControl w:val="0"/>
        <w:spacing w:after="0" w:line="360" w:lineRule="auto"/>
        <w:ind w:firstLine="851"/>
        <w:jc w:val="both"/>
        <w:rPr>
          <w:rFonts w:ascii="Times New Roman" w:eastAsia="Times New Roman" w:hAnsi="Times New Roman"/>
          <w:color w:val="000000"/>
          <w:sz w:val="28"/>
          <w:szCs w:val="28"/>
          <w:lang w:eastAsia="ar-SA"/>
        </w:rPr>
      </w:pPr>
      <w:r w:rsidRPr="003B10E2">
        <w:rPr>
          <w:rFonts w:ascii="Times New Roman" w:eastAsia="Times New Roman" w:hAnsi="Times New Roman"/>
          <w:color w:val="000000"/>
          <w:sz w:val="28"/>
          <w:szCs w:val="28"/>
          <w:lang w:eastAsia="ar-SA"/>
        </w:rPr>
        <w:t>Статистика за посткризисные (2009 – 20</w:t>
      </w:r>
      <w:r w:rsidR="005B433D" w:rsidRPr="003B10E2">
        <w:rPr>
          <w:rFonts w:ascii="Times New Roman" w:eastAsia="Times New Roman" w:hAnsi="Times New Roman"/>
          <w:color w:val="000000"/>
          <w:sz w:val="28"/>
          <w:szCs w:val="28"/>
          <w:lang w:eastAsia="ar-SA"/>
        </w:rPr>
        <w:t>22</w:t>
      </w:r>
      <w:r w:rsidRPr="003B10E2">
        <w:rPr>
          <w:rFonts w:ascii="Times New Roman" w:eastAsia="Times New Roman" w:hAnsi="Times New Roman"/>
          <w:color w:val="000000"/>
          <w:sz w:val="28"/>
          <w:szCs w:val="28"/>
          <w:lang w:eastAsia="ar-SA"/>
        </w:rPr>
        <w:t>) годы указывает, что фондовый рынок перешел в иной режим функционирования по сравнению с предыдущим временным периодом. Однако анализ эмпирических финансовых данных указывает, что корреляционная функция имеет степенную зависимость</w:t>
      </w:r>
      <w:r w:rsidR="003F5A50"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color w:val="000000"/>
          <w:sz w:val="28"/>
          <w:szCs w:val="28"/>
          <w:lang w:eastAsia="ar-SA"/>
        </w:rPr>
        <w:t xml:space="preserve">[293]. </w:t>
      </w:r>
    </w:p>
    <w:p w14:paraId="7249CCEB" w14:textId="77777777" w:rsidR="001208B4" w:rsidRPr="003B10E2" w:rsidRDefault="001208B4" w:rsidP="001208B4">
      <w:pPr>
        <w:spacing w:after="0" w:line="360" w:lineRule="auto"/>
        <w:ind w:firstLine="851"/>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 xml:space="preserve">Выявлены закономерности исторической эволюции финансовых теорий цен на активы и моделей прогнозирования волатильности цен на активы на рынках капитала. Собраны доказательства высокой точности и надежности моделей долгой памяти для прогнозирования волатильности динамики цен для различных классов финансовых активов. Предложены теоретические основы оценки криптоактивов как нового сегмента глобального финансового рынка.  </w:t>
      </w:r>
    </w:p>
    <w:p w14:paraId="144739BA" w14:textId="77777777" w:rsidR="001208B4" w:rsidRPr="003B10E2" w:rsidRDefault="001208B4" w:rsidP="003F5A50">
      <w:pPr>
        <w:spacing w:after="0" w:line="360" w:lineRule="auto"/>
        <w:ind w:firstLine="851"/>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Показано эмпирически, что российский</w:t>
      </w:r>
      <w:r w:rsidR="003F5A50" w:rsidRPr="003B10E2">
        <w:rPr>
          <w:rFonts w:ascii="Times New Roman" w:eastAsia="Times New Roman" w:hAnsi="Times New Roman"/>
          <w:color w:val="000000"/>
          <w:sz w:val="28"/>
          <w:szCs w:val="28"/>
        </w:rPr>
        <w:t xml:space="preserve"> и китайский</w:t>
      </w:r>
      <w:r w:rsidRPr="003B10E2">
        <w:rPr>
          <w:rFonts w:ascii="Times New Roman" w:eastAsia="Times New Roman" w:hAnsi="Times New Roman"/>
          <w:color w:val="000000"/>
          <w:sz w:val="28"/>
          <w:szCs w:val="28"/>
        </w:rPr>
        <w:t xml:space="preserve"> рынок капитала в посткризисный период (2013 – 2022 гг.) имеет высокие показатели реальной дивидендной доходности акций и доходности к погашению облигаций. До недавнего времени публичные компании </w:t>
      </w:r>
      <w:r w:rsidR="00560D69" w:rsidRPr="003B10E2">
        <w:rPr>
          <w:rFonts w:ascii="Times New Roman" w:eastAsia="Times New Roman" w:hAnsi="Times New Roman"/>
          <w:color w:val="000000"/>
          <w:sz w:val="28"/>
          <w:szCs w:val="28"/>
        </w:rPr>
        <w:t xml:space="preserve">России и Китая </w:t>
      </w:r>
      <w:r w:rsidRPr="003B10E2">
        <w:rPr>
          <w:rFonts w:ascii="Times New Roman" w:eastAsia="Times New Roman" w:hAnsi="Times New Roman"/>
          <w:color w:val="000000"/>
          <w:sz w:val="28"/>
          <w:szCs w:val="28"/>
        </w:rPr>
        <w:t>с государственным участием целенаправленно проводили политику удержания прибыли, благодаря чему государство получало необоснованно низкие доходы в результате инвестирования в них. В последние годы стала заметна обратная тенденция: высокая дивидендная доходность. Приток (отток) инвестиций со стороны нерезидентов на рынк</w:t>
      </w:r>
      <w:r w:rsidR="00560D69" w:rsidRPr="003B10E2">
        <w:rPr>
          <w:rFonts w:ascii="Times New Roman" w:eastAsia="Times New Roman" w:hAnsi="Times New Roman"/>
          <w:color w:val="000000"/>
          <w:sz w:val="28"/>
          <w:szCs w:val="28"/>
        </w:rPr>
        <w:t>ах</w:t>
      </w:r>
      <w:r w:rsidRPr="003B10E2">
        <w:rPr>
          <w:rFonts w:ascii="Times New Roman" w:eastAsia="Times New Roman" w:hAnsi="Times New Roman"/>
          <w:color w:val="000000"/>
          <w:sz w:val="28"/>
          <w:szCs w:val="28"/>
        </w:rPr>
        <w:t xml:space="preserve"> акций и облигаций зависит, прежде всего, от дивидендной доходности. Повышенная премия за риск компенсируется инвесторам с помощью высокой дивидендной доходности (9,5% годовых).</w:t>
      </w:r>
    </w:p>
    <w:p w14:paraId="0B7E4CD8" w14:textId="77777777" w:rsidR="001208B4" w:rsidRPr="003B10E2" w:rsidRDefault="001208B4" w:rsidP="001208B4">
      <w:pPr>
        <w:spacing w:after="0" w:line="360" w:lineRule="auto"/>
        <w:ind w:firstLine="851"/>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 xml:space="preserve">Предложены оптимальные параметры осуществления инвестиционной стратегии carry trade на глобальном и российском финансовом рынке на основе анализа современных тенденций развития российского </w:t>
      </w:r>
      <w:r w:rsidR="00560D69" w:rsidRPr="003B10E2">
        <w:rPr>
          <w:rFonts w:ascii="Times New Roman" w:eastAsia="Times New Roman" w:hAnsi="Times New Roman"/>
          <w:color w:val="000000"/>
          <w:sz w:val="28"/>
          <w:szCs w:val="28"/>
        </w:rPr>
        <w:t xml:space="preserve">и китайского </w:t>
      </w:r>
      <w:r w:rsidRPr="003B10E2">
        <w:rPr>
          <w:rFonts w:ascii="Times New Roman" w:eastAsia="Times New Roman" w:hAnsi="Times New Roman"/>
          <w:color w:val="000000"/>
          <w:sz w:val="28"/>
          <w:szCs w:val="28"/>
        </w:rPr>
        <w:t>финансов</w:t>
      </w:r>
      <w:r w:rsidR="00560D69" w:rsidRPr="003B10E2">
        <w:rPr>
          <w:rFonts w:ascii="Times New Roman" w:eastAsia="Times New Roman" w:hAnsi="Times New Roman"/>
          <w:color w:val="000000"/>
          <w:sz w:val="28"/>
          <w:szCs w:val="28"/>
        </w:rPr>
        <w:t>ых</w:t>
      </w:r>
      <w:r w:rsidRPr="003B10E2">
        <w:rPr>
          <w:rFonts w:ascii="Times New Roman" w:eastAsia="Times New Roman" w:hAnsi="Times New Roman"/>
          <w:color w:val="000000"/>
          <w:sz w:val="28"/>
          <w:szCs w:val="28"/>
        </w:rPr>
        <w:t xml:space="preserve"> рын</w:t>
      </w:r>
      <w:r w:rsidR="00560D69" w:rsidRPr="003B10E2">
        <w:rPr>
          <w:rFonts w:ascii="Times New Roman" w:eastAsia="Times New Roman" w:hAnsi="Times New Roman"/>
          <w:color w:val="000000"/>
          <w:sz w:val="28"/>
          <w:szCs w:val="28"/>
        </w:rPr>
        <w:t>ков</w:t>
      </w:r>
      <w:r w:rsidRPr="003B10E2">
        <w:rPr>
          <w:rFonts w:ascii="Times New Roman" w:eastAsia="Times New Roman" w:hAnsi="Times New Roman"/>
          <w:color w:val="000000"/>
          <w:sz w:val="28"/>
          <w:szCs w:val="28"/>
        </w:rPr>
        <w:t xml:space="preserve"> и особенностей поведения глобальных институциональных инвесторов. Доходность по валютным стратегиям carry trade положительно коррелирует с периодами повышения рыночной ликвидности и отражает увеличение доходности относительно предыдущего периода. В периоды экономических кризисов стратегия carry trade становится убыточной и реализуется риск, связанный с паритетом процентных ставок между валютами двух стран. </w:t>
      </w:r>
    </w:p>
    <w:bookmarkEnd w:id="220"/>
    <w:p w14:paraId="0756BDC2" w14:textId="77777777" w:rsidR="009E6153" w:rsidRPr="003B10E2" w:rsidRDefault="00484557" w:rsidP="001208B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Произведена оценка передачи внешних шоков на рынке облигаций Китая и России, которая осущетствляется через три канала: регуляторный канал, канал предложения ликвидности, канал риск-аппетита глобальных инвесторов.</w:t>
      </w:r>
    </w:p>
    <w:p w14:paraId="25BA734D" w14:textId="77777777" w:rsidR="000F54A0" w:rsidRPr="003B10E2" w:rsidRDefault="000F54A0" w:rsidP="000F54A0">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диссертации делается вывод о том, что развитие рынка капитала Китая является ценным уроком для России, включая последовательную политику развития внутренней инвестиционной базы и акцентирование внимания на привлечении населения как основного источника инвестиций.</w:t>
      </w:r>
    </w:p>
    <w:p w14:paraId="7CE610CF" w14:textId="77777777" w:rsidR="000F54A0" w:rsidRPr="003B10E2" w:rsidRDefault="000F54A0" w:rsidP="000F54A0">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нем также подчеркивается важность постепенного устранения регуляторных барьеров между инвестициями и коммерческими банковскими операциями для стимулирования роста рынка капитала.</w:t>
      </w:r>
    </w:p>
    <w:p w14:paraId="211FCC1D" w14:textId="77777777" w:rsidR="000F54A0" w:rsidRPr="003B10E2" w:rsidRDefault="000F54A0" w:rsidP="000F54A0">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документе подчеркивается необходимость использования широкого спектра финансовых инструментов на рынке капитала, особенно в сегментах корпоративных облигаций и производных финансовых инструментов.</w:t>
      </w:r>
    </w:p>
    <w:p w14:paraId="5BE63233" w14:textId="77777777" w:rsidR="00130CBF" w:rsidRPr="003B10E2" w:rsidRDefault="00130CBF" w:rsidP="00130CBF">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Использование монетарных инструментов и развитие менее подверженной санкциям экономической активности за рубежом предлагаются в качестве потенциальных стратегий обеспечения устойчивого роста и привлечения длинных денег в экономику. Также подчеркивается важность стабилизации обменного курса рубля для эффективного и устойчивого перехода к более широкому использованию валюты во внешней торговле. </w:t>
      </w:r>
    </w:p>
    <w:bookmarkEnd w:id="219"/>
    <w:p w14:paraId="2920BB2D" w14:textId="77777777" w:rsidR="001120CC" w:rsidRPr="003B10E2" w:rsidRDefault="001120CC" w:rsidP="001208B4">
      <w:pPr>
        <w:spacing w:after="0" w:line="360" w:lineRule="auto"/>
        <w:ind w:firstLine="851"/>
        <w:jc w:val="both"/>
        <w:rPr>
          <w:rFonts w:ascii="Times New Roman" w:hAnsi="Times New Roman"/>
          <w:color w:val="000000"/>
          <w:sz w:val="28"/>
          <w:szCs w:val="28"/>
        </w:rPr>
      </w:pPr>
    </w:p>
    <w:p w14:paraId="67B96F5B" w14:textId="77777777" w:rsidR="00560D69" w:rsidRPr="003B10E2" w:rsidRDefault="00560D69" w:rsidP="001120CC">
      <w:pPr>
        <w:widowControl w:val="0"/>
        <w:autoSpaceDE w:val="0"/>
        <w:spacing w:after="0" w:line="360" w:lineRule="auto"/>
        <w:ind w:left="360"/>
        <w:contextualSpacing/>
        <w:jc w:val="center"/>
        <w:rPr>
          <w:rFonts w:ascii="Times New Roman" w:eastAsia="Times New Roman" w:hAnsi="Times New Roman"/>
          <w:b/>
          <w:iCs/>
          <w:color w:val="000000"/>
          <w:sz w:val="32"/>
          <w:szCs w:val="32"/>
          <w:lang w:eastAsia="ar-SA"/>
        </w:rPr>
      </w:pPr>
    </w:p>
    <w:p w14:paraId="4FF1F73C" w14:textId="77777777" w:rsidR="001120CC" w:rsidRPr="003B10E2" w:rsidRDefault="0009429D" w:rsidP="00B56C17">
      <w:pPr>
        <w:suppressAutoHyphens w:val="0"/>
        <w:jc w:val="center"/>
        <w:rPr>
          <w:rFonts w:ascii="Times New Roman" w:eastAsia="Times New Roman" w:hAnsi="Times New Roman"/>
          <w:b/>
          <w:iCs/>
          <w:color w:val="000000"/>
          <w:sz w:val="32"/>
          <w:szCs w:val="32"/>
          <w:lang w:eastAsia="ar-SA"/>
        </w:rPr>
      </w:pPr>
      <w:r w:rsidRPr="003B10E2">
        <w:rPr>
          <w:rFonts w:ascii="Times New Roman" w:eastAsia="Times New Roman" w:hAnsi="Times New Roman"/>
          <w:b/>
          <w:iCs/>
          <w:color w:val="000000"/>
          <w:sz w:val="32"/>
          <w:szCs w:val="32"/>
          <w:lang w:eastAsia="ar-SA"/>
        </w:rPr>
        <w:br w:type="page"/>
      </w:r>
      <w:r w:rsidR="001120CC" w:rsidRPr="003B10E2">
        <w:rPr>
          <w:rFonts w:ascii="Times New Roman" w:eastAsia="Times New Roman" w:hAnsi="Times New Roman"/>
          <w:b/>
          <w:iCs/>
          <w:color w:val="000000"/>
          <w:sz w:val="32"/>
          <w:szCs w:val="32"/>
          <w:lang w:eastAsia="ar-SA"/>
        </w:rPr>
        <w:t>Список литературы</w:t>
      </w:r>
    </w:p>
    <w:p w14:paraId="10A69855" w14:textId="77777777" w:rsidR="001120CC" w:rsidRPr="003B10E2" w:rsidRDefault="001120CC" w:rsidP="001120CC">
      <w:pPr>
        <w:widowControl w:val="0"/>
        <w:autoSpaceDE w:val="0"/>
        <w:spacing w:after="0" w:line="360" w:lineRule="auto"/>
        <w:ind w:left="360"/>
        <w:contextualSpacing/>
        <w:jc w:val="center"/>
        <w:rPr>
          <w:rFonts w:ascii="Times New Roman" w:eastAsia="Times New Roman" w:hAnsi="Times New Roman"/>
          <w:iCs/>
          <w:color w:val="000000"/>
          <w:sz w:val="28"/>
          <w:szCs w:val="28"/>
          <w:lang w:eastAsia="ar-SA"/>
        </w:rPr>
      </w:pPr>
    </w:p>
    <w:p w14:paraId="622EBF0E" w14:textId="77777777" w:rsidR="001120CC" w:rsidRPr="003B10E2" w:rsidRDefault="001120CC" w:rsidP="001120CC">
      <w:pPr>
        <w:widowControl w:val="0"/>
        <w:autoSpaceDE w:val="0"/>
        <w:spacing w:after="0" w:line="360" w:lineRule="auto"/>
        <w:ind w:left="360"/>
        <w:contextualSpacing/>
        <w:jc w:val="center"/>
        <w:rPr>
          <w:rFonts w:ascii="Times New Roman" w:eastAsia="Times New Roman" w:hAnsi="Times New Roman"/>
          <w:iCs/>
          <w:color w:val="000000"/>
          <w:sz w:val="28"/>
          <w:szCs w:val="28"/>
          <w:lang w:eastAsia="ar-SA"/>
        </w:rPr>
      </w:pPr>
      <w:r w:rsidRPr="003B10E2">
        <w:rPr>
          <w:rFonts w:ascii="Times New Roman" w:eastAsia="Times New Roman" w:hAnsi="Times New Roman"/>
          <w:iCs/>
          <w:color w:val="000000"/>
          <w:sz w:val="28"/>
          <w:szCs w:val="28"/>
          <w:lang w:eastAsia="ar-SA"/>
        </w:rPr>
        <w:t>Книги</w:t>
      </w:r>
    </w:p>
    <w:p w14:paraId="3664758C" w14:textId="77777777" w:rsidR="001120CC" w:rsidRPr="003B10E2" w:rsidRDefault="001120CC" w:rsidP="001120CC">
      <w:pPr>
        <w:widowControl w:val="0"/>
        <w:autoSpaceDE w:val="0"/>
        <w:spacing w:after="0" w:line="360" w:lineRule="auto"/>
        <w:ind w:left="360"/>
        <w:contextualSpacing/>
        <w:jc w:val="center"/>
        <w:rPr>
          <w:rFonts w:ascii="Times New Roman" w:eastAsia="Times New Roman" w:hAnsi="Times New Roman"/>
          <w:iCs/>
          <w:color w:val="000000"/>
          <w:sz w:val="28"/>
          <w:szCs w:val="28"/>
          <w:lang w:eastAsia="ar-SA"/>
        </w:rPr>
      </w:pPr>
    </w:p>
    <w:p w14:paraId="46FE4032" w14:textId="77777777" w:rsidR="001120CC" w:rsidRPr="003B10E2" w:rsidRDefault="001120CC" w:rsidP="001120CC">
      <w:pPr>
        <w:pStyle w:val="aff8"/>
        <w:widowControl w:val="0"/>
        <w:numPr>
          <w:ilvl w:val="0"/>
          <w:numId w:val="17"/>
        </w:numPr>
        <w:autoSpaceDE w:val="0"/>
        <w:spacing w:after="0" w:line="360" w:lineRule="auto"/>
        <w:ind w:left="0" w:firstLine="709"/>
        <w:jc w:val="both"/>
        <w:rPr>
          <w:rFonts w:ascii="Times New Roman" w:eastAsia="Times New Roman" w:hAnsi="Times New Roman"/>
          <w:iCs/>
          <w:sz w:val="28"/>
          <w:szCs w:val="28"/>
          <w:lang w:eastAsia="ar-SA"/>
        </w:rPr>
      </w:pPr>
      <w:r w:rsidRPr="003B10E2">
        <w:rPr>
          <w:rFonts w:ascii="Times New Roman" w:eastAsia="Times New Roman" w:hAnsi="Times New Roman"/>
          <w:b/>
          <w:iCs/>
          <w:sz w:val="28"/>
          <w:szCs w:val="28"/>
          <w:lang w:eastAsia="ar-SA"/>
        </w:rPr>
        <w:t>Абель, Э.</w:t>
      </w:r>
      <w:r w:rsidRPr="003B10E2">
        <w:rPr>
          <w:rFonts w:ascii="Times New Roman" w:eastAsia="Times New Roman" w:hAnsi="Times New Roman"/>
          <w:iCs/>
          <w:sz w:val="28"/>
          <w:szCs w:val="28"/>
          <w:lang w:eastAsia="ar-SA"/>
        </w:rPr>
        <w:t xml:space="preserve"> Макроэкономика / Э. Абель, Б. Бернанке; [перевод с английского Н. Габенова, А. Смольского]. – </w:t>
      </w:r>
      <w:r w:rsidRPr="003B10E2">
        <w:rPr>
          <w:rFonts w:ascii="Times New Roman" w:eastAsia="Times New Roman" w:hAnsi="Times New Roman"/>
          <w:sz w:val="28"/>
          <w:szCs w:val="28"/>
          <w:lang w:eastAsia="ar-SA"/>
        </w:rPr>
        <w:t xml:space="preserve">[5-е изд.]. </w:t>
      </w:r>
      <w:r w:rsidRPr="003B10E2">
        <w:rPr>
          <w:rFonts w:ascii="Times New Roman" w:eastAsia="Times New Roman" w:hAnsi="Times New Roman"/>
          <w:iCs/>
          <w:sz w:val="28"/>
          <w:szCs w:val="28"/>
          <w:lang w:eastAsia="ar-SA"/>
        </w:rPr>
        <w:t>– Санкт-Петербург: Питер, 2011. – 768 с.: ил., табл. – ISBN 978-5-459-01020-6. – Текст: непосредственный.</w:t>
      </w:r>
    </w:p>
    <w:p w14:paraId="22F18AD1" w14:textId="77777777" w:rsidR="001120CC" w:rsidRPr="003B10E2" w:rsidRDefault="001120CC" w:rsidP="001120CC">
      <w:pPr>
        <w:pStyle w:val="aff8"/>
        <w:widowControl w:val="0"/>
        <w:numPr>
          <w:ilvl w:val="0"/>
          <w:numId w:val="17"/>
        </w:numPr>
        <w:autoSpaceDE w:val="0"/>
        <w:spacing w:after="0" w:line="360" w:lineRule="auto"/>
        <w:ind w:left="0" w:firstLine="709"/>
        <w:jc w:val="both"/>
        <w:rPr>
          <w:rFonts w:ascii="Times New Roman" w:eastAsia="Times New Roman" w:hAnsi="Times New Roman"/>
          <w:iCs/>
          <w:sz w:val="28"/>
          <w:szCs w:val="28"/>
          <w:lang w:eastAsia="ar-SA"/>
        </w:rPr>
      </w:pPr>
      <w:r w:rsidRPr="003B10E2">
        <w:rPr>
          <w:rFonts w:ascii="Times New Roman" w:eastAsia="Times New Roman" w:hAnsi="Times New Roman"/>
          <w:b/>
          <w:sz w:val="28"/>
          <w:szCs w:val="28"/>
          <w:lang w:eastAsia="ar-SA"/>
        </w:rPr>
        <w:t>Абрамов, А.Е.</w:t>
      </w:r>
      <w:r w:rsidRPr="003B10E2">
        <w:rPr>
          <w:rFonts w:ascii="Times New Roman" w:eastAsia="Times New Roman" w:hAnsi="Times New Roman"/>
          <w:sz w:val="28"/>
          <w:szCs w:val="28"/>
          <w:lang w:eastAsia="ar-SA"/>
        </w:rPr>
        <w:t xml:space="preserve"> Инвестиционные фонды: Доходность и риски, стратегии управления портфелем, объекты инвестирования в России: учебное пособие для студентов, обучающихся по специальностям: «Финансы и кредит», «Бухгалтерский учет, анализ и аудит», «Мировая экономика», «Налоги и налогообложение» / А.Е. Абрамов.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 xml:space="preserve">Москва: Альпина Бизнес Букс, 2005. </w:t>
      </w:r>
      <w:r w:rsidRPr="003B10E2">
        <w:rPr>
          <w:rFonts w:ascii="Times New Roman" w:eastAsia="Times New Roman" w:hAnsi="Times New Roman"/>
          <w:iCs/>
          <w:sz w:val="28"/>
          <w:szCs w:val="28"/>
          <w:lang w:eastAsia="ar-SA"/>
        </w:rPr>
        <w:t>–</w:t>
      </w:r>
      <w:r w:rsidRPr="003B10E2">
        <w:rPr>
          <w:rFonts w:ascii="Times New Roman" w:eastAsia="Times New Roman" w:hAnsi="Times New Roman"/>
          <w:sz w:val="28"/>
          <w:szCs w:val="28"/>
          <w:lang w:eastAsia="ar-SA"/>
        </w:rPr>
        <w:t xml:space="preserve"> 414 с.:</w:t>
      </w:r>
      <w:r w:rsidRPr="003B10E2">
        <w:t xml:space="preserve"> </w:t>
      </w:r>
      <w:r w:rsidRPr="003B10E2">
        <w:rPr>
          <w:rFonts w:ascii="Times New Roman" w:eastAsia="Times New Roman" w:hAnsi="Times New Roman"/>
          <w:sz w:val="28"/>
          <w:szCs w:val="28"/>
          <w:lang w:eastAsia="ar-SA"/>
        </w:rPr>
        <w:t xml:space="preserve">ил., табл.; 24 см.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ISBN 5-9614-0235-5. – Текст: непосредственный.</w:t>
      </w:r>
    </w:p>
    <w:p w14:paraId="276746CC" w14:textId="77777777" w:rsidR="001120CC" w:rsidRPr="003B10E2" w:rsidRDefault="001120CC" w:rsidP="001120CC">
      <w:pPr>
        <w:pStyle w:val="aff8"/>
        <w:widowControl w:val="0"/>
        <w:numPr>
          <w:ilvl w:val="0"/>
          <w:numId w:val="17"/>
        </w:numPr>
        <w:autoSpaceDE w:val="0"/>
        <w:spacing w:after="0" w:line="360" w:lineRule="auto"/>
        <w:ind w:left="0" w:firstLine="709"/>
        <w:jc w:val="both"/>
        <w:rPr>
          <w:rFonts w:ascii="Times New Roman" w:eastAsia="Times New Roman" w:hAnsi="Times New Roman"/>
          <w:iCs/>
          <w:sz w:val="28"/>
          <w:szCs w:val="28"/>
          <w:lang w:eastAsia="ar-SA"/>
        </w:rPr>
      </w:pPr>
      <w:r w:rsidRPr="003B10E2">
        <w:rPr>
          <w:rFonts w:ascii="Times New Roman" w:eastAsia="Times New Roman" w:hAnsi="Times New Roman"/>
          <w:b/>
          <w:iCs/>
          <w:sz w:val="28"/>
          <w:szCs w:val="28"/>
          <w:lang w:eastAsia="ar-SA"/>
        </w:rPr>
        <w:t>Блауг, М.</w:t>
      </w:r>
      <w:r w:rsidRPr="003B10E2">
        <w:rPr>
          <w:rFonts w:ascii="Times New Roman" w:eastAsia="Times New Roman" w:hAnsi="Times New Roman"/>
          <w:iCs/>
          <w:sz w:val="28"/>
          <w:szCs w:val="28"/>
          <w:lang w:eastAsia="ar-SA"/>
        </w:rPr>
        <w:t xml:space="preserve"> 100 великих экономистов после Кейнса / М. Блауг; [перевод с английского З. Замчук, А. Михайловой, А. Фофонова]. – Санкт-Петербург.: Экономическая школа, 2005. – 382 с.: портр.; 24 см. – </w:t>
      </w:r>
      <w:r w:rsidRPr="003B10E2">
        <w:rPr>
          <w:rFonts w:ascii="Times New Roman" w:eastAsia="Times New Roman" w:hAnsi="Times New Roman"/>
          <w:sz w:val="28"/>
          <w:szCs w:val="28"/>
          <w:lang w:eastAsia="ar-SA"/>
        </w:rPr>
        <w:t>Текст: непосредственный.</w:t>
      </w:r>
    </w:p>
    <w:p w14:paraId="4013D5E7" w14:textId="77777777" w:rsidR="001120CC" w:rsidRPr="003B10E2" w:rsidRDefault="001120CC" w:rsidP="001120CC">
      <w:pPr>
        <w:pStyle w:val="aff8"/>
        <w:widowControl w:val="0"/>
        <w:numPr>
          <w:ilvl w:val="0"/>
          <w:numId w:val="17"/>
        </w:numPr>
        <w:autoSpaceDE w:val="0"/>
        <w:spacing w:after="0" w:line="360" w:lineRule="auto"/>
        <w:ind w:left="0" w:firstLine="709"/>
        <w:jc w:val="both"/>
        <w:rPr>
          <w:rFonts w:ascii="Times New Roman" w:eastAsia="Times New Roman" w:hAnsi="Times New Roman"/>
          <w:iCs/>
          <w:sz w:val="28"/>
          <w:szCs w:val="28"/>
          <w:lang w:eastAsia="ar-SA"/>
        </w:rPr>
      </w:pPr>
      <w:r w:rsidRPr="003B10E2">
        <w:rPr>
          <w:rFonts w:ascii="Times New Roman" w:eastAsia="Times New Roman" w:hAnsi="Times New Roman"/>
          <w:b/>
          <w:iCs/>
          <w:sz w:val="28"/>
          <w:szCs w:val="28"/>
          <w:lang w:eastAsia="ar-SA"/>
        </w:rPr>
        <w:t>Блауг, М.</w:t>
      </w:r>
      <w:r w:rsidRPr="003B10E2">
        <w:rPr>
          <w:rFonts w:ascii="Times New Roman" w:eastAsia="Times New Roman" w:hAnsi="Times New Roman"/>
          <w:iCs/>
          <w:sz w:val="28"/>
          <w:szCs w:val="28"/>
          <w:lang w:eastAsia="ar-SA"/>
        </w:rPr>
        <w:t xml:space="preserve"> Методология экономической науки, или Как экономисты объясняют / М. Блауг; [перевод с английского Ю.В. Автономова]. – </w:t>
      </w:r>
      <w:r w:rsidRPr="003B10E2">
        <w:rPr>
          <w:rFonts w:ascii="Times New Roman" w:eastAsia="Times New Roman" w:hAnsi="Times New Roman"/>
          <w:sz w:val="28"/>
          <w:szCs w:val="28"/>
          <w:lang w:eastAsia="ar-SA"/>
        </w:rPr>
        <w:t xml:space="preserve">[2-е изд.]. </w:t>
      </w:r>
      <w:r w:rsidRPr="003B10E2">
        <w:rPr>
          <w:rFonts w:ascii="Times New Roman" w:eastAsia="Times New Roman" w:hAnsi="Times New Roman"/>
          <w:iCs/>
          <w:sz w:val="28"/>
          <w:szCs w:val="28"/>
          <w:lang w:eastAsia="ar-SA"/>
        </w:rPr>
        <w:t xml:space="preserve">– Москва: Журнал «Вопросы экономики», 2004. – 415 с.; 23 см. – ISBN 5-901389-04-2: 2000. – </w:t>
      </w:r>
      <w:r w:rsidRPr="003B10E2">
        <w:rPr>
          <w:rFonts w:ascii="Times New Roman" w:eastAsia="Times New Roman" w:hAnsi="Times New Roman"/>
          <w:sz w:val="28"/>
          <w:szCs w:val="28"/>
          <w:lang w:eastAsia="ar-SA"/>
        </w:rPr>
        <w:t>Текст: непосредственный.</w:t>
      </w:r>
    </w:p>
    <w:p w14:paraId="5401D7EF" w14:textId="77777777" w:rsidR="001120CC" w:rsidRPr="003B10E2" w:rsidRDefault="001120CC" w:rsidP="001120CC">
      <w:pPr>
        <w:pStyle w:val="aff8"/>
        <w:widowControl w:val="0"/>
        <w:numPr>
          <w:ilvl w:val="0"/>
          <w:numId w:val="17"/>
        </w:numPr>
        <w:autoSpaceDE w:val="0"/>
        <w:spacing w:after="0" w:line="360" w:lineRule="auto"/>
        <w:ind w:left="0" w:firstLine="709"/>
        <w:jc w:val="both"/>
        <w:rPr>
          <w:rFonts w:ascii="Times New Roman" w:eastAsia="Times New Roman" w:hAnsi="Times New Roman"/>
          <w:iCs/>
          <w:sz w:val="28"/>
          <w:szCs w:val="28"/>
          <w:lang w:eastAsia="ar-SA"/>
        </w:rPr>
      </w:pPr>
      <w:r w:rsidRPr="003B10E2">
        <w:rPr>
          <w:rFonts w:ascii="Times New Roman" w:eastAsia="Times New Roman" w:hAnsi="Times New Roman"/>
          <w:b/>
          <w:sz w:val="28"/>
          <w:szCs w:val="28"/>
          <w:lang w:eastAsia="ar-SA"/>
        </w:rPr>
        <w:t>Брейли, Р.</w:t>
      </w:r>
      <w:r w:rsidRPr="003B10E2">
        <w:rPr>
          <w:rFonts w:ascii="Times New Roman" w:eastAsia="Times New Roman" w:hAnsi="Times New Roman"/>
          <w:sz w:val="28"/>
          <w:szCs w:val="28"/>
          <w:lang w:eastAsia="ar-SA"/>
        </w:rPr>
        <w:t xml:space="preserve"> Принципы корпоративных финансов / Р. Брейли, С. Майерс; [перевод с английского Н.Н. Барышниковой].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[2-е изд.].</w:t>
      </w:r>
      <w:r w:rsidRPr="003B10E2">
        <w:rPr>
          <w:rFonts w:ascii="Times New Roman" w:eastAsia="Times New Roman" w:hAnsi="Times New Roman"/>
          <w:iCs/>
          <w:sz w:val="28"/>
          <w:szCs w:val="28"/>
          <w:lang w:eastAsia="ar-SA"/>
        </w:rPr>
        <w:t xml:space="preserve"> – </w:t>
      </w:r>
      <w:r w:rsidRPr="003B10E2">
        <w:rPr>
          <w:rFonts w:ascii="Times New Roman" w:eastAsia="Times New Roman" w:hAnsi="Times New Roman"/>
          <w:sz w:val="28"/>
          <w:szCs w:val="28"/>
          <w:lang w:eastAsia="ar-SA"/>
        </w:rPr>
        <w:t xml:space="preserve">Москва: Олимп-Бизнес, 2004.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 xml:space="preserve">977 с.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 xml:space="preserve">ISBN 5-901028-67-8.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Текст: непосредственный.</w:t>
      </w:r>
    </w:p>
    <w:p w14:paraId="65C5BD92" w14:textId="77777777" w:rsidR="001120CC" w:rsidRPr="003B10E2" w:rsidRDefault="001120CC" w:rsidP="001120CC">
      <w:pPr>
        <w:pStyle w:val="aff8"/>
        <w:widowControl w:val="0"/>
        <w:numPr>
          <w:ilvl w:val="0"/>
          <w:numId w:val="17"/>
        </w:numPr>
        <w:autoSpaceDE w:val="0"/>
        <w:spacing w:after="0" w:line="360" w:lineRule="auto"/>
        <w:ind w:left="0" w:firstLine="709"/>
        <w:jc w:val="both"/>
        <w:rPr>
          <w:rFonts w:ascii="Times New Roman" w:eastAsia="Times New Roman" w:hAnsi="Times New Roman"/>
          <w:iCs/>
          <w:sz w:val="28"/>
          <w:szCs w:val="28"/>
          <w:lang w:eastAsia="ar-SA"/>
        </w:rPr>
      </w:pPr>
      <w:r w:rsidRPr="003B10E2">
        <w:rPr>
          <w:rFonts w:ascii="Times New Roman" w:eastAsia="Times New Roman" w:hAnsi="Times New Roman"/>
          <w:b/>
          <w:sz w:val="28"/>
          <w:szCs w:val="28"/>
          <w:lang w:eastAsia="ar-SA"/>
        </w:rPr>
        <w:t>Говтвань, О.Д.</w:t>
      </w:r>
      <w:r w:rsidRPr="003B10E2">
        <w:rPr>
          <w:rFonts w:ascii="Times New Roman" w:eastAsia="Times New Roman" w:hAnsi="Times New Roman"/>
          <w:sz w:val="28"/>
          <w:szCs w:val="28"/>
          <w:lang w:eastAsia="ar-SA"/>
        </w:rPr>
        <w:t xml:space="preserve"> Методология и опыт прогнозирования российской денежно-банковской системы: монография / О.Д. Говтвань; Учреждение Российской академии наук. Институт народохозяйственного прогнозирования РАН.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 xml:space="preserve">Москва: МАКС Пресс, 2009. </w:t>
      </w:r>
      <w:r w:rsidRPr="003B10E2">
        <w:rPr>
          <w:rFonts w:ascii="Times New Roman" w:eastAsia="Times New Roman" w:hAnsi="Times New Roman"/>
          <w:iCs/>
          <w:sz w:val="28"/>
          <w:szCs w:val="28"/>
          <w:lang w:eastAsia="ar-SA"/>
        </w:rPr>
        <w:t>–</w:t>
      </w:r>
      <w:r w:rsidRPr="003B10E2">
        <w:rPr>
          <w:rFonts w:ascii="Times New Roman" w:eastAsia="Times New Roman" w:hAnsi="Times New Roman"/>
          <w:sz w:val="28"/>
          <w:szCs w:val="28"/>
          <w:lang w:eastAsia="ar-SA"/>
        </w:rPr>
        <w:t xml:space="preserve"> 359 с.: ил., табл.; 22 см.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 xml:space="preserve">ISBN 978-5-317-02943-2.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Текст: непосредственный.</w:t>
      </w:r>
    </w:p>
    <w:p w14:paraId="6E066A65" w14:textId="77777777" w:rsidR="001120CC" w:rsidRPr="003B10E2" w:rsidRDefault="001120CC" w:rsidP="001120CC">
      <w:pPr>
        <w:pStyle w:val="aff8"/>
        <w:widowControl w:val="0"/>
        <w:numPr>
          <w:ilvl w:val="0"/>
          <w:numId w:val="17"/>
        </w:numPr>
        <w:autoSpaceDE w:val="0"/>
        <w:spacing w:after="0" w:line="360" w:lineRule="auto"/>
        <w:ind w:left="0" w:firstLine="709"/>
        <w:jc w:val="both"/>
        <w:rPr>
          <w:rFonts w:ascii="Times New Roman" w:eastAsia="Times New Roman" w:hAnsi="Times New Roman"/>
          <w:iCs/>
          <w:sz w:val="28"/>
          <w:szCs w:val="28"/>
          <w:lang w:eastAsia="ar-SA"/>
        </w:rPr>
      </w:pPr>
      <w:r w:rsidRPr="003B10E2">
        <w:rPr>
          <w:rFonts w:ascii="Times New Roman" w:eastAsia="Times New Roman" w:hAnsi="Times New Roman"/>
          <w:b/>
          <w:sz w:val="28"/>
          <w:szCs w:val="28"/>
          <w:lang w:eastAsia="ar-SA"/>
        </w:rPr>
        <w:t>Гринспен, А.</w:t>
      </w:r>
      <w:r w:rsidRPr="003B10E2">
        <w:rPr>
          <w:rFonts w:ascii="Times New Roman" w:eastAsia="Times New Roman" w:hAnsi="Times New Roman"/>
          <w:sz w:val="28"/>
          <w:szCs w:val="28"/>
          <w:lang w:eastAsia="ar-SA"/>
        </w:rPr>
        <w:t xml:space="preserve"> Эпоха потрясений: проблемы и перспективы мировой финансовой системы / А. Гринспен; [перевод с английского Т. Гутман, В. Ионова, С. Сурина]. </w:t>
      </w:r>
      <w:r w:rsidRPr="003B10E2">
        <w:rPr>
          <w:rFonts w:ascii="Times New Roman" w:eastAsia="Times New Roman" w:hAnsi="Times New Roman"/>
          <w:iCs/>
          <w:sz w:val="28"/>
          <w:szCs w:val="28"/>
          <w:lang w:eastAsia="ar-SA"/>
        </w:rPr>
        <w:t>–</w:t>
      </w:r>
      <w:r w:rsidRPr="003B10E2">
        <w:rPr>
          <w:rFonts w:ascii="Times New Roman" w:eastAsia="Times New Roman" w:hAnsi="Times New Roman"/>
          <w:sz w:val="28"/>
          <w:szCs w:val="28"/>
          <w:lang w:eastAsia="ar-SA"/>
        </w:rPr>
        <w:t xml:space="preserve"> [3-е изд.].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 xml:space="preserve">Москва: Юнайтед Пресс, 2010. </w:t>
      </w:r>
      <w:r w:rsidRPr="003B10E2">
        <w:rPr>
          <w:rFonts w:ascii="Times New Roman" w:eastAsia="Times New Roman" w:hAnsi="Times New Roman"/>
          <w:iCs/>
          <w:sz w:val="28"/>
          <w:szCs w:val="28"/>
          <w:lang w:eastAsia="ar-SA"/>
        </w:rPr>
        <w:t>–</w:t>
      </w:r>
      <w:r w:rsidRPr="003B10E2">
        <w:rPr>
          <w:rFonts w:ascii="Times New Roman" w:eastAsia="Times New Roman" w:hAnsi="Times New Roman"/>
          <w:sz w:val="28"/>
          <w:szCs w:val="28"/>
          <w:lang w:eastAsia="ar-SA"/>
        </w:rPr>
        <w:t xml:space="preserve"> 517, [1] с.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 xml:space="preserve">ISBN 978-5-904522-31-5.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Текст: непосредственный.</w:t>
      </w:r>
    </w:p>
    <w:p w14:paraId="072C952A" w14:textId="77777777" w:rsidR="001120CC" w:rsidRPr="003B10E2" w:rsidRDefault="001120CC" w:rsidP="001120CC">
      <w:pPr>
        <w:pStyle w:val="aff8"/>
        <w:widowControl w:val="0"/>
        <w:numPr>
          <w:ilvl w:val="0"/>
          <w:numId w:val="17"/>
        </w:numPr>
        <w:autoSpaceDE w:val="0"/>
        <w:spacing w:after="0" w:line="360" w:lineRule="auto"/>
        <w:ind w:left="0" w:firstLine="709"/>
        <w:jc w:val="both"/>
        <w:rPr>
          <w:rFonts w:ascii="Times New Roman" w:eastAsia="Times New Roman" w:hAnsi="Times New Roman"/>
          <w:iCs/>
          <w:sz w:val="28"/>
          <w:szCs w:val="28"/>
          <w:lang w:eastAsia="ar-SA"/>
        </w:rPr>
      </w:pPr>
      <w:r w:rsidRPr="003B10E2">
        <w:rPr>
          <w:rFonts w:ascii="Times New Roman" w:eastAsia="Times New Roman" w:hAnsi="Times New Roman"/>
          <w:b/>
          <w:sz w:val="28"/>
          <w:szCs w:val="28"/>
          <w:lang w:eastAsia="ar-SA"/>
        </w:rPr>
        <w:t>Дробышевский, С.М.</w:t>
      </w:r>
      <w:r w:rsidRPr="003B10E2">
        <w:rPr>
          <w:rFonts w:ascii="Times New Roman" w:eastAsia="Times New Roman" w:hAnsi="Times New Roman"/>
          <w:sz w:val="28"/>
          <w:szCs w:val="28"/>
          <w:lang w:eastAsia="ar-SA"/>
        </w:rPr>
        <w:t xml:space="preserve"> Количественные измерения денежно-кредитной политики Банка России / С.М. Дробышевский; Ин-т экономической политики им. Е.Т. Гайдара. – Москва: Дело, 2011. – 391 с.: ил., табл.; 22 см.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 xml:space="preserve">ISBN 978-5-7749-0656-7.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Текст: непосредственный.</w:t>
      </w:r>
    </w:p>
    <w:p w14:paraId="54631218" w14:textId="77777777" w:rsidR="001120CC" w:rsidRPr="003B10E2" w:rsidRDefault="001120CC" w:rsidP="001120CC">
      <w:pPr>
        <w:pStyle w:val="aff8"/>
        <w:widowControl w:val="0"/>
        <w:numPr>
          <w:ilvl w:val="0"/>
          <w:numId w:val="17"/>
        </w:numPr>
        <w:autoSpaceDE w:val="0"/>
        <w:spacing w:after="0" w:line="360" w:lineRule="auto"/>
        <w:ind w:left="0" w:firstLine="709"/>
        <w:jc w:val="both"/>
        <w:rPr>
          <w:rFonts w:ascii="Times New Roman" w:eastAsia="Times New Roman" w:hAnsi="Times New Roman"/>
          <w:iCs/>
          <w:sz w:val="28"/>
          <w:szCs w:val="28"/>
          <w:lang w:eastAsia="ar-SA"/>
        </w:rPr>
      </w:pPr>
      <w:r w:rsidRPr="003B10E2">
        <w:rPr>
          <w:rFonts w:ascii="Times New Roman" w:eastAsia="Times New Roman" w:hAnsi="Times New Roman"/>
          <w:b/>
          <w:sz w:val="28"/>
          <w:szCs w:val="28"/>
          <w:lang w:eastAsia="ar-SA"/>
        </w:rPr>
        <w:t>Ершов, М.В.</w:t>
      </w:r>
      <w:r w:rsidRPr="003B10E2">
        <w:rPr>
          <w:rFonts w:ascii="Times New Roman" w:eastAsia="Times New Roman" w:hAnsi="Times New Roman"/>
          <w:sz w:val="28"/>
          <w:szCs w:val="28"/>
          <w:lang w:eastAsia="ar-SA"/>
        </w:rPr>
        <w:t xml:space="preserve"> Мировой финансовый кризис. Что дальше? / М.В. Ершов. – Москва: Экономика, 2011. – 289, [3] с.: ил., портр.; 22 см.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 xml:space="preserve">ISBN 978-5-282-03130-0.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Текст: непосредственный.</w:t>
      </w:r>
    </w:p>
    <w:p w14:paraId="77BA1881" w14:textId="77777777" w:rsidR="001120CC" w:rsidRPr="003B10E2" w:rsidRDefault="001120CC" w:rsidP="001120CC">
      <w:pPr>
        <w:pStyle w:val="aff8"/>
        <w:widowControl w:val="0"/>
        <w:numPr>
          <w:ilvl w:val="0"/>
          <w:numId w:val="17"/>
        </w:numPr>
        <w:autoSpaceDE w:val="0"/>
        <w:spacing w:after="0" w:line="360" w:lineRule="auto"/>
        <w:ind w:left="0" w:firstLine="709"/>
        <w:jc w:val="both"/>
        <w:rPr>
          <w:rFonts w:ascii="Times New Roman" w:eastAsia="Times New Roman" w:hAnsi="Times New Roman"/>
          <w:iCs/>
          <w:sz w:val="28"/>
          <w:szCs w:val="28"/>
          <w:lang w:eastAsia="ar-SA"/>
        </w:rPr>
      </w:pPr>
      <w:r w:rsidRPr="003B10E2">
        <w:rPr>
          <w:rFonts w:ascii="Times New Roman" w:eastAsia="Times New Roman" w:hAnsi="Times New Roman"/>
          <w:b/>
          <w:sz w:val="28"/>
          <w:szCs w:val="28"/>
          <w:lang w:eastAsia="ar-SA"/>
        </w:rPr>
        <w:t>Кейнс, Дж. М.</w:t>
      </w:r>
      <w:r w:rsidRPr="003B10E2">
        <w:rPr>
          <w:rFonts w:ascii="Times New Roman" w:eastAsia="Times New Roman" w:hAnsi="Times New Roman"/>
          <w:sz w:val="28"/>
          <w:szCs w:val="28"/>
          <w:lang w:eastAsia="ar-SA"/>
        </w:rPr>
        <w:t xml:space="preserve"> Общая теория занятости, процента и денег / Дж. М. Кейнс; [перевод с английского Н.Н. Любимова].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 xml:space="preserve">Москва: Гелиос АРВ, 2011. </w:t>
      </w:r>
      <w:r w:rsidRPr="003B10E2">
        <w:rPr>
          <w:rFonts w:ascii="Times New Roman" w:eastAsia="Times New Roman" w:hAnsi="Times New Roman"/>
          <w:iCs/>
          <w:sz w:val="28"/>
          <w:szCs w:val="28"/>
          <w:lang w:eastAsia="ar-SA"/>
        </w:rPr>
        <w:t>–</w:t>
      </w:r>
      <w:r w:rsidRPr="003B10E2">
        <w:rPr>
          <w:rFonts w:ascii="Times New Roman" w:eastAsia="Times New Roman" w:hAnsi="Times New Roman"/>
          <w:sz w:val="28"/>
          <w:szCs w:val="28"/>
          <w:lang w:eastAsia="ar-SA"/>
        </w:rPr>
        <w:t xml:space="preserve"> 350 с.: ил.; 21 см.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 xml:space="preserve">ISBN 978-5-85438-192-1.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Текст: непосредственный.</w:t>
      </w:r>
    </w:p>
    <w:p w14:paraId="394AFB62" w14:textId="77777777" w:rsidR="001120CC" w:rsidRPr="003B10E2" w:rsidRDefault="001120CC" w:rsidP="001120CC">
      <w:pPr>
        <w:pStyle w:val="aff8"/>
        <w:widowControl w:val="0"/>
        <w:numPr>
          <w:ilvl w:val="0"/>
          <w:numId w:val="17"/>
        </w:numPr>
        <w:autoSpaceDE w:val="0"/>
        <w:spacing w:after="0" w:line="360" w:lineRule="auto"/>
        <w:ind w:left="0" w:firstLine="709"/>
        <w:jc w:val="both"/>
        <w:rPr>
          <w:rFonts w:ascii="Times New Roman" w:eastAsia="Times New Roman" w:hAnsi="Times New Roman"/>
          <w:iCs/>
          <w:sz w:val="28"/>
          <w:szCs w:val="28"/>
          <w:lang w:eastAsia="ar-SA"/>
        </w:rPr>
      </w:pPr>
      <w:r w:rsidRPr="003B10E2">
        <w:rPr>
          <w:rFonts w:ascii="Times New Roman" w:eastAsia="Times New Roman" w:hAnsi="Times New Roman"/>
          <w:b/>
          <w:sz w:val="28"/>
          <w:szCs w:val="28"/>
          <w:lang w:eastAsia="ar-SA"/>
        </w:rPr>
        <w:t>Клинов, B.Г.</w:t>
      </w:r>
      <w:r w:rsidRPr="003B10E2">
        <w:rPr>
          <w:rFonts w:ascii="Times New Roman" w:eastAsia="Times New Roman" w:hAnsi="Times New Roman"/>
          <w:sz w:val="28"/>
          <w:szCs w:val="28"/>
          <w:lang w:eastAsia="ar-SA"/>
        </w:rPr>
        <w:t xml:space="preserve"> Прогнозирование длительных тенденций в развитии мирового хозяйства: учебное пособие для студентов высших учебных заведений, обучающихся по специальности «Мировая экономика» / В. Г. Клинов. </w:t>
      </w:r>
      <w:r w:rsidRPr="003B10E2">
        <w:rPr>
          <w:rFonts w:ascii="Times New Roman" w:eastAsia="Times New Roman" w:hAnsi="Times New Roman"/>
          <w:iCs/>
          <w:sz w:val="28"/>
          <w:szCs w:val="28"/>
          <w:lang w:eastAsia="ar-SA"/>
        </w:rPr>
        <w:t>–</w:t>
      </w:r>
      <w:r w:rsidRPr="003B10E2">
        <w:rPr>
          <w:rFonts w:ascii="Times New Roman" w:eastAsia="Times New Roman" w:hAnsi="Times New Roman"/>
          <w:sz w:val="28"/>
          <w:szCs w:val="28"/>
          <w:lang w:eastAsia="ar-SA"/>
        </w:rPr>
        <w:t xml:space="preserve"> Москва: Магистр: ИНФРА-М, 2010. </w:t>
      </w:r>
      <w:r w:rsidRPr="003B10E2">
        <w:rPr>
          <w:rFonts w:ascii="Times New Roman" w:eastAsia="Times New Roman" w:hAnsi="Times New Roman"/>
          <w:iCs/>
          <w:sz w:val="28"/>
          <w:szCs w:val="28"/>
          <w:lang w:eastAsia="ar-SA"/>
        </w:rPr>
        <w:t>–</w:t>
      </w:r>
      <w:r w:rsidRPr="003B10E2">
        <w:rPr>
          <w:rFonts w:ascii="Times New Roman" w:eastAsia="Times New Roman" w:hAnsi="Times New Roman"/>
          <w:sz w:val="28"/>
          <w:szCs w:val="28"/>
          <w:lang w:eastAsia="ar-SA"/>
        </w:rPr>
        <w:t xml:space="preserve"> 141, [1] с.: ил., табл.; 21 см.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 xml:space="preserve">ISBN 978-5-9776-0131-3.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Текст: непосредственный.</w:t>
      </w:r>
    </w:p>
    <w:p w14:paraId="0C9AB572" w14:textId="77777777" w:rsidR="001120CC" w:rsidRPr="003B10E2" w:rsidRDefault="001120CC" w:rsidP="001120CC">
      <w:pPr>
        <w:pStyle w:val="aff8"/>
        <w:widowControl w:val="0"/>
        <w:numPr>
          <w:ilvl w:val="0"/>
          <w:numId w:val="17"/>
        </w:numPr>
        <w:autoSpaceDE w:val="0"/>
        <w:spacing w:after="0" w:line="360" w:lineRule="auto"/>
        <w:ind w:left="0" w:firstLine="709"/>
        <w:jc w:val="both"/>
        <w:rPr>
          <w:rFonts w:ascii="Times New Roman" w:eastAsia="Times New Roman" w:hAnsi="Times New Roman"/>
          <w:iCs/>
          <w:sz w:val="28"/>
          <w:szCs w:val="28"/>
          <w:lang w:eastAsia="ar-SA"/>
        </w:rPr>
      </w:pPr>
      <w:r w:rsidRPr="003B10E2">
        <w:rPr>
          <w:rFonts w:ascii="Times New Roman" w:eastAsia="Times New Roman" w:hAnsi="Times New Roman"/>
          <w:b/>
          <w:sz w:val="28"/>
          <w:szCs w:val="28"/>
          <w:lang w:eastAsia="ar-SA"/>
        </w:rPr>
        <w:t>Кругман, П.</w:t>
      </w:r>
      <w:r w:rsidRPr="003B10E2">
        <w:rPr>
          <w:rFonts w:ascii="Times New Roman" w:eastAsia="Times New Roman" w:hAnsi="Times New Roman"/>
          <w:sz w:val="28"/>
          <w:szCs w:val="28"/>
          <w:lang w:eastAsia="ar-SA"/>
        </w:rPr>
        <w:t xml:space="preserve"> Возвращение Великой депрессии? / П. Кругман; [перевод с английского В.Н. Егорова].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 xml:space="preserve">Москва: Эксмо, 2009.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 xml:space="preserve">334, [1] с.; 21 см. </w:t>
      </w:r>
      <w:r w:rsidRPr="003B10E2">
        <w:rPr>
          <w:rFonts w:ascii="Times New Roman" w:eastAsia="Times New Roman" w:hAnsi="Times New Roman"/>
          <w:iCs/>
          <w:sz w:val="28"/>
          <w:szCs w:val="28"/>
          <w:lang w:eastAsia="ar-SA"/>
        </w:rPr>
        <w:t>–</w:t>
      </w:r>
      <w:r w:rsidRPr="003B10E2">
        <w:rPr>
          <w:rFonts w:ascii="Times New Roman" w:eastAsia="Times New Roman" w:hAnsi="Times New Roman"/>
          <w:sz w:val="28"/>
          <w:szCs w:val="28"/>
          <w:lang w:eastAsia="ar-SA"/>
        </w:rPr>
        <w:t xml:space="preserve"> ISBN 978-5-699-34222-8.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Текст: непосредственный.</w:t>
      </w:r>
    </w:p>
    <w:p w14:paraId="262F9DE6" w14:textId="77777777" w:rsidR="001120CC" w:rsidRPr="003B10E2" w:rsidRDefault="001120CC" w:rsidP="001120CC">
      <w:pPr>
        <w:pStyle w:val="aff8"/>
        <w:widowControl w:val="0"/>
        <w:numPr>
          <w:ilvl w:val="0"/>
          <w:numId w:val="17"/>
        </w:numPr>
        <w:autoSpaceDE w:val="0"/>
        <w:spacing w:after="0" w:line="360" w:lineRule="auto"/>
        <w:ind w:left="0" w:firstLine="709"/>
        <w:jc w:val="both"/>
        <w:rPr>
          <w:rFonts w:ascii="Times New Roman" w:eastAsia="Times New Roman" w:hAnsi="Times New Roman"/>
          <w:iCs/>
          <w:sz w:val="28"/>
          <w:szCs w:val="28"/>
          <w:lang w:eastAsia="ar-SA"/>
        </w:rPr>
      </w:pPr>
      <w:r w:rsidRPr="003B10E2">
        <w:rPr>
          <w:rFonts w:ascii="Times New Roman" w:eastAsia="Times New Roman" w:hAnsi="Times New Roman"/>
          <w:b/>
          <w:sz w:val="28"/>
          <w:szCs w:val="28"/>
          <w:lang w:eastAsia="ar-SA"/>
        </w:rPr>
        <w:t>Кун, Т.</w:t>
      </w:r>
      <w:r w:rsidRPr="003B10E2">
        <w:rPr>
          <w:rFonts w:ascii="Times New Roman" w:eastAsia="Times New Roman" w:hAnsi="Times New Roman"/>
          <w:sz w:val="28"/>
          <w:szCs w:val="28"/>
          <w:lang w:eastAsia="ar-SA"/>
        </w:rPr>
        <w:t xml:space="preserve"> Структура научных революций / Т. Кун; [перевод с английского И.З. Налетова и др.].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 xml:space="preserve">Москва: ACT, 2003. </w:t>
      </w:r>
      <w:r w:rsidRPr="003B10E2">
        <w:rPr>
          <w:rFonts w:ascii="Times New Roman" w:eastAsia="Times New Roman" w:hAnsi="Times New Roman"/>
          <w:iCs/>
          <w:sz w:val="28"/>
          <w:szCs w:val="28"/>
          <w:lang w:eastAsia="ar-SA"/>
        </w:rPr>
        <w:t>–</w:t>
      </w:r>
      <w:r w:rsidRPr="003B10E2">
        <w:rPr>
          <w:rFonts w:ascii="Times New Roman" w:eastAsia="Times New Roman" w:hAnsi="Times New Roman"/>
          <w:sz w:val="28"/>
          <w:szCs w:val="28"/>
          <w:lang w:eastAsia="ar-SA"/>
        </w:rPr>
        <w:t xml:space="preserve"> 605, [1] с.; 21 см.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 xml:space="preserve">ISBN 5-17-010707-2: 5000.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Текст: непосредственный.</w:t>
      </w:r>
    </w:p>
    <w:p w14:paraId="0BC93EF9" w14:textId="77777777" w:rsidR="001120CC" w:rsidRPr="003B10E2" w:rsidRDefault="001120CC" w:rsidP="001120CC">
      <w:pPr>
        <w:pStyle w:val="aff8"/>
        <w:widowControl w:val="0"/>
        <w:numPr>
          <w:ilvl w:val="0"/>
          <w:numId w:val="17"/>
        </w:numPr>
        <w:autoSpaceDE w:val="0"/>
        <w:spacing w:after="0" w:line="360" w:lineRule="auto"/>
        <w:ind w:left="0" w:firstLine="709"/>
        <w:jc w:val="both"/>
        <w:rPr>
          <w:rFonts w:ascii="Times New Roman" w:eastAsia="Times New Roman" w:hAnsi="Times New Roman"/>
          <w:iCs/>
          <w:sz w:val="28"/>
          <w:szCs w:val="28"/>
          <w:lang w:eastAsia="ar-SA"/>
        </w:rPr>
      </w:pPr>
      <w:r w:rsidRPr="003B10E2">
        <w:rPr>
          <w:rFonts w:ascii="Times New Roman" w:eastAsia="Times New Roman" w:hAnsi="Times New Roman"/>
          <w:b/>
          <w:sz w:val="28"/>
          <w:szCs w:val="28"/>
          <w:lang w:eastAsia="ar-SA"/>
        </w:rPr>
        <w:t>Лакатос, И.</w:t>
      </w:r>
      <w:r w:rsidRPr="003B10E2">
        <w:rPr>
          <w:rFonts w:ascii="Times New Roman" w:eastAsia="Times New Roman" w:hAnsi="Times New Roman"/>
          <w:sz w:val="28"/>
          <w:szCs w:val="28"/>
          <w:lang w:eastAsia="ar-SA"/>
        </w:rPr>
        <w:t xml:space="preserve"> Избранные произведения по философии и методологии науки / И. Лакатос; [перевод с английского И.Н. Веселовского, А.Л. Никифорова, В.Н. Поруса].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 xml:space="preserve">Москва: Академический Проект; Трикста, 2008.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 xml:space="preserve">475 с.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 xml:space="preserve">ISBN 978-5-8291-1049-9.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Текст: непосредственный.</w:t>
      </w:r>
    </w:p>
    <w:p w14:paraId="428195B2" w14:textId="77777777"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sz w:val="28"/>
          <w:szCs w:val="28"/>
          <w:lang w:eastAsia="ar-SA"/>
        </w:rPr>
      </w:pPr>
      <w:r w:rsidRPr="003B10E2">
        <w:rPr>
          <w:rFonts w:ascii="Times New Roman" w:eastAsia="Times New Roman" w:hAnsi="Times New Roman"/>
          <w:b/>
          <w:sz w:val="28"/>
          <w:szCs w:val="28"/>
          <w:lang w:eastAsia="ar-SA"/>
        </w:rPr>
        <w:t>Мински, Х.</w:t>
      </w:r>
      <w:r w:rsidRPr="003B10E2">
        <w:rPr>
          <w:rFonts w:ascii="Times New Roman" w:eastAsia="Times New Roman" w:hAnsi="Times New Roman"/>
          <w:sz w:val="28"/>
          <w:szCs w:val="28"/>
          <w:lang w:eastAsia="ar-SA"/>
        </w:rPr>
        <w:t xml:space="preserve"> Стабилизируя нестабильную экономику / Х. Мински; [перевод с английского Ю. Каптуревского]. – Москва; Санкт-Петербург: Издательство Института Гайдара, Факультет свободных искусств и наук СПбГУ, 2017. – 624 с. – </w:t>
      </w:r>
      <w:r w:rsidRPr="003B10E2">
        <w:rPr>
          <w:rFonts w:ascii="Times New Roman" w:eastAsia="Times New Roman" w:hAnsi="Times New Roman"/>
          <w:sz w:val="28"/>
          <w:szCs w:val="28"/>
          <w:lang w:val="en-US" w:eastAsia="ar-SA"/>
        </w:rPr>
        <w:t>ISBN</w:t>
      </w:r>
      <w:r w:rsidRPr="003B10E2">
        <w:rPr>
          <w:rFonts w:ascii="Times New Roman" w:eastAsia="Times New Roman" w:hAnsi="Times New Roman"/>
          <w:sz w:val="28"/>
          <w:szCs w:val="28"/>
          <w:lang w:eastAsia="ar-SA"/>
        </w:rPr>
        <w:t xml:space="preserve"> 978-5-93255-470-8.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Текст: непосредственный.</w:t>
      </w:r>
    </w:p>
    <w:p w14:paraId="0058B332" w14:textId="77777777" w:rsidR="001120CC" w:rsidRPr="003B10E2" w:rsidRDefault="001120CC" w:rsidP="001120CC">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eastAsia="ar-SA"/>
        </w:rPr>
      </w:pPr>
      <w:r w:rsidRPr="003B10E2">
        <w:rPr>
          <w:rFonts w:ascii="Times New Roman" w:eastAsia="Times New Roman" w:hAnsi="Times New Roman"/>
          <w:b/>
          <w:sz w:val="28"/>
          <w:szCs w:val="28"/>
          <w:lang w:eastAsia="ar-SA"/>
        </w:rPr>
        <w:t>Миркин, Я.М.</w:t>
      </w:r>
      <w:r w:rsidRPr="003B10E2">
        <w:rPr>
          <w:rFonts w:ascii="Times New Roman" w:eastAsia="Times New Roman" w:hAnsi="Times New Roman"/>
          <w:sz w:val="28"/>
          <w:szCs w:val="28"/>
          <w:lang w:eastAsia="ar-SA"/>
        </w:rPr>
        <w:t xml:space="preserve"> Рынок ценных бумаг: учебное пособие / Я.М. Миркин. </w:t>
      </w:r>
      <w:r w:rsidRPr="003B10E2">
        <w:rPr>
          <w:rFonts w:ascii="Times New Roman" w:eastAsia="Times New Roman" w:hAnsi="Times New Roman"/>
          <w:iCs/>
          <w:sz w:val="28"/>
          <w:szCs w:val="28"/>
          <w:lang w:eastAsia="ar-SA"/>
        </w:rPr>
        <w:t>–</w:t>
      </w:r>
      <w:r w:rsidRPr="003B10E2">
        <w:rPr>
          <w:rFonts w:ascii="Times New Roman" w:eastAsia="Times New Roman" w:hAnsi="Times New Roman"/>
          <w:sz w:val="28"/>
          <w:szCs w:val="28"/>
          <w:lang w:eastAsia="ar-SA"/>
        </w:rPr>
        <w:t xml:space="preserve"> Текст: электронный.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 xml:space="preserve">Москва, 2002. – URL: </w:t>
      </w:r>
      <w:hyperlink r:id="rId113" w:history="1">
        <w:r w:rsidRPr="003B10E2">
          <w:rPr>
            <w:rStyle w:val="af"/>
            <w:rFonts w:ascii="Times New Roman" w:eastAsia="Times New Roman" w:hAnsi="Times New Roman"/>
            <w:color w:val="auto"/>
            <w:sz w:val="28"/>
            <w:szCs w:val="28"/>
            <w:u w:val="none"/>
            <w:lang w:eastAsia="ar-SA"/>
          </w:rPr>
          <w:t>http://www.mirkin.ru/_docs/metodika3.pdf</w:t>
        </w:r>
      </w:hyperlink>
      <w:r w:rsidRPr="003B10E2">
        <w:rPr>
          <w:rFonts w:ascii="Times New Roman" w:eastAsia="Times New Roman" w:hAnsi="Times New Roman"/>
          <w:sz w:val="28"/>
          <w:szCs w:val="28"/>
          <w:lang w:eastAsia="ar-SA"/>
        </w:rPr>
        <w:t xml:space="preserve"> (дата обращения: 05.05.2022). </w:t>
      </w:r>
    </w:p>
    <w:p w14:paraId="65DF3D5C" w14:textId="77777777" w:rsidR="001120CC" w:rsidRPr="003B10E2" w:rsidRDefault="001120CC" w:rsidP="001120CC">
      <w:pPr>
        <w:pStyle w:val="aff8"/>
        <w:widowControl w:val="0"/>
        <w:numPr>
          <w:ilvl w:val="0"/>
          <w:numId w:val="17"/>
        </w:numPr>
        <w:autoSpaceDE w:val="0"/>
        <w:spacing w:after="0" w:line="360" w:lineRule="auto"/>
        <w:ind w:left="0" w:firstLine="709"/>
        <w:jc w:val="both"/>
        <w:rPr>
          <w:rFonts w:ascii="Times New Roman" w:eastAsia="Times New Roman" w:hAnsi="Times New Roman"/>
          <w:iCs/>
          <w:sz w:val="28"/>
          <w:szCs w:val="28"/>
          <w:lang w:eastAsia="ar-SA"/>
        </w:rPr>
      </w:pPr>
      <w:r w:rsidRPr="003B10E2">
        <w:rPr>
          <w:rFonts w:ascii="Times New Roman" w:eastAsia="Times New Roman" w:hAnsi="Times New Roman"/>
          <w:b/>
          <w:sz w:val="28"/>
          <w:szCs w:val="28"/>
          <w:lang w:eastAsia="ar-SA"/>
        </w:rPr>
        <w:t>Миркин, Я.М.</w:t>
      </w:r>
      <w:r w:rsidRPr="003B10E2">
        <w:rPr>
          <w:rFonts w:ascii="Times New Roman" w:eastAsia="Times New Roman" w:hAnsi="Times New Roman"/>
          <w:sz w:val="28"/>
          <w:szCs w:val="28"/>
          <w:lang w:eastAsia="ar-SA"/>
        </w:rPr>
        <w:t xml:space="preserve"> Финансовое будущее России: экстремумы, бумы, системные риски / Я.М. Миркин — М.: </w:t>
      </w:r>
      <w:r w:rsidRPr="003B10E2">
        <w:rPr>
          <w:rFonts w:ascii="Times New Roman" w:eastAsia="Times New Roman" w:hAnsi="Times New Roman"/>
          <w:sz w:val="28"/>
          <w:szCs w:val="28"/>
          <w:lang w:val="en-US" w:eastAsia="ar-SA"/>
        </w:rPr>
        <w:t>GELEOS</w:t>
      </w:r>
      <w:r w:rsidRPr="003B10E2">
        <w:rPr>
          <w:rFonts w:ascii="Times New Roman" w:eastAsia="Times New Roman" w:hAnsi="Times New Roman"/>
          <w:sz w:val="28"/>
          <w:szCs w:val="28"/>
          <w:lang w:eastAsia="ar-SA"/>
        </w:rPr>
        <w:t xml:space="preserve"> </w:t>
      </w:r>
      <w:r w:rsidRPr="003B10E2">
        <w:rPr>
          <w:rFonts w:ascii="Times New Roman" w:eastAsia="Times New Roman" w:hAnsi="Times New Roman"/>
          <w:sz w:val="28"/>
          <w:szCs w:val="28"/>
          <w:lang w:val="en-US" w:eastAsia="ar-SA"/>
        </w:rPr>
        <w:t>Publishing</w:t>
      </w:r>
      <w:r w:rsidRPr="003B10E2">
        <w:rPr>
          <w:rFonts w:ascii="Times New Roman" w:eastAsia="Times New Roman" w:hAnsi="Times New Roman"/>
          <w:sz w:val="28"/>
          <w:szCs w:val="28"/>
          <w:lang w:eastAsia="ar-SA"/>
        </w:rPr>
        <w:t xml:space="preserve"> </w:t>
      </w:r>
      <w:r w:rsidRPr="003B10E2">
        <w:rPr>
          <w:rFonts w:ascii="Times New Roman" w:eastAsia="Times New Roman" w:hAnsi="Times New Roman"/>
          <w:sz w:val="28"/>
          <w:szCs w:val="28"/>
          <w:lang w:val="en-US" w:eastAsia="ar-SA"/>
        </w:rPr>
        <w:t>House</w:t>
      </w:r>
      <w:r w:rsidRPr="003B10E2">
        <w:rPr>
          <w:rFonts w:ascii="Times New Roman" w:eastAsia="Times New Roman" w:hAnsi="Times New Roman"/>
          <w:sz w:val="28"/>
          <w:szCs w:val="28"/>
          <w:lang w:eastAsia="ar-SA"/>
        </w:rPr>
        <w:t xml:space="preserve">; Кэпитал Трейд Компани, 2011. </w:t>
      </w:r>
      <w:r w:rsidRPr="003B10E2">
        <w:rPr>
          <w:rFonts w:ascii="Times New Roman" w:eastAsia="Times New Roman" w:hAnsi="Times New Roman"/>
          <w:iCs/>
          <w:sz w:val="28"/>
          <w:szCs w:val="28"/>
          <w:lang w:eastAsia="ar-SA"/>
        </w:rPr>
        <w:t>–</w:t>
      </w:r>
      <w:r w:rsidRPr="003B10E2">
        <w:rPr>
          <w:rFonts w:ascii="Times New Roman" w:eastAsia="Times New Roman" w:hAnsi="Times New Roman"/>
          <w:sz w:val="28"/>
          <w:szCs w:val="28"/>
          <w:lang w:eastAsia="ar-SA"/>
        </w:rPr>
        <w:t xml:space="preserve"> 480 с.: ил. </w:t>
      </w:r>
      <w:r w:rsidRPr="003B10E2">
        <w:rPr>
          <w:rFonts w:ascii="Times New Roman" w:eastAsia="Times New Roman" w:hAnsi="Times New Roman"/>
          <w:iCs/>
          <w:sz w:val="28"/>
          <w:szCs w:val="28"/>
          <w:lang w:eastAsia="ar-SA"/>
        </w:rPr>
        <w:t>–</w:t>
      </w:r>
      <w:r w:rsidRPr="003B10E2">
        <w:rPr>
          <w:rFonts w:ascii="Times New Roman" w:eastAsia="Times New Roman" w:hAnsi="Times New Roman"/>
          <w:sz w:val="28"/>
          <w:szCs w:val="28"/>
          <w:lang w:eastAsia="ar-SA"/>
        </w:rPr>
        <w:t xml:space="preserve"> ISBN 978-5-412-00252-1.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Текст: непосредственный.</w:t>
      </w:r>
    </w:p>
    <w:p w14:paraId="4041D51B" w14:textId="77777777" w:rsidR="001120CC" w:rsidRPr="003B10E2" w:rsidRDefault="001120CC" w:rsidP="001120CC">
      <w:pPr>
        <w:pStyle w:val="aff8"/>
        <w:widowControl w:val="0"/>
        <w:numPr>
          <w:ilvl w:val="0"/>
          <w:numId w:val="17"/>
        </w:numPr>
        <w:autoSpaceDE w:val="0"/>
        <w:spacing w:after="0" w:line="360" w:lineRule="auto"/>
        <w:ind w:left="0" w:firstLine="709"/>
        <w:jc w:val="both"/>
        <w:rPr>
          <w:rFonts w:ascii="Times New Roman" w:eastAsia="Times New Roman" w:hAnsi="Times New Roman"/>
          <w:iCs/>
          <w:sz w:val="28"/>
          <w:szCs w:val="28"/>
          <w:lang w:eastAsia="ar-SA"/>
        </w:rPr>
      </w:pPr>
      <w:r w:rsidRPr="003B10E2">
        <w:rPr>
          <w:rFonts w:ascii="Times New Roman" w:eastAsia="Times New Roman" w:hAnsi="Times New Roman"/>
          <w:b/>
          <w:sz w:val="28"/>
          <w:szCs w:val="28"/>
          <w:lang w:eastAsia="ar-SA"/>
        </w:rPr>
        <w:t>Михайлов, А.Ю.</w:t>
      </w:r>
      <w:r w:rsidRPr="003B10E2">
        <w:rPr>
          <w:rFonts w:ascii="Times New Roman" w:eastAsia="Times New Roman" w:hAnsi="Times New Roman"/>
          <w:sz w:val="28"/>
          <w:szCs w:val="28"/>
          <w:lang w:eastAsia="ar-SA"/>
        </w:rPr>
        <w:t xml:space="preserve"> Аллокация активов институциональных инвесторов: монография / А.Ю. Михайлов, М.В. Данилина; Федеральное государственное образовательное бюджетное учреждение высшего профессионального образования «Финансовый университет при Правительстве Российской Федерации». – Москва: Сам полиграфист, 2015. – 417 с.: ил., табл.; 20 см. – 1000 экз. – ISBN 978-5-00077-278-2. – Текст: непосредственный. </w:t>
      </w:r>
    </w:p>
    <w:p w14:paraId="38993723" w14:textId="77777777" w:rsidR="001120CC" w:rsidRPr="003B10E2" w:rsidRDefault="001120CC" w:rsidP="001120CC">
      <w:pPr>
        <w:pStyle w:val="aff8"/>
        <w:widowControl w:val="0"/>
        <w:numPr>
          <w:ilvl w:val="0"/>
          <w:numId w:val="17"/>
        </w:numPr>
        <w:autoSpaceDE w:val="0"/>
        <w:spacing w:after="0" w:line="360" w:lineRule="auto"/>
        <w:ind w:left="0" w:firstLine="709"/>
        <w:jc w:val="both"/>
        <w:rPr>
          <w:rFonts w:ascii="Times New Roman" w:eastAsia="Times New Roman" w:hAnsi="Times New Roman"/>
          <w:iCs/>
          <w:sz w:val="28"/>
          <w:szCs w:val="28"/>
          <w:lang w:eastAsia="ar-SA"/>
        </w:rPr>
      </w:pPr>
      <w:r w:rsidRPr="003B10E2">
        <w:rPr>
          <w:rFonts w:ascii="Times New Roman" w:eastAsia="Times New Roman" w:hAnsi="Times New Roman"/>
          <w:b/>
          <w:sz w:val="28"/>
          <w:szCs w:val="28"/>
          <w:lang w:eastAsia="ar-SA"/>
        </w:rPr>
        <w:t>Михайлов, А.Ю.</w:t>
      </w:r>
      <w:r w:rsidRPr="003B10E2">
        <w:rPr>
          <w:rFonts w:ascii="Times New Roman" w:eastAsia="Times New Roman" w:hAnsi="Times New Roman"/>
          <w:sz w:val="28"/>
          <w:szCs w:val="28"/>
          <w:lang w:eastAsia="ar-SA"/>
        </w:rPr>
        <w:t xml:space="preserve"> Особенности размещения активов институциональных инвесторов: монография: в 2 частях. Часть 1. / А.Ю. Михайлов, М.В. Данилина. – Москва: Русайнс, 2015. – 284 с.: ил., табл.; 21 см. – 1000 экз. – ISBN 978-5-4365-0505-3. – Текст: непосредственный. </w:t>
      </w:r>
    </w:p>
    <w:p w14:paraId="68E51ABF" w14:textId="77777777" w:rsidR="001120CC" w:rsidRPr="003B10E2" w:rsidRDefault="001120CC" w:rsidP="001120CC">
      <w:pPr>
        <w:pStyle w:val="aff8"/>
        <w:widowControl w:val="0"/>
        <w:numPr>
          <w:ilvl w:val="0"/>
          <w:numId w:val="17"/>
        </w:numPr>
        <w:autoSpaceDE w:val="0"/>
        <w:spacing w:after="0" w:line="360" w:lineRule="auto"/>
        <w:ind w:left="0" w:firstLine="709"/>
        <w:jc w:val="both"/>
        <w:rPr>
          <w:rFonts w:ascii="Times New Roman" w:eastAsia="Times New Roman" w:hAnsi="Times New Roman"/>
          <w:iCs/>
          <w:sz w:val="28"/>
          <w:szCs w:val="28"/>
          <w:lang w:eastAsia="ar-SA"/>
        </w:rPr>
      </w:pPr>
      <w:r w:rsidRPr="003B10E2">
        <w:rPr>
          <w:rFonts w:ascii="Times New Roman" w:eastAsia="Times New Roman" w:hAnsi="Times New Roman"/>
          <w:b/>
          <w:sz w:val="28"/>
          <w:szCs w:val="28"/>
          <w:lang w:eastAsia="ar-SA"/>
        </w:rPr>
        <w:t>Михайлов, А.Ю.</w:t>
      </w:r>
      <w:r w:rsidRPr="003B10E2">
        <w:rPr>
          <w:rFonts w:ascii="Times New Roman" w:eastAsia="Times New Roman" w:hAnsi="Times New Roman"/>
          <w:sz w:val="28"/>
          <w:szCs w:val="28"/>
          <w:lang w:eastAsia="ar-SA"/>
        </w:rPr>
        <w:t xml:space="preserve"> Особенности размещения активов институциональных инвесторов: монография: в 2 частях. Часть 2. / А.Ю. Михайлов, М.В. Данилина. – Москва: Русайнс, 2015. – 340 с. – 1000 экз. – ISBN 978-5-4365-0532-9. – Текст: непосредственный. </w:t>
      </w:r>
    </w:p>
    <w:p w14:paraId="383FF3D8" w14:textId="77777777" w:rsidR="001120CC" w:rsidRPr="003B10E2" w:rsidRDefault="001120CC" w:rsidP="001120CC">
      <w:pPr>
        <w:pStyle w:val="aff8"/>
        <w:widowControl w:val="0"/>
        <w:numPr>
          <w:ilvl w:val="0"/>
          <w:numId w:val="17"/>
        </w:numPr>
        <w:autoSpaceDE w:val="0"/>
        <w:spacing w:after="0" w:line="360" w:lineRule="auto"/>
        <w:ind w:left="0" w:firstLine="709"/>
        <w:jc w:val="both"/>
        <w:rPr>
          <w:rFonts w:ascii="Times New Roman" w:eastAsia="Times New Roman" w:hAnsi="Times New Roman"/>
          <w:iCs/>
          <w:sz w:val="28"/>
          <w:szCs w:val="28"/>
          <w:lang w:eastAsia="ar-SA"/>
        </w:rPr>
      </w:pPr>
      <w:r w:rsidRPr="003B10E2">
        <w:rPr>
          <w:rFonts w:ascii="Times New Roman" w:eastAsia="Times New Roman" w:hAnsi="Times New Roman"/>
          <w:b/>
          <w:sz w:val="28"/>
          <w:szCs w:val="28"/>
          <w:lang w:eastAsia="ar-SA"/>
        </w:rPr>
        <w:t>Мишкин, Ф.</w:t>
      </w:r>
      <w:r w:rsidRPr="003B10E2">
        <w:rPr>
          <w:rFonts w:ascii="Times New Roman" w:eastAsia="Times New Roman" w:hAnsi="Times New Roman"/>
          <w:sz w:val="28"/>
          <w:szCs w:val="28"/>
          <w:lang w:eastAsia="ar-SA"/>
        </w:rPr>
        <w:t xml:space="preserve"> Экономическая теория денег, банковского дела и финансовых рынков: учебное пособие для студентов вузов / Ф. Мишкин; [перевод с английского Д.В. Виноградова]. – Москва: Аспект Пресс, 1999. – 819, [1] с.: ил.; 23 см. – ISBN 5-7567-0235-0. – Текст: непосредственный.</w:t>
      </w:r>
    </w:p>
    <w:p w14:paraId="087A72E0" w14:textId="77777777" w:rsidR="001120CC" w:rsidRPr="003B10E2" w:rsidRDefault="001120CC" w:rsidP="001120CC">
      <w:pPr>
        <w:pStyle w:val="aff8"/>
        <w:widowControl w:val="0"/>
        <w:numPr>
          <w:ilvl w:val="0"/>
          <w:numId w:val="17"/>
        </w:numPr>
        <w:autoSpaceDE w:val="0"/>
        <w:spacing w:after="0" w:line="360" w:lineRule="auto"/>
        <w:ind w:left="0" w:firstLine="709"/>
        <w:jc w:val="both"/>
        <w:rPr>
          <w:rFonts w:ascii="Times New Roman" w:eastAsia="Times New Roman" w:hAnsi="Times New Roman"/>
          <w:iCs/>
          <w:sz w:val="28"/>
          <w:szCs w:val="28"/>
          <w:lang w:eastAsia="ar-SA"/>
        </w:rPr>
      </w:pPr>
      <w:r w:rsidRPr="003B10E2">
        <w:rPr>
          <w:rFonts w:ascii="Times New Roman" w:eastAsia="Times New Roman" w:hAnsi="Times New Roman"/>
          <w:b/>
          <w:sz w:val="28"/>
          <w:szCs w:val="28"/>
          <w:lang w:eastAsia="ar-SA"/>
        </w:rPr>
        <w:t>Рубцов, Б.Б.</w:t>
      </w:r>
      <w:r w:rsidRPr="003B10E2">
        <w:rPr>
          <w:rFonts w:ascii="Times New Roman" w:eastAsia="Times New Roman" w:hAnsi="Times New Roman"/>
          <w:sz w:val="28"/>
          <w:szCs w:val="28"/>
          <w:lang w:eastAsia="ar-SA"/>
        </w:rPr>
        <w:t xml:space="preserve"> Мировые рынки ценных бумаг / Б.Б. Рубцов.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 xml:space="preserve">Москва: Экзамен, 2002. </w:t>
      </w:r>
      <w:r w:rsidRPr="003B10E2">
        <w:rPr>
          <w:rFonts w:ascii="Times New Roman" w:eastAsia="Times New Roman" w:hAnsi="Times New Roman"/>
          <w:iCs/>
          <w:sz w:val="28"/>
          <w:szCs w:val="28"/>
          <w:lang w:eastAsia="ar-SA"/>
        </w:rPr>
        <w:t>–</w:t>
      </w:r>
      <w:r w:rsidRPr="003B10E2">
        <w:rPr>
          <w:rFonts w:ascii="Times New Roman" w:eastAsia="Times New Roman" w:hAnsi="Times New Roman"/>
          <w:sz w:val="28"/>
          <w:szCs w:val="28"/>
          <w:lang w:eastAsia="ar-SA"/>
        </w:rPr>
        <w:t xml:space="preserve"> 447 с.: ил., табл.; 21 см. – ISBN 5-94692-070-7. – Текст: непосредственный.</w:t>
      </w:r>
    </w:p>
    <w:p w14:paraId="5C95A0D6" w14:textId="77777777" w:rsidR="001120CC" w:rsidRPr="003B10E2" w:rsidRDefault="001120CC" w:rsidP="001120CC">
      <w:pPr>
        <w:pStyle w:val="aff8"/>
        <w:widowControl w:val="0"/>
        <w:numPr>
          <w:ilvl w:val="0"/>
          <w:numId w:val="17"/>
        </w:numPr>
        <w:autoSpaceDE w:val="0"/>
        <w:spacing w:after="0" w:line="360" w:lineRule="auto"/>
        <w:ind w:left="0" w:firstLine="709"/>
        <w:jc w:val="both"/>
        <w:rPr>
          <w:rFonts w:ascii="Times New Roman" w:eastAsia="Times New Roman" w:hAnsi="Times New Roman"/>
          <w:iCs/>
          <w:sz w:val="28"/>
          <w:szCs w:val="28"/>
          <w:lang w:eastAsia="ar-SA"/>
        </w:rPr>
      </w:pPr>
      <w:r w:rsidRPr="003B10E2">
        <w:rPr>
          <w:rFonts w:ascii="Times New Roman" w:eastAsia="Times New Roman" w:hAnsi="Times New Roman"/>
          <w:b/>
          <w:iCs/>
          <w:color w:val="000000"/>
          <w:sz w:val="28"/>
          <w:szCs w:val="28"/>
          <w:lang w:eastAsia="ar-SA"/>
        </w:rPr>
        <w:t>Сухарев, О.С.</w:t>
      </w:r>
      <w:r w:rsidRPr="003B10E2">
        <w:rPr>
          <w:rFonts w:ascii="Times New Roman" w:eastAsia="Times New Roman" w:hAnsi="Times New Roman"/>
          <w:iCs/>
          <w:color w:val="000000"/>
          <w:sz w:val="28"/>
          <w:szCs w:val="28"/>
          <w:lang w:eastAsia="ar-SA"/>
        </w:rPr>
        <w:t xml:space="preserve"> Теория эффективности экономики [Текст]: монография / О.С. Сухарев. </w:t>
      </w:r>
      <w:r w:rsidRPr="003B10E2">
        <w:rPr>
          <w:rFonts w:ascii="Times New Roman" w:eastAsia="Times New Roman" w:hAnsi="Times New Roman"/>
          <w:sz w:val="28"/>
          <w:szCs w:val="28"/>
          <w:lang w:eastAsia="ar-SA"/>
        </w:rPr>
        <w:t>–</w:t>
      </w:r>
      <w:r w:rsidRPr="003B10E2">
        <w:rPr>
          <w:rFonts w:ascii="Times New Roman" w:eastAsia="Times New Roman" w:hAnsi="Times New Roman"/>
          <w:iCs/>
          <w:color w:val="000000"/>
          <w:sz w:val="28"/>
          <w:szCs w:val="28"/>
          <w:lang w:eastAsia="ar-SA"/>
        </w:rPr>
        <w:t xml:space="preserve"> Москва: Курс; ИНФРА-М, 2014. </w:t>
      </w:r>
      <w:r w:rsidRPr="003B10E2">
        <w:rPr>
          <w:rFonts w:ascii="Times New Roman" w:eastAsia="Times New Roman" w:hAnsi="Times New Roman"/>
          <w:sz w:val="28"/>
          <w:szCs w:val="28"/>
          <w:lang w:eastAsia="ar-SA"/>
        </w:rPr>
        <w:t>–</w:t>
      </w:r>
      <w:r w:rsidRPr="003B10E2">
        <w:rPr>
          <w:rFonts w:ascii="Times New Roman" w:eastAsia="Times New Roman" w:hAnsi="Times New Roman"/>
          <w:iCs/>
          <w:color w:val="000000"/>
          <w:sz w:val="28"/>
          <w:szCs w:val="28"/>
          <w:lang w:eastAsia="ar-SA"/>
        </w:rPr>
        <w:t xml:space="preserve"> 367, [1] с.: ил., табл.; 21 см. </w:t>
      </w:r>
      <w:r w:rsidRPr="003B10E2">
        <w:rPr>
          <w:rFonts w:ascii="Times New Roman" w:eastAsia="Times New Roman" w:hAnsi="Times New Roman"/>
          <w:sz w:val="28"/>
          <w:szCs w:val="28"/>
          <w:lang w:eastAsia="ar-SA"/>
        </w:rPr>
        <w:t xml:space="preserve">– </w:t>
      </w:r>
      <w:r w:rsidRPr="003B10E2">
        <w:rPr>
          <w:rFonts w:ascii="Times New Roman" w:eastAsia="Times New Roman" w:hAnsi="Times New Roman"/>
          <w:iCs/>
          <w:color w:val="000000"/>
          <w:sz w:val="28"/>
          <w:szCs w:val="28"/>
          <w:lang w:eastAsia="ar-SA"/>
        </w:rPr>
        <w:t xml:space="preserve">ISBN 978-5-905554-58-2. </w:t>
      </w:r>
      <w:r w:rsidRPr="003B10E2">
        <w:rPr>
          <w:rFonts w:ascii="Times New Roman" w:eastAsia="Times New Roman" w:hAnsi="Times New Roman"/>
          <w:sz w:val="28"/>
          <w:szCs w:val="28"/>
          <w:lang w:eastAsia="ar-SA"/>
        </w:rPr>
        <w:t>– Текст: непосредственный.</w:t>
      </w:r>
    </w:p>
    <w:p w14:paraId="73482B0C" w14:textId="77777777" w:rsidR="001120CC" w:rsidRPr="003B10E2" w:rsidRDefault="001120CC" w:rsidP="001120CC">
      <w:pPr>
        <w:pStyle w:val="aff8"/>
        <w:widowControl w:val="0"/>
        <w:numPr>
          <w:ilvl w:val="0"/>
          <w:numId w:val="17"/>
        </w:numPr>
        <w:autoSpaceDE w:val="0"/>
        <w:spacing w:after="0" w:line="360" w:lineRule="auto"/>
        <w:ind w:left="0" w:firstLine="709"/>
        <w:jc w:val="both"/>
        <w:rPr>
          <w:rFonts w:ascii="Times New Roman" w:eastAsia="Times New Roman" w:hAnsi="Times New Roman"/>
          <w:iCs/>
          <w:sz w:val="28"/>
          <w:szCs w:val="28"/>
          <w:lang w:eastAsia="ar-SA"/>
        </w:rPr>
      </w:pPr>
      <w:r w:rsidRPr="003B10E2">
        <w:rPr>
          <w:rFonts w:ascii="Times New Roman" w:eastAsia="Times New Roman" w:hAnsi="Times New Roman"/>
          <w:sz w:val="28"/>
          <w:szCs w:val="28"/>
          <w:lang w:eastAsia="ar-SA"/>
        </w:rPr>
        <w:t xml:space="preserve">Финансовый кризис в России и в мире / С. Архипов [и др.]; под научной редакцией Е.Т. Гайдара. – Москва: Проспект, 2010. – 247 с.: ил., табл.; 21 см. – ISBN 978-5-392-01344-9 (в пер.). – Текст: непосредственный. </w:t>
      </w:r>
    </w:p>
    <w:p w14:paraId="32A86E7C" w14:textId="77777777" w:rsidR="001120CC" w:rsidRPr="003B10E2" w:rsidRDefault="001120CC" w:rsidP="001120CC">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eastAsia="ar-SA"/>
        </w:rPr>
      </w:pPr>
      <w:r w:rsidRPr="003B10E2">
        <w:rPr>
          <w:rFonts w:ascii="Times New Roman" w:eastAsia="Times New Roman" w:hAnsi="Times New Roman"/>
          <w:sz w:val="28"/>
          <w:szCs w:val="28"/>
          <w:lang w:eastAsia="ar-SA"/>
        </w:rPr>
        <w:t>Энциклопедический словарь: в 86 т. / Ф.А. Брокгауз, И.А. Ефрон. – Санкт-Петербург: Типо-Литография И.А. Ефрона, 1892. – Т.</w:t>
      </w:r>
      <w:r w:rsidRPr="003B10E2">
        <w:rPr>
          <w:rFonts w:ascii="Times New Roman" w:eastAsia="Times New Roman" w:hAnsi="Times New Roman"/>
          <w:sz w:val="28"/>
          <w:szCs w:val="28"/>
          <w:lang w:val="en-US" w:eastAsia="ar-SA"/>
        </w:rPr>
        <w:t>III</w:t>
      </w:r>
      <w:r w:rsidRPr="003B10E2">
        <w:rPr>
          <w:rFonts w:ascii="Times New Roman" w:eastAsia="Times New Roman" w:hAnsi="Times New Roman"/>
          <w:sz w:val="28"/>
          <w:szCs w:val="28"/>
          <w:lang w:eastAsia="ar-SA"/>
        </w:rPr>
        <w:t>-а. – С. 575. – Текст: электронный.</w:t>
      </w:r>
    </w:p>
    <w:p w14:paraId="02A36018" w14:textId="77777777" w:rsidR="001120CC" w:rsidRPr="003B10E2" w:rsidRDefault="001120CC" w:rsidP="001120CC">
      <w:pPr>
        <w:rPr>
          <w:rFonts w:ascii="Times New Roman" w:eastAsia="Times New Roman" w:hAnsi="Times New Roman"/>
          <w:color w:val="000000"/>
          <w:sz w:val="28"/>
          <w:szCs w:val="28"/>
          <w:lang w:eastAsia="ar-SA"/>
        </w:rPr>
      </w:pPr>
    </w:p>
    <w:p w14:paraId="50AA326A" w14:textId="77777777" w:rsidR="001120CC" w:rsidRPr="003B10E2" w:rsidRDefault="001120CC" w:rsidP="001120CC">
      <w:pPr>
        <w:widowControl w:val="0"/>
        <w:autoSpaceDE w:val="0"/>
        <w:spacing w:after="0" w:line="360" w:lineRule="auto"/>
        <w:ind w:left="360"/>
        <w:contextualSpacing/>
        <w:jc w:val="center"/>
        <w:rPr>
          <w:rFonts w:ascii="Times New Roman" w:eastAsia="Times New Roman" w:hAnsi="Times New Roman"/>
          <w:color w:val="000000"/>
          <w:sz w:val="28"/>
          <w:szCs w:val="28"/>
          <w:lang w:eastAsia="ar-SA"/>
        </w:rPr>
      </w:pPr>
      <w:r w:rsidRPr="003B10E2">
        <w:rPr>
          <w:rFonts w:ascii="Times New Roman" w:eastAsia="Times New Roman" w:hAnsi="Times New Roman"/>
          <w:color w:val="000000"/>
          <w:sz w:val="28"/>
          <w:szCs w:val="28"/>
          <w:lang w:eastAsia="ar-SA"/>
        </w:rPr>
        <w:t>Нормативные акты</w:t>
      </w:r>
    </w:p>
    <w:p w14:paraId="2C5CE11B" w14:textId="77777777" w:rsidR="001120CC" w:rsidRPr="003B10E2" w:rsidRDefault="001120CC" w:rsidP="001120CC">
      <w:pPr>
        <w:widowControl w:val="0"/>
        <w:autoSpaceDE w:val="0"/>
        <w:spacing w:after="0" w:line="360" w:lineRule="auto"/>
        <w:ind w:left="360"/>
        <w:contextualSpacing/>
        <w:jc w:val="center"/>
        <w:rPr>
          <w:rFonts w:ascii="Times New Roman" w:eastAsia="Times New Roman" w:hAnsi="Times New Roman"/>
          <w:color w:val="0070C0"/>
          <w:sz w:val="28"/>
          <w:szCs w:val="28"/>
          <w:lang w:eastAsia="ar-SA"/>
        </w:rPr>
      </w:pPr>
    </w:p>
    <w:p w14:paraId="02349610" w14:textId="77777777"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0070C0"/>
          <w:sz w:val="28"/>
          <w:szCs w:val="28"/>
          <w:lang w:eastAsia="ar-SA"/>
        </w:rPr>
      </w:pPr>
      <w:r w:rsidRPr="003B10E2">
        <w:rPr>
          <w:rFonts w:ascii="Times New Roman" w:eastAsia="Times New Roman" w:hAnsi="Times New Roman"/>
          <w:sz w:val="28"/>
          <w:szCs w:val="28"/>
          <w:lang w:eastAsia="ar-SA"/>
        </w:rPr>
        <w:t xml:space="preserve">Российская Федерация. Законы. О рынке ценных бумаг: Федеральный закон от 22 апреля 1996 г. № 39-ФЗ / Российская Федерация. Законы. – Текст: электронный // Собрание законодательства Российской Федерации. – 1996. – № 17. – Ст. 1918. </w:t>
      </w:r>
    </w:p>
    <w:p w14:paraId="366DA1B4" w14:textId="77777777"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sz w:val="28"/>
          <w:szCs w:val="28"/>
          <w:lang w:eastAsia="ar-SA"/>
        </w:rPr>
      </w:pPr>
      <w:r w:rsidRPr="003B10E2">
        <w:rPr>
          <w:rFonts w:ascii="Times New Roman" w:eastAsia="Times New Roman" w:hAnsi="Times New Roman"/>
          <w:sz w:val="28"/>
          <w:szCs w:val="28"/>
          <w:lang w:eastAsia="ar-SA"/>
        </w:rPr>
        <w:t>Российская Федерация. Законы. Об инвестиционных фондах: Федеральный закон от 29 ноября 2001 г. № 156-ФЗ / Российская Федерация. Законы. – Текст: электронный // Собрание законодательства Российской Федерации. – 2001. – № 49. – Ст. 4562.</w:t>
      </w:r>
    </w:p>
    <w:p w14:paraId="26E15195" w14:textId="77777777"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sz w:val="28"/>
          <w:szCs w:val="28"/>
          <w:lang w:eastAsia="ar-SA"/>
        </w:rPr>
      </w:pPr>
      <w:r w:rsidRPr="003B10E2">
        <w:rPr>
          <w:rFonts w:ascii="Times New Roman" w:eastAsia="Times New Roman" w:hAnsi="Times New Roman"/>
          <w:sz w:val="28"/>
          <w:szCs w:val="28"/>
          <w:lang w:eastAsia="ar-SA"/>
        </w:rPr>
        <w:t>Российская Федерация. Законы. Об инвестировании средств для финансирования накопительной части трудовой пенсии в Российской Федерации. Федеральный закон от 24 июля 2002 г. № 111-ФЗ / Российская Федерация. Законы. – Текст: электронный // Собрание законодательства Российской Федерации. – 2002. – № 30. – Ст. 3028.</w:t>
      </w:r>
    </w:p>
    <w:p w14:paraId="2D038DC8" w14:textId="77777777"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sz w:val="28"/>
          <w:szCs w:val="28"/>
          <w:lang w:eastAsia="ar-SA"/>
        </w:rPr>
      </w:pPr>
      <w:r w:rsidRPr="003B10E2">
        <w:rPr>
          <w:rFonts w:ascii="Times New Roman" w:eastAsia="Times New Roman" w:hAnsi="Times New Roman"/>
          <w:sz w:val="28"/>
          <w:szCs w:val="28"/>
          <w:lang w:eastAsia="ar-SA"/>
        </w:rPr>
        <w:t xml:space="preserve">Российская Федерация. Правительство. О Типовых правилах доверительного управления открытым паевым инвестиционным фондом: Постановление Правительства Российской Федерации от 27 августа 2002 г. № 633 / Российская Федерация. Правительство. – Текст: электронный // Собрание законодательства Российской Федерации. – 2002. – № 35. – Ст. 3385. </w:t>
      </w:r>
    </w:p>
    <w:p w14:paraId="7C630486" w14:textId="77777777"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sz w:val="28"/>
          <w:szCs w:val="28"/>
          <w:lang w:eastAsia="ar-SA"/>
        </w:rPr>
      </w:pPr>
      <w:r w:rsidRPr="003B10E2">
        <w:rPr>
          <w:rFonts w:ascii="Times New Roman" w:eastAsia="Times New Roman" w:hAnsi="Times New Roman"/>
          <w:sz w:val="28"/>
          <w:szCs w:val="28"/>
          <w:lang w:eastAsia="ar-SA"/>
        </w:rPr>
        <w:t>Российская Федерация. Правительство. О Типовых правилах доверительного управления интервальным паевым инвестиционным фондом: Постановление Правительства Российской Федерации от 18 сентября 2002 г. № 684 / Российская Федерация. Правительство. – Текст: электронный // Собрание законодательства Российской Федерации. – 2002. – № 39. – Ст. 3788.</w:t>
      </w:r>
    </w:p>
    <w:p w14:paraId="7DB184D5" w14:textId="77777777" w:rsidR="001120CC" w:rsidRPr="003B10E2" w:rsidRDefault="001120CC" w:rsidP="001120CC">
      <w:pPr>
        <w:widowControl w:val="0"/>
        <w:autoSpaceDE w:val="0"/>
        <w:spacing w:after="0" w:line="360" w:lineRule="auto"/>
        <w:jc w:val="center"/>
        <w:rPr>
          <w:rFonts w:ascii="Times New Roman" w:eastAsia="Times New Roman" w:hAnsi="Times New Roman"/>
          <w:color w:val="000000"/>
          <w:sz w:val="28"/>
          <w:szCs w:val="28"/>
          <w:lang w:eastAsia="ar-SA"/>
        </w:rPr>
      </w:pPr>
    </w:p>
    <w:p w14:paraId="1E41DED6" w14:textId="77777777" w:rsidR="001120CC" w:rsidRPr="003B10E2" w:rsidRDefault="001120CC" w:rsidP="001120CC">
      <w:pPr>
        <w:widowControl w:val="0"/>
        <w:autoSpaceDE w:val="0"/>
        <w:spacing w:after="0" w:line="360" w:lineRule="auto"/>
        <w:jc w:val="center"/>
        <w:rPr>
          <w:rFonts w:ascii="Times New Roman" w:eastAsia="Times New Roman" w:hAnsi="Times New Roman"/>
          <w:color w:val="000000"/>
          <w:sz w:val="28"/>
          <w:szCs w:val="28"/>
          <w:lang w:eastAsia="ar-SA"/>
        </w:rPr>
      </w:pPr>
      <w:r w:rsidRPr="003B10E2">
        <w:rPr>
          <w:rFonts w:ascii="Times New Roman" w:eastAsia="Times New Roman" w:hAnsi="Times New Roman"/>
          <w:color w:val="000000"/>
          <w:sz w:val="28"/>
          <w:szCs w:val="28"/>
          <w:lang w:eastAsia="ar-SA"/>
        </w:rPr>
        <w:t>Электронные ресурсы</w:t>
      </w:r>
    </w:p>
    <w:p w14:paraId="600E6A2B" w14:textId="77777777" w:rsidR="001120CC" w:rsidRPr="003B10E2" w:rsidRDefault="001120CC" w:rsidP="001120CC">
      <w:pPr>
        <w:widowControl w:val="0"/>
        <w:autoSpaceDE w:val="0"/>
        <w:spacing w:after="0" w:line="360" w:lineRule="auto"/>
        <w:ind w:left="1080"/>
        <w:jc w:val="both"/>
        <w:rPr>
          <w:rFonts w:ascii="Times New Roman" w:eastAsia="Times New Roman" w:hAnsi="Times New Roman"/>
          <w:color w:val="000000"/>
          <w:sz w:val="28"/>
          <w:szCs w:val="28"/>
          <w:lang w:eastAsia="ar-SA"/>
        </w:rPr>
      </w:pPr>
    </w:p>
    <w:p w14:paraId="240BD6D4" w14:textId="77777777"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sz w:val="28"/>
          <w:szCs w:val="28"/>
          <w:lang w:eastAsia="ar-SA"/>
        </w:rPr>
      </w:pPr>
      <w:r w:rsidRPr="003B10E2">
        <w:rPr>
          <w:rFonts w:ascii="Times New Roman" w:eastAsia="Times New Roman" w:hAnsi="Times New Roman"/>
          <w:sz w:val="28"/>
          <w:szCs w:val="28"/>
          <w:lang w:eastAsia="ar-SA"/>
        </w:rPr>
        <w:t xml:space="preserve">Большой энциклопедический словарь: сайт. – URL: </w:t>
      </w:r>
      <w:hyperlink r:id="rId114" w:history="1">
        <w:r w:rsidRPr="003B10E2">
          <w:rPr>
            <w:rFonts w:ascii="Times New Roman" w:eastAsia="Times New Roman" w:hAnsi="Times New Roman"/>
            <w:sz w:val="28"/>
            <w:szCs w:val="28"/>
            <w:lang w:eastAsia="ar-SA"/>
          </w:rPr>
          <w:t>https://gufo.me/dict/bes</w:t>
        </w:r>
      </w:hyperlink>
      <w:r w:rsidRPr="003B10E2">
        <w:rPr>
          <w:rFonts w:ascii="Times New Roman" w:eastAsia="Times New Roman" w:hAnsi="Times New Roman"/>
          <w:sz w:val="28"/>
          <w:szCs w:val="28"/>
          <w:lang w:eastAsia="ar-SA"/>
        </w:rPr>
        <w:t xml:space="preserve"> (дата обращения: 05.05.2022). – Текст: электронный.</w:t>
      </w:r>
    </w:p>
    <w:p w14:paraId="753D495F" w14:textId="77777777"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sz w:val="28"/>
          <w:szCs w:val="28"/>
          <w:lang w:eastAsia="ar-SA"/>
        </w:rPr>
      </w:pPr>
      <w:r w:rsidRPr="003B10E2">
        <w:rPr>
          <w:rFonts w:ascii="Times New Roman" w:eastAsia="Times New Roman" w:hAnsi="Times New Roman"/>
          <w:sz w:val="28"/>
          <w:szCs w:val="28"/>
          <w:lang w:eastAsia="ar-SA"/>
        </w:rPr>
        <w:t xml:space="preserve">Экономический словарь терминов: сайт. – URL: </w:t>
      </w:r>
      <w:hyperlink r:id="rId115" w:history="1">
        <w:r w:rsidRPr="003B10E2">
          <w:rPr>
            <w:rFonts w:ascii="Times New Roman" w:eastAsia="Times New Roman" w:hAnsi="Times New Roman"/>
            <w:sz w:val="28"/>
            <w:szCs w:val="28"/>
            <w:lang w:eastAsia="ar-SA"/>
          </w:rPr>
          <w:t>https://gufo.me/dict/dal/структура</w:t>
        </w:r>
      </w:hyperlink>
      <w:r w:rsidRPr="003B10E2">
        <w:rPr>
          <w:rFonts w:ascii="Times New Roman" w:eastAsia="Times New Roman" w:hAnsi="Times New Roman"/>
          <w:sz w:val="28"/>
          <w:szCs w:val="28"/>
          <w:lang w:eastAsia="ar-SA"/>
        </w:rPr>
        <w:t xml:space="preserve"> (дата обращения: 05.05.2022) – Текст: электронный.</w:t>
      </w:r>
    </w:p>
    <w:p w14:paraId="4B34B0DB" w14:textId="77777777"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sz w:val="28"/>
          <w:szCs w:val="28"/>
          <w:lang w:eastAsia="ar-SA"/>
        </w:rPr>
      </w:pPr>
      <w:r w:rsidRPr="003B10E2">
        <w:rPr>
          <w:rFonts w:ascii="Times New Roman" w:eastAsia="Times New Roman" w:hAnsi="Times New Roman"/>
          <w:sz w:val="28"/>
          <w:szCs w:val="28"/>
          <w:lang w:eastAsia="ar-SA"/>
        </w:rPr>
        <w:t>Официальный сайт Банка России: сайт. – Москва, 2000. – URL: http://www.cbr.ru. (дата обращения: 05.05.2022) – Текст: электронный.</w:t>
      </w:r>
    </w:p>
    <w:p w14:paraId="3F719867" w14:textId="77777777"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sz w:val="28"/>
          <w:szCs w:val="28"/>
          <w:lang w:eastAsia="ar-SA"/>
        </w:rPr>
      </w:pPr>
      <w:r w:rsidRPr="003B10E2">
        <w:rPr>
          <w:rFonts w:ascii="Times New Roman" w:eastAsia="Times New Roman" w:hAnsi="Times New Roman"/>
          <w:sz w:val="28"/>
          <w:szCs w:val="28"/>
          <w:lang w:eastAsia="ar-SA"/>
        </w:rPr>
        <w:t>Официальный сайт Минфина России: сайт. – Москва, 1998. – URL: http://www.minfin.ru. (дата обращения: 05.05.2022). – Текст: электронный.</w:t>
      </w:r>
    </w:p>
    <w:p w14:paraId="03F06EE7" w14:textId="77777777" w:rsidR="00490753" w:rsidRPr="003B10E2" w:rsidRDefault="001120CC" w:rsidP="00490753">
      <w:pPr>
        <w:pStyle w:val="aff8"/>
        <w:widowControl w:val="0"/>
        <w:numPr>
          <w:ilvl w:val="0"/>
          <w:numId w:val="17"/>
        </w:numPr>
        <w:autoSpaceDE w:val="0"/>
        <w:spacing w:after="0" w:line="360" w:lineRule="auto"/>
        <w:ind w:left="0" w:firstLine="680"/>
        <w:jc w:val="both"/>
        <w:rPr>
          <w:rFonts w:ascii="Times New Roman" w:eastAsia="Times New Roman" w:hAnsi="Times New Roman"/>
          <w:sz w:val="28"/>
          <w:szCs w:val="28"/>
          <w:lang w:eastAsia="ar-SA"/>
        </w:rPr>
      </w:pPr>
      <w:r w:rsidRPr="003B10E2">
        <w:rPr>
          <w:rFonts w:ascii="Times New Roman" w:eastAsia="Times New Roman" w:hAnsi="Times New Roman"/>
          <w:sz w:val="28"/>
          <w:szCs w:val="28"/>
          <w:lang w:eastAsia="ar-SA"/>
        </w:rPr>
        <w:t>Официальный сайт Московской биржи: сайт. – Москва, 20</w:t>
      </w:r>
      <w:r w:rsidR="00490753" w:rsidRPr="003B10E2">
        <w:rPr>
          <w:rFonts w:ascii="Times New Roman" w:eastAsia="Times New Roman" w:hAnsi="Times New Roman"/>
          <w:sz w:val="28"/>
          <w:szCs w:val="28"/>
          <w:lang w:eastAsia="ar-SA"/>
        </w:rPr>
        <w:t>23</w:t>
      </w:r>
      <w:r w:rsidRPr="003B10E2">
        <w:rPr>
          <w:rFonts w:ascii="Times New Roman" w:eastAsia="Times New Roman" w:hAnsi="Times New Roman"/>
          <w:sz w:val="28"/>
          <w:szCs w:val="28"/>
          <w:lang w:eastAsia="ar-SA"/>
        </w:rPr>
        <w:t>. – URL: http://www.moex.</w:t>
      </w:r>
      <w:r w:rsidRPr="003B10E2">
        <w:rPr>
          <w:rFonts w:ascii="Times New Roman" w:eastAsia="Times New Roman" w:hAnsi="Times New Roman"/>
          <w:sz w:val="28"/>
          <w:szCs w:val="28"/>
          <w:lang w:val="en-US" w:eastAsia="ar-SA"/>
        </w:rPr>
        <w:t>com</w:t>
      </w:r>
      <w:r w:rsidRPr="003B10E2">
        <w:rPr>
          <w:rFonts w:ascii="Times New Roman" w:eastAsia="Times New Roman" w:hAnsi="Times New Roman"/>
          <w:sz w:val="28"/>
          <w:szCs w:val="28"/>
          <w:lang w:eastAsia="ar-SA"/>
        </w:rPr>
        <w:t>. (дата обращения: 05.05.2022). – Текст: электронный.</w:t>
      </w:r>
    </w:p>
    <w:p w14:paraId="39DB5255" w14:textId="77777777" w:rsidR="00490753" w:rsidRPr="003B10E2" w:rsidRDefault="00490753" w:rsidP="00490753">
      <w:pPr>
        <w:pStyle w:val="aff8"/>
        <w:widowControl w:val="0"/>
        <w:numPr>
          <w:ilvl w:val="0"/>
          <w:numId w:val="17"/>
        </w:numPr>
        <w:autoSpaceDE w:val="0"/>
        <w:spacing w:after="0" w:line="360" w:lineRule="auto"/>
        <w:ind w:left="0" w:firstLine="680"/>
        <w:jc w:val="both"/>
        <w:rPr>
          <w:rFonts w:ascii="Times New Roman" w:eastAsia="Times New Roman" w:hAnsi="Times New Roman"/>
          <w:sz w:val="28"/>
          <w:szCs w:val="28"/>
          <w:lang w:eastAsia="ar-SA"/>
        </w:rPr>
      </w:pPr>
      <w:r w:rsidRPr="003B10E2">
        <w:rPr>
          <w:rFonts w:ascii="Times New Roman" w:eastAsia="Times New Roman" w:hAnsi="Times New Roman"/>
          <w:sz w:val="28"/>
          <w:szCs w:val="28"/>
          <w:lang w:eastAsia="ar-SA"/>
        </w:rPr>
        <w:t>Официальный сайт Шанхайской биржи: сайт. – Москва, 2023. – URL: http://www.</w:t>
      </w:r>
      <w:r w:rsidRPr="003B10E2">
        <w:rPr>
          <w:rFonts w:ascii="Times New Roman" w:eastAsia="Times New Roman" w:hAnsi="Times New Roman"/>
          <w:sz w:val="28"/>
          <w:szCs w:val="28"/>
          <w:lang w:val="en-US" w:eastAsia="ar-SA"/>
        </w:rPr>
        <w:t>sse</w:t>
      </w:r>
      <w:r w:rsidRPr="003B10E2">
        <w:rPr>
          <w:rFonts w:ascii="Times New Roman" w:eastAsia="Times New Roman" w:hAnsi="Times New Roman"/>
          <w:sz w:val="28"/>
          <w:szCs w:val="28"/>
          <w:lang w:eastAsia="ar-SA"/>
        </w:rPr>
        <w:t>.com.</w:t>
      </w:r>
      <w:r w:rsidRPr="003B10E2">
        <w:rPr>
          <w:rFonts w:ascii="Times New Roman" w:eastAsia="Times New Roman" w:hAnsi="Times New Roman"/>
          <w:sz w:val="28"/>
          <w:szCs w:val="28"/>
          <w:lang w:val="en-US" w:eastAsia="ar-SA"/>
        </w:rPr>
        <w:t>cn</w:t>
      </w:r>
      <w:r w:rsidRPr="003B10E2">
        <w:rPr>
          <w:rFonts w:ascii="Times New Roman" w:eastAsia="Times New Roman" w:hAnsi="Times New Roman"/>
          <w:sz w:val="28"/>
          <w:szCs w:val="28"/>
          <w:lang w:eastAsia="ar-SA"/>
        </w:rPr>
        <w:t xml:space="preserve"> (дата обращения: 05.05.2022). – Текст: электронный.</w:t>
      </w:r>
    </w:p>
    <w:p w14:paraId="2DF26C7C" w14:textId="77777777" w:rsidR="00490753" w:rsidRPr="003B10E2" w:rsidRDefault="00490753" w:rsidP="00490753">
      <w:pPr>
        <w:pStyle w:val="aff8"/>
        <w:widowControl w:val="0"/>
        <w:numPr>
          <w:ilvl w:val="0"/>
          <w:numId w:val="17"/>
        </w:numPr>
        <w:autoSpaceDE w:val="0"/>
        <w:spacing w:after="0" w:line="360" w:lineRule="auto"/>
        <w:ind w:left="0" w:firstLine="680"/>
        <w:jc w:val="both"/>
        <w:rPr>
          <w:rFonts w:ascii="Times New Roman" w:eastAsia="Times New Roman" w:hAnsi="Times New Roman"/>
          <w:sz w:val="28"/>
          <w:szCs w:val="28"/>
          <w:lang w:eastAsia="ar-SA"/>
        </w:rPr>
      </w:pPr>
      <w:r w:rsidRPr="003B10E2">
        <w:rPr>
          <w:rFonts w:ascii="Times New Roman" w:eastAsia="Times New Roman" w:hAnsi="Times New Roman"/>
          <w:sz w:val="28"/>
          <w:szCs w:val="28"/>
          <w:lang w:eastAsia="ar-SA"/>
        </w:rPr>
        <w:t>Официальный сайт Шэньженьской биржи: сайт. – Москва, 2023. – URL: http://www.</w:t>
      </w:r>
      <w:r w:rsidR="007531B7" w:rsidRPr="003B10E2">
        <w:rPr>
          <w:rFonts w:ascii="Times New Roman" w:eastAsia="Times New Roman" w:hAnsi="Times New Roman"/>
          <w:sz w:val="28"/>
          <w:szCs w:val="28"/>
          <w:lang w:val="en-US" w:eastAsia="ar-SA"/>
        </w:rPr>
        <w:t>szse</w:t>
      </w:r>
      <w:r w:rsidRPr="003B10E2">
        <w:rPr>
          <w:rFonts w:ascii="Times New Roman" w:eastAsia="Times New Roman" w:hAnsi="Times New Roman"/>
          <w:sz w:val="28"/>
          <w:szCs w:val="28"/>
          <w:lang w:eastAsia="ar-SA"/>
        </w:rPr>
        <w:t>.com. (дата обращения: 05.05.2022). – Текст: электронный.</w:t>
      </w:r>
    </w:p>
    <w:p w14:paraId="48389036" w14:textId="77777777"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sz w:val="28"/>
          <w:szCs w:val="28"/>
          <w:lang w:eastAsia="ar-SA"/>
        </w:rPr>
      </w:pPr>
      <w:r w:rsidRPr="003B10E2">
        <w:rPr>
          <w:rFonts w:ascii="Times New Roman" w:eastAsia="Times New Roman" w:hAnsi="Times New Roman"/>
          <w:sz w:val="28"/>
          <w:szCs w:val="28"/>
          <w:lang w:eastAsia="ar-SA"/>
        </w:rPr>
        <w:t>Официальный сайт РБК: сайт. – Москва, 1995. –  URL: http://www.rbc.ru. (дата обращения: 05.05.2022). – Текст: электронный.</w:t>
      </w:r>
    </w:p>
    <w:p w14:paraId="3D01462D" w14:textId="77777777" w:rsidR="001120CC" w:rsidRPr="003B10E2" w:rsidRDefault="001120CC" w:rsidP="001120CC">
      <w:pPr>
        <w:widowControl w:val="0"/>
        <w:autoSpaceDE w:val="0"/>
        <w:spacing w:after="0" w:line="360" w:lineRule="auto"/>
        <w:jc w:val="center"/>
        <w:rPr>
          <w:rFonts w:ascii="Times New Roman" w:eastAsia="Times New Roman" w:hAnsi="Times New Roman"/>
          <w:iCs/>
          <w:color w:val="000000"/>
          <w:sz w:val="28"/>
          <w:szCs w:val="28"/>
          <w:lang w:eastAsia="ar-SA"/>
        </w:rPr>
      </w:pPr>
    </w:p>
    <w:p w14:paraId="74EE0F06" w14:textId="77777777" w:rsidR="001120CC" w:rsidRPr="003B10E2" w:rsidRDefault="001120CC" w:rsidP="001120CC">
      <w:pPr>
        <w:widowControl w:val="0"/>
        <w:autoSpaceDE w:val="0"/>
        <w:spacing w:after="0" w:line="360" w:lineRule="auto"/>
        <w:jc w:val="center"/>
        <w:rPr>
          <w:rFonts w:ascii="Times New Roman" w:eastAsia="Times New Roman" w:hAnsi="Times New Roman"/>
          <w:iCs/>
          <w:color w:val="000000"/>
          <w:sz w:val="28"/>
          <w:szCs w:val="28"/>
          <w:lang w:eastAsia="ar-SA"/>
        </w:rPr>
      </w:pPr>
      <w:r w:rsidRPr="003B10E2">
        <w:rPr>
          <w:rFonts w:ascii="Times New Roman" w:eastAsia="Times New Roman" w:hAnsi="Times New Roman"/>
          <w:iCs/>
          <w:color w:val="000000"/>
          <w:sz w:val="28"/>
          <w:szCs w:val="28"/>
          <w:lang w:eastAsia="ar-SA"/>
        </w:rPr>
        <w:t>Статьи</w:t>
      </w:r>
    </w:p>
    <w:p w14:paraId="6BC361D9" w14:textId="77777777" w:rsidR="001120CC" w:rsidRPr="003B10E2" w:rsidRDefault="001120CC" w:rsidP="001120CC">
      <w:pPr>
        <w:widowControl w:val="0"/>
        <w:autoSpaceDE w:val="0"/>
        <w:spacing w:after="0" w:line="360" w:lineRule="auto"/>
        <w:contextualSpacing/>
        <w:jc w:val="both"/>
        <w:rPr>
          <w:rFonts w:ascii="Times New Roman" w:eastAsia="Times New Roman" w:hAnsi="Times New Roman"/>
          <w:color w:val="000000"/>
          <w:sz w:val="28"/>
          <w:szCs w:val="28"/>
          <w:lang w:eastAsia="ar-SA"/>
        </w:rPr>
      </w:pPr>
    </w:p>
    <w:p w14:paraId="418DA7A9" w14:textId="77777777"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Бурлачков, В.К.</w:t>
      </w:r>
      <w:r w:rsidRPr="003B10E2">
        <w:rPr>
          <w:rFonts w:ascii="Times New Roman" w:eastAsia="Times New Roman" w:hAnsi="Times New Roman"/>
          <w:color w:val="000000"/>
          <w:sz w:val="28"/>
          <w:szCs w:val="28"/>
          <w:lang w:eastAsia="ar-SA"/>
        </w:rPr>
        <w:t xml:space="preserve"> Современные проблемы теории валютного курса / В.К. Бурлачков. – Текст: непосредственный // Вопросы экономики. – 1968. – № 3. – С.17–30. </w:t>
      </w:r>
    </w:p>
    <w:p w14:paraId="7265D289" w14:textId="77777777"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iCs/>
          <w:color w:val="000000"/>
          <w:sz w:val="28"/>
          <w:szCs w:val="28"/>
          <w:lang w:eastAsia="ar-SA"/>
        </w:rPr>
        <w:t>Вудфорд, М.</w:t>
      </w:r>
      <w:r w:rsidRPr="003B10E2">
        <w:rPr>
          <w:rFonts w:ascii="Times New Roman" w:eastAsia="Times New Roman" w:hAnsi="Times New Roman"/>
          <w:iCs/>
          <w:color w:val="000000"/>
          <w:sz w:val="28"/>
          <w:szCs w:val="28"/>
          <w:lang w:eastAsia="ar-SA"/>
        </w:rPr>
        <w:t xml:space="preserve"> Сближение взглядов в макроэкономике: элементы нового синтеза / М. Вудфорт. </w:t>
      </w:r>
      <w:r w:rsidRPr="003B10E2">
        <w:rPr>
          <w:rFonts w:ascii="Times New Roman" w:eastAsia="Times New Roman" w:hAnsi="Times New Roman"/>
          <w:color w:val="000000"/>
          <w:sz w:val="28"/>
          <w:szCs w:val="28"/>
          <w:lang w:eastAsia="ar-SA"/>
        </w:rPr>
        <w:t>– Текст: непосредственный</w:t>
      </w:r>
      <w:r w:rsidRPr="003B10E2">
        <w:rPr>
          <w:rFonts w:ascii="Times New Roman" w:eastAsia="Times New Roman" w:hAnsi="Times New Roman"/>
          <w:iCs/>
          <w:color w:val="000000"/>
          <w:sz w:val="28"/>
          <w:szCs w:val="28"/>
          <w:lang w:eastAsia="ar-SA"/>
        </w:rPr>
        <w:t xml:space="preserve"> // Вопросы экономики. </w:t>
      </w:r>
      <w:r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iCs/>
          <w:color w:val="000000"/>
          <w:sz w:val="28"/>
          <w:szCs w:val="28"/>
          <w:lang w:eastAsia="ar-SA"/>
        </w:rPr>
        <w:t xml:space="preserve">2010. </w:t>
      </w:r>
      <w:r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iCs/>
          <w:color w:val="000000"/>
          <w:sz w:val="28"/>
          <w:szCs w:val="28"/>
          <w:lang w:eastAsia="ar-SA"/>
        </w:rPr>
        <w:t xml:space="preserve">№ 10. </w:t>
      </w:r>
      <w:r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iCs/>
          <w:color w:val="000000"/>
          <w:sz w:val="28"/>
          <w:szCs w:val="28"/>
          <w:lang w:eastAsia="ar-SA"/>
        </w:rPr>
        <w:t>С. 17</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iCs/>
          <w:color w:val="000000"/>
          <w:sz w:val="28"/>
          <w:szCs w:val="28"/>
          <w:lang w:eastAsia="ar-SA"/>
        </w:rPr>
        <w:t xml:space="preserve">30. </w:t>
      </w:r>
    </w:p>
    <w:p w14:paraId="474AD14C" w14:textId="77777777"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iCs/>
          <w:color w:val="000000"/>
          <w:sz w:val="28"/>
          <w:szCs w:val="28"/>
          <w:lang w:eastAsia="ar-SA"/>
        </w:rPr>
        <w:t>Гилбоа, И.</w:t>
      </w:r>
      <w:r w:rsidRPr="003B10E2">
        <w:rPr>
          <w:rFonts w:ascii="Times New Roman" w:eastAsia="Times New Roman" w:hAnsi="Times New Roman"/>
          <w:iCs/>
          <w:color w:val="000000"/>
          <w:sz w:val="28"/>
          <w:szCs w:val="28"/>
          <w:lang w:eastAsia="ar-SA"/>
        </w:rPr>
        <w:t xml:space="preserve"> Вероятность и неопределенность в экономическом моделировании / И. Гилбоа, Э. Постлуэйт, Д. Шмайдлер. </w:t>
      </w:r>
      <w:r w:rsidRPr="003B10E2">
        <w:rPr>
          <w:rFonts w:ascii="Times New Roman" w:eastAsia="Times New Roman" w:hAnsi="Times New Roman"/>
          <w:color w:val="000000"/>
          <w:sz w:val="28"/>
          <w:szCs w:val="28"/>
          <w:lang w:eastAsia="ar-SA"/>
        </w:rPr>
        <w:t>– Текст: непосредственный</w:t>
      </w:r>
      <w:r w:rsidRPr="003B10E2">
        <w:rPr>
          <w:rFonts w:ascii="Times New Roman" w:eastAsia="Times New Roman" w:hAnsi="Times New Roman"/>
          <w:iCs/>
          <w:color w:val="000000"/>
          <w:sz w:val="28"/>
          <w:szCs w:val="28"/>
          <w:lang w:eastAsia="ar-SA"/>
        </w:rPr>
        <w:t xml:space="preserve"> // Вопросы экономики. </w:t>
      </w:r>
      <w:r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iCs/>
          <w:color w:val="000000"/>
          <w:sz w:val="28"/>
          <w:szCs w:val="28"/>
          <w:lang w:eastAsia="ar-SA"/>
        </w:rPr>
        <w:t xml:space="preserve">2009. </w:t>
      </w:r>
      <w:r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iCs/>
          <w:color w:val="000000"/>
          <w:sz w:val="28"/>
          <w:szCs w:val="28"/>
          <w:lang w:eastAsia="ar-SA"/>
        </w:rPr>
        <w:t xml:space="preserve">№10. </w:t>
      </w:r>
      <w:r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iCs/>
          <w:color w:val="000000"/>
          <w:sz w:val="28"/>
          <w:szCs w:val="28"/>
          <w:lang w:eastAsia="ar-SA"/>
        </w:rPr>
        <w:t>С. 46</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iCs/>
          <w:color w:val="000000"/>
          <w:sz w:val="28"/>
          <w:szCs w:val="28"/>
          <w:lang w:eastAsia="ar-SA"/>
        </w:rPr>
        <w:t>61.</w:t>
      </w:r>
    </w:p>
    <w:p w14:paraId="1C4C3072" w14:textId="77777777"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iCs/>
          <w:color w:val="000000"/>
          <w:sz w:val="28"/>
          <w:szCs w:val="28"/>
          <w:lang w:eastAsia="ar-SA"/>
        </w:rPr>
        <w:t>Ершов, М.</w:t>
      </w:r>
      <w:r w:rsidRPr="003B10E2">
        <w:rPr>
          <w:rFonts w:ascii="Times New Roman" w:eastAsia="Times New Roman" w:hAnsi="Times New Roman"/>
          <w:iCs/>
          <w:color w:val="000000"/>
          <w:sz w:val="28"/>
          <w:szCs w:val="28"/>
          <w:lang w:eastAsia="ar-SA"/>
        </w:rPr>
        <w:t xml:space="preserve"> Как обеспечить стабильное развитие в условиях финансовой нестабильности? / М. Ершов. </w:t>
      </w:r>
      <w:r w:rsidRPr="003B10E2">
        <w:rPr>
          <w:rFonts w:ascii="Times New Roman" w:eastAsia="Times New Roman" w:hAnsi="Times New Roman"/>
          <w:color w:val="000000"/>
          <w:sz w:val="28"/>
          <w:szCs w:val="28"/>
          <w:lang w:eastAsia="ar-SA"/>
        </w:rPr>
        <w:t>– Текст: непосредственный</w:t>
      </w:r>
      <w:r w:rsidRPr="003B10E2">
        <w:rPr>
          <w:rFonts w:ascii="Times New Roman" w:eastAsia="Times New Roman" w:hAnsi="Times New Roman"/>
          <w:iCs/>
          <w:color w:val="000000"/>
          <w:sz w:val="28"/>
          <w:szCs w:val="28"/>
          <w:lang w:eastAsia="ar-SA"/>
        </w:rPr>
        <w:t xml:space="preserve"> // Вопросы экономики. </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iCs/>
          <w:color w:val="000000"/>
          <w:sz w:val="28"/>
          <w:szCs w:val="28"/>
          <w:lang w:eastAsia="ar-SA"/>
        </w:rPr>
        <w:t xml:space="preserve"> 2007. </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iCs/>
          <w:color w:val="000000"/>
          <w:sz w:val="28"/>
          <w:szCs w:val="28"/>
          <w:lang w:eastAsia="ar-SA"/>
        </w:rPr>
        <w:t xml:space="preserve"> № 12. </w:t>
      </w:r>
      <w:r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iCs/>
          <w:color w:val="000000"/>
          <w:sz w:val="28"/>
          <w:szCs w:val="28"/>
          <w:lang w:eastAsia="ar-SA"/>
        </w:rPr>
        <w:t>С. 4</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iCs/>
          <w:color w:val="000000"/>
          <w:sz w:val="28"/>
          <w:szCs w:val="28"/>
          <w:lang w:eastAsia="ar-SA"/>
        </w:rPr>
        <w:t>26.</w:t>
      </w:r>
    </w:p>
    <w:p w14:paraId="31EB451B" w14:textId="77777777"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Захаров, А.В.</w:t>
      </w:r>
      <w:r w:rsidRPr="003B10E2">
        <w:rPr>
          <w:rFonts w:ascii="Times New Roman" w:eastAsia="Times New Roman" w:hAnsi="Times New Roman"/>
          <w:color w:val="000000"/>
          <w:sz w:val="28"/>
          <w:szCs w:val="28"/>
          <w:lang w:eastAsia="ar-SA"/>
        </w:rPr>
        <w:t xml:space="preserve"> Финансовый рынок — поле для банковского бизнеса / А.В. Захаров. – Текст: непосредственный</w:t>
      </w:r>
      <w:r w:rsidRPr="003B10E2">
        <w:rPr>
          <w:rFonts w:ascii="Times New Roman" w:eastAsia="Times New Roman" w:hAnsi="Times New Roman"/>
          <w:iCs/>
          <w:color w:val="000000"/>
          <w:sz w:val="28"/>
          <w:szCs w:val="28"/>
          <w:lang w:eastAsia="ar-SA"/>
        </w:rPr>
        <w:t xml:space="preserve"> </w:t>
      </w:r>
      <w:r w:rsidRPr="003B10E2">
        <w:rPr>
          <w:rFonts w:ascii="Times New Roman" w:eastAsia="Times New Roman" w:hAnsi="Times New Roman"/>
          <w:color w:val="000000"/>
          <w:sz w:val="28"/>
          <w:szCs w:val="28"/>
          <w:lang w:eastAsia="ar-SA"/>
        </w:rPr>
        <w:t>// Индикатор. – 2008. – № 11(50). – С. 2–6.</w:t>
      </w:r>
    </w:p>
    <w:p w14:paraId="29C6DF6C" w14:textId="77777777"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Зильбер, Р.</w:t>
      </w:r>
      <w:r w:rsidRPr="003B10E2">
        <w:rPr>
          <w:rFonts w:ascii="Times New Roman" w:eastAsia="Times New Roman" w:hAnsi="Times New Roman"/>
          <w:color w:val="000000"/>
          <w:sz w:val="28"/>
          <w:szCs w:val="28"/>
          <w:lang w:eastAsia="ar-SA"/>
        </w:rPr>
        <w:t xml:space="preserve"> Волатильность процентных ставок на рынке рублевых облигаций Р. Зильбер. – Текст: непосредственный // Рынок ценных бумаг. – Москва, 2005. – №6. – С. 68–70.</w:t>
      </w:r>
    </w:p>
    <w:p w14:paraId="4D75F811" w14:textId="77777777"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Капелюшников, Р.И.</w:t>
      </w:r>
      <w:r w:rsidRPr="003B10E2">
        <w:rPr>
          <w:rFonts w:ascii="Times New Roman" w:eastAsia="Times New Roman" w:hAnsi="Times New Roman"/>
          <w:color w:val="000000"/>
          <w:sz w:val="28"/>
          <w:szCs w:val="28"/>
          <w:lang w:eastAsia="ar-SA"/>
        </w:rPr>
        <w:t xml:space="preserve"> Влияние характеристик собственности на результаты экономической деятельности российских промышленных предприятий / Р.И. Капелюшников, Н.В. Демина.  //</w:t>
      </w:r>
      <w:r w:rsidRPr="003B10E2">
        <w:rPr>
          <w:rFonts w:ascii="Times New Roman" w:eastAsia="Times New Roman" w:hAnsi="Times New Roman"/>
          <w:color w:val="FF0000"/>
          <w:sz w:val="28"/>
          <w:szCs w:val="28"/>
          <w:lang w:eastAsia="ar-SA"/>
        </w:rPr>
        <w:t xml:space="preserve"> </w:t>
      </w:r>
      <w:r w:rsidRPr="003B10E2">
        <w:rPr>
          <w:rFonts w:ascii="Times New Roman" w:eastAsia="Times New Roman" w:hAnsi="Times New Roman"/>
          <w:iCs/>
          <w:color w:val="000000"/>
          <w:sz w:val="28"/>
          <w:szCs w:val="28"/>
          <w:lang w:eastAsia="ar-SA"/>
        </w:rPr>
        <w:t>Вопросы экономики.</w:t>
      </w:r>
      <w:r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iCs/>
          <w:color w:val="000000"/>
          <w:sz w:val="28"/>
          <w:szCs w:val="28"/>
          <w:lang w:eastAsia="ar-SA"/>
        </w:rPr>
        <w:t xml:space="preserve">– </w:t>
      </w:r>
      <w:r w:rsidRPr="003B10E2">
        <w:rPr>
          <w:rFonts w:ascii="Times New Roman" w:eastAsia="Times New Roman" w:hAnsi="Times New Roman"/>
          <w:color w:val="000000"/>
          <w:sz w:val="28"/>
          <w:szCs w:val="28"/>
          <w:lang w:eastAsia="ar-SA"/>
        </w:rPr>
        <w:t xml:space="preserve">2005. </w:t>
      </w:r>
      <w:r w:rsidRPr="003B10E2">
        <w:rPr>
          <w:rFonts w:ascii="Times New Roman" w:eastAsia="Times New Roman" w:hAnsi="Times New Roman"/>
          <w:iCs/>
          <w:color w:val="000000"/>
          <w:sz w:val="28"/>
          <w:szCs w:val="28"/>
          <w:lang w:eastAsia="ar-SA"/>
        </w:rPr>
        <w:t>– №2. – С.53–68.</w:t>
      </w:r>
    </w:p>
    <w:p w14:paraId="41BA891B" w14:textId="77777777"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Капитан, М.</w:t>
      </w:r>
      <w:r w:rsidRPr="003B10E2">
        <w:rPr>
          <w:rFonts w:ascii="Times New Roman" w:eastAsia="Times New Roman" w:hAnsi="Times New Roman"/>
          <w:color w:val="000000"/>
          <w:sz w:val="28"/>
          <w:szCs w:val="28"/>
          <w:lang w:eastAsia="ar-SA"/>
        </w:rPr>
        <w:t xml:space="preserve"> Как изменились вознаграждения / М. Капитан. – Текст: непосредственный // Инвестиции-плюс. – 2003. – № 1(46). – С. 14–19.</w:t>
      </w:r>
    </w:p>
    <w:p w14:paraId="2C2A9DFC" w14:textId="77777777"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iCs/>
          <w:color w:val="000000"/>
          <w:sz w:val="28"/>
          <w:szCs w:val="28"/>
          <w:lang w:eastAsia="ar-SA"/>
        </w:rPr>
        <w:t>Кейнс, Дж. М.</w:t>
      </w:r>
      <w:r w:rsidRPr="003B10E2">
        <w:rPr>
          <w:rFonts w:ascii="Times New Roman" w:eastAsia="Times New Roman" w:hAnsi="Times New Roman"/>
          <w:iCs/>
          <w:color w:val="000000"/>
          <w:sz w:val="28"/>
          <w:szCs w:val="28"/>
          <w:lang w:eastAsia="ar-SA"/>
        </w:rPr>
        <w:t xml:space="preserve"> Метод профессора Тинбергена / Дж. М. Кейнс. </w:t>
      </w:r>
      <w:r w:rsidRPr="003B10E2">
        <w:rPr>
          <w:rFonts w:ascii="Times New Roman" w:eastAsia="Times New Roman" w:hAnsi="Times New Roman"/>
          <w:color w:val="000000"/>
          <w:sz w:val="28"/>
          <w:szCs w:val="28"/>
          <w:lang w:eastAsia="ar-SA"/>
        </w:rPr>
        <w:t>– Текст: непосредственный</w:t>
      </w:r>
      <w:r w:rsidRPr="003B10E2">
        <w:rPr>
          <w:rFonts w:ascii="Times New Roman" w:eastAsia="Times New Roman" w:hAnsi="Times New Roman"/>
          <w:iCs/>
          <w:color w:val="000000"/>
          <w:sz w:val="28"/>
          <w:szCs w:val="28"/>
          <w:lang w:eastAsia="ar-SA"/>
        </w:rPr>
        <w:t xml:space="preserve"> // Вопросы экономики. </w:t>
      </w:r>
      <w:r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iCs/>
          <w:color w:val="000000"/>
          <w:sz w:val="28"/>
          <w:szCs w:val="28"/>
          <w:lang w:eastAsia="ar-SA"/>
        </w:rPr>
        <w:t xml:space="preserve">2007. </w:t>
      </w:r>
      <w:r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iCs/>
          <w:color w:val="000000"/>
          <w:sz w:val="28"/>
          <w:szCs w:val="28"/>
          <w:lang w:eastAsia="ar-SA"/>
        </w:rPr>
        <w:t xml:space="preserve">№ 4. </w:t>
      </w:r>
      <w:r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iCs/>
          <w:color w:val="000000"/>
          <w:sz w:val="28"/>
          <w:szCs w:val="28"/>
          <w:lang w:eastAsia="ar-SA"/>
        </w:rPr>
        <w:t>С. 37</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iCs/>
          <w:color w:val="000000"/>
          <w:sz w:val="28"/>
          <w:szCs w:val="28"/>
          <w:lang w:eastAsia="ar-SA"/>
        </w:rPr>
        <w:t>45.</w:t>
      </w:r>
    </w:p>
    <w:p w14:paraId="79FBA9D4" w14:textId="77777777"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Лялин, С.</w:t>
      </w:r>
      <w:r w:rsidRPr="003B10E2">
        <w:rPr>
          <w:rFonts w:ascii="Times New Roman" w:eastAsia="Times New Roman" w:hAnsi="Times New Roman"/>
          <w:color w:val="000000"/>
          <w:sz w:val="28"/>
          <w:szCs w:val="28"/>
          <w:lang w:eastAsia="ar-SA"/>
        </w:rPr>
        <w:t xml:space="preserve"> Рынок облигаций: итоги 2004 г. и перспективы развития 2005 г. / С. Лялин, К. Лиджиев. – Текст: непосредственный // </w:t>
      </w:r>
      <w:r w:rsidRPr="003B10E2">
        <w:rPr>
          <w:rFonts w:ascii="Times New Roman" w:eastAsia="Times New Roman" w:hAnsi="Times New Roman"/>
          <w:iCs/>
          <w:color w:val="000000"/>
          <w:sz w:val="28"/>
          <w:szCs w:val="28"/>
          <w:lang w:eastAsia="ar-SA"/>
        </w:rPr>
        <w:t xml:space="preserve">Рынок ценных бумаг (РЦБ): международный информационно-аналитический журнал. </w:t>
      </w:r>
      <w:r w:rsidRPr="003B10E2">
        <w:rPr>
          <w:rFonts w:ascii="Times New Roman" w:eastAsia="Times New Roman" w:hAnsi="Times New Roman"/>
          <w:color w:val="000000"/>
          <w:sz w:val="28"/>
          <w:szCs w:val="28"/>
          <w:lang w:eastAsia="ar-SA"/>
        </w:rPr>
        <w:t xml:space="preserve">– Москва, 2004. – № 23. – </w:t>
      </w:r>
      <w:r w:rsidRPr="003B10E2">
        <w:rPr>
          <w:rFonts w:ascii="Times New Roman" w:eastAsia="Times New Roman" w:hAnsi="Times New Roman"/>
          <w:iCs/>
          <w:color w:val="000000"/>
          <w:sz w:val="28"/>
          <w:szCs w:val="28"/>
          <w:lang w:eastAsia="ar-SA"/>
        </w:rPr>
        <w:t>С. 70</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iCs/>
          <w:color w:val="000000"/>
          <w:sz w:val="28"/>
          <w:szCs w:val="28"/>
          <w:lang w:eastAsia="ar-SA"/>
        </w:rPr>
        <w:t>75.</w:t>
      </w:r>
    </w:p>
    <w:p w14:paraId="46AF2FB0" w14:textId="77777777"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iCs/>
          <w:color w:val="000000"/>
          <w:sz w:val="28"/>
          <w:szCs w:val="28"/>
          <w:lang w:eastAsia="ar-SA"/>
        </w:rPr>
        <w:t>Маевский, В.И.</w:t>
      </w:r>
      <w:r w:rsidRPr="003B10E2">
        <w:rPr>
          <w:rFonts w:ascii="Times New Roman" w:eastAsia="Times New Roman" w:hAnsi="Times New Roman"/>
          <w:iCs/>
          <w:color w:val="000000"/>
          <w:sz w:val="28"/>
          <w:szCs w:val="28"/>
          <w:lang w:eastAsia="ar-SA"/>
        </w:rPr>
        <w:t xml:space="preserve"> Реальный сектор и банковская система / В.И. Маевский. </w:t>
      </w:r>
      <w:r w:rsidRPr="003B10E2">
        <w:rPr>
          <w:rFonts w:ascii="Times New Roman" w:eastAsia="Times New Roman" w:hAnsi="Times New Roman"/>
          <w:color w:val="000000"/>
          <w:sz w:val="28"/>
          <w:szCs w:val="28"/>
          <w:lang w:eastAsia="ar-SA"/>
        </w:rPr>
        <w:t>– Текст: непосредственный</w:t>
      </w:r>
      <w:r w:rsidRPr="003B10E2">
        <w:rPr>
          <w:rFonts w:ascii="Times New Roman" w:eastAsia="Times New Roman" w:hAnsi="Times New Roman"/>
          <w:iCs/>
          <w:color w:val="000000"/>
          <w:sz w:val="28"/>
          <w:szCs w:val="28"/>
          <w:lang w:eastAsia="ar-SA"/>
        </w:rPr>
        <w:t xml:space="preserve"> // Журнал Новой экономической ассоциации. </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iCs/>
          <w:color w:val="000000"/>
          <w:sz w:val="28"/>
          <w:szCs w:val="28"/>
          <w:lang w:eastAsia="ar-SA"/>
        </w:rPr>
        <w:t xml:space="preserve"> 2009. </w:t>
      </w:r>
      <w:r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iCs/>
          <w:color w:val="000000"/>
          <w:sz w:val="28"/>
          <w:szCs w:val="28"/>
          <w:lang w:eastAsia="ar-SA"/>
        </w:rPr>
        <w:t xml:space="preserve">№ 1-2. </w:t>
      </w:r>
      <w:r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iCs/>
          <w:color w:val="000000"/>
          <w:sz w:val="28"/>
          <w:szCs w:val="28"/>
          <w:lang w:eastAsia="ar-SA"/>
        </w:rPr>
        <w:t>С. 245–249.</w:t>
      </w:r>
    </w:p>
    <w:p w14:paraId="49C54E93" w14:textId="77777777"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iCs/>
          <w:color w:val="000000"/>
          <w:sz w:val="28"/>
          <w:szCs w:val="28"/>
          <w:lang w:eastAsia="ar-SA"/>
        </w:rPr>
        <w:t>Мазукабзова, Б.</w:t>
      </w:r>
      <w:r w:rsidRPr="003B10E2">
        <w:rPr>
          <w:rFonts w:ascii="Times New Roman" w:eastAsia="Times New Roman" w:hAnsi="Times New Roman"/>
          <w:iCs/>
          <w:color w:val="000000"/>
          <w:sz w:val="28"/>
          <w:szCs w:val="28"/>
          <w:lang w:eastAsia="ar-SA"/>
        </w:rPr>
        <w:t xml:space="preserve"> Роль кредитно-дефолтных свопов в мировом кризисе / Б. Мазукабзова. </w:t>
      </w:r>
      <w:r w:rsidRPr="003B10E2">
        <w:rPr>
          <w:rFonts w:ascii="Times New Roman" w:eastAsia="Times New Roman" w:hAnsi="Times New Roman"/>
          <w:color w:val="000000"/>
          <w:sz w:val="28"/>
          <w:szCs w:val="28"/>
          <w:lang w:eastAsia="ar-SA"/>
        </w:rPr>
        <w:t>– Текст: непосредственный</w:t>
      </w:r>
      <w:r w:rsidRPr="003B10E2">
        <w:rPr>
          <w:rFonts w:ascii="Times New Roman" w:eastAsia="Times New Roman" w:hAnsi="Times New Roman"/>
          <w:iCs/>
          <w:color w:val="000000"/>
          <w:sz w:val="28"/>
          <w:szCs w:val="28"/>
          <w:lang w:eastAsia="ar-SA"/>
        </w:rPr>
        <w:t xml:space="preserve"> // Вопросы экономики. </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iCs/>
          <w:color w:val="000000"/>
          <w:sz w:val="28"/>
          <w:szCs w:val="28"/>
          <w:lang w:eastAsia="ar-SA"/>
        </w:rPr>
        <w:t xml:space="preserve"> 2009. </w:t>
      </w:r>
      <w:r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iCs/>
          <w:color w:val="000000"/>
          <w:sz w:val="28"/>
          <w:szCs w:val="28"/>
          <w:lang w:eastAsia="ar-SA"/>
        </w:rPr>
        <w:t xml:space="preserve">№7. </w:t>
      </w:r>
      <w:r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iCs/>
          <w:color w:val="000000"/>
          <w:sz w:val="28"/>
          <w:szCs w:val="28"/>
          <w:lang w:eastAsia="ar-SA"/>
        </w:rPr>
        <w:t>С. 144–146.</w:t>
      </w:r>
    </w:p>
    <w:p w14:paraId="31643CDD" w14:textId="77777777"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sz w:val="28"/>
          <w:szCs w:val="28"/>
          <w:lang w:eastAsia="ar-SA"/>
        </w:rPr>
      </w:pPr>
      <w:r w:rsidRPr="003B10E2">
        <w:rPr>
          <w:rFonts w:ascii="Times New Roman" w:eastAsia="Times New Roman" w:hAnsi="Times New Roman"/>
          <w:b/>
          <w:sz w:val="28"/>
          <w:szCs w:val="28"/>
          <w:lang w:eastAsia="ar-SA"/>
        </w:rPr>
        <w:t>Машкина, Н.А.</w:t>
      </w:r>
      <w:r w:rsidRPr="003B10E2">
        <w:rPr>
          <w:rFonts w:ascii="Times New Roman" w:eastAsia="Times New Roman" w:hAnsi="Times New Roman"/>
          <w:sz w:val="28"/>
          <w:szCs w:val="28"/>
          <w:lang w:eastAsia="ar-SA"/>
        </w:rPr>
        <w:t xml:space="preserve"> Проблемы развития финансового рынка современной России / Н.А. Машкина, О.В. Асеев, А.Е. Велиев. – Текст: непосредственный // Известия Юго-Западного государственного университета. – 2019. – Т. 9. – №1(30). – С.148–158.</w:t>
      </w:r>
    </w:p>
    <w:p w14:paraId="6D7FAD7E" w14:textId="77777777"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Михайлов, А.Ю.</w:t>
      </w:r>
      <w:r w:rsidRPr="003B10E2">
        <w:rPr>
          <w:rFonts w:ascii="Times New Roman" w:eastAsia="Times New Roman" w:hAnsi="Times New Roman"/>
          <w:color w:val="000000"/>
          <w:sz w:val="28"/>
          <w:szCs w:val="28"/>
          <w:lang w:eastAsia="ar-SA"/>
        </w:rPr>
        <w:t xml:space="preserve"> Аллокация ресурсов для метода критической цепи / А.Ю. Михайлов. – Текст: непосредственный // Экономика и предпринимательство. – Москва, 2014. – № 11. </w:t>
      </w:r>
      <w:r w:rsidRPr="003B10E2">
        <w:rPr>
          <w:rFonts w:ascii="Times New Roman" w:eastAsia="Times New Roman" w:hAnsi="Times New Roman"/>
          <w:iCs/>
          <w:color w:val="000000"/>
          <w:sz w:val="28"/>
          <w:szCs w:val="28"/>
          <w:lang w:eastAsia="ar-SA"/>
        </w:rPr>
        <w:t>–</w:t>
      </w:r>
      <w:r w:rsidRPr="003B10E2">
        <w:rPr>
          <w:rFonts w:ascii="Times New Roman" w:eastAsia="Times New Roman" w:hAnsi="Times New Roman"/>
          <w:color w:val="000000"/>
          <w:sz w:val="28"/>
          <w:szCs w:val="28"/>
          <w:lang w:eastAsia="ar-SA"/>
        </w:rPr>
        <w:t xml:space="preserve"> С. 536–539. </w:t>
      </w:r>
    </w:p>
    <w:p w14:paraId="562FB85A" w14:textId="77777777"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Михайлов, А.Ю.</w:t>
      </w:r>
      <w:r w:rsidRPr="003B10E2">
        <w:rPr>
          <w:rFonts w:ascii="Times New Roman" w:eastAsia="Times New Roman" w:hAnsi="Times New Roman"/>
          <w:color w:val="000000"/>
          <w:sz w:val="28"/>
          <w:szCs w:val="28"/>
          <w:lang w:eastAsia="ar-SA"/>
        </w:rPr>
        <w:t xml:space="preserve"> Банк развития в структуре Шанхайской организации сотрудничества / А.Ю. Михайлов, Е.О. Князева. – Текст: непосредственный // Национальные интересы: приоритеты и безопасность. – 2015. – № 39. – C. 38–47.</w:t>
      </w:r>
    </w:p>
    <w:p w14:paraId="7FC03F04" w14:textId="77777777"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Михайлов, А.Ю.</w:t>
      </w:r>
      <w:r w:rsidRPr="003B10E2">
        <w:rPr>
          <w:rFonts w:ascii="Times New Roman" w:eastAsia="Times New Roman" w:hAnsi="Times New Roman"/>
          <w:color w:val="000000"/>
          <w:sz w:val="28"/>
          <w:szCs w:val="28"/>
          <w:lang w:eastAsia="ar-SA"/>
        </w:rPr>
        <w:t xml:space="preserve"> Взаимосвязь макроэкономических параметров и доходности российских государственных облигаций / А.Ю. Михайлов. – Текст: непосредственный // Финансы и кредит. – Москва, 2016. – № 48. – С. 18–28. </w:t>
      </w:r>
    </w:p>
    <w:p w14:paraId="0D3E72FE" w14:textId="77777777"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Михайлов, А.Ю</w:t>
      </w:r>
      <w:r w:rsidRPr="003B10E2">
        <w:rPr>
          <w:rFonts w:ascii="Times New Roman" w:eastAsia="Times New Roman" w:hAnsi="Times New Roman"/>
          <w:color w:val="000000"/>
          <w:sz w:val="28"/>
          <w:szCs w:val="28"/>
          <w:lang w:eastAsia="ar-SA"/>
        </w:rPr>
        <w:t xml:space="preserve">. Взаимосвязь цен на нефть и макроэкономических показателей в России / А.Ю. Михайлов. Д.В. Бураков, В.Ю. Диденко. – Текст: непосредственный // Финансы: теория и практика. – 2019. – №23(2). – С.105–116. </w:t>
      </w:r>
    </w:p>
    <w:p w14:paraId="2FCE3B8A" w14:textId="77777777"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iCs/>
          <w:sz w:val="28"/>
          <w:szCs w:val="28"/>
          <w:lang w:eastAsia="ar-SA"/>
        </w:rPr>
        <w:t>Михайлов, А.Ю.</w:t>
      </w:r>
      <w:r w:rsidRPr="003B10E2">
        <w:rPr>
          <w:rFonts w:ascii="Times New Roman" w:eastAsia="Times New Roman" w:hAnsi="Times New Roman"/>
          <w:iCs/>
          <w:sz w:val="28"/>
          <w:szCs w:val="28"/>
          <w:lang w:eastAsia="ar-SA"/>
        </w:rPr>
        <w:t xml:space="preserve"> Влияние снижения вознаграждения майнеров на ценообразование биткоина / А.Ю. Михайлов, А.А. Мейнхард. </w:t>
      </w:r>
      <w:r w:rsidRPr="003B10E2">
        <w:rPr>
          <w:rFonts w:ascii="Times New Roman" w:eastAsia="Times New Roman" w:hAnsi="Times New Roman"/>
          <w:color w:val="000000"/>
          <w:sz w:val="28"/>
          <w:szCs w:val="28"/>
          <w:lang w:eastAsia="ar-SA"/>
        </w:rPr>
        <w:t>– Текст: непосредственный</w:t>
      </w:r>
      <w:r w:rsidRPr="003B10E2">
        <w:rPr>
          <w:rFonts w:ascii="Times New Roman" w:eastAsia="Times New Roman" w:hAnsi="Times New Roman"/>
          <w:iCs/>
          <w:sz w:val="28"/>
          <w:szCs w:val="28"/>
          <w:lang w:eastAsia="ar-SA"/>
        </w:rPr>
        <w:t xml:space="preserve"> // Финансы и кредит. </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iCs/>
          <w:sz w:val="28"/>
          <w:szCs w:val="28"/>
          <w:lang w:eastAsia="ar-SA"/>
        </w:rPr>
        <w:t xml:space="preserve"> 2019. </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iCs/>
          <w:sz w:val="28"/>
          <w:szCs w:val="28"/>
          <w:lang w:eastAsia="ar-SA"/>
        </w:rPr>
        <w:t xml:space="preserve"> Т. 25. </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iCs/>
          <w:sz w:val="28"/>
          <w:szCs w:val="28"/>
          <w:lang w:eastAsia="ar-SA"/>
        </w:rPr>
        <w:t xml:space="preserve"> № 11. </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iCs/>
          <w:sz w:val="28"/>
          <w:szCs w:val="28"/>
          <w:lang w:eastAsia="ar-SA"/>
        </w:rPr>
        <w:t xml:space="preserve"> С. 2453</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iCs/>
          <w:sz w:val="28"/>
          <w:szCs w:val="28"/>
          <w:lang w:eastAsia="ar-SA"/>
        </w:rPr>
        <w:t xml:space="preserve">2467. </w:t>
      </w:r>
    </w:p>
    <w:p w14:paraId="15CED8A1" w14:textId="77777777"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Михайлов, А.Ю.</w:t>
      </w:r>
      <w:r w:rsidRPr="003B10E2">
        <w:rPr>
          <w:rFonts w:ascii="Times New Roman" w:eastAsia="Times New Roman" w:hAnsi="Times New Roman"/>
          <w:color w:val="000000"/>
          <w:sz w:val="28"/>
          <w:szCs w:val="28"/>
          <w:lang w:eastAsia="ar-SA"/>
        </w:rPr>
        <w:t xml:space="preserve"> Временная структура ставок государственных облигаций / А.Ю. Михайлов. – Текст: непосредственный // Финансовая аналитика: проблемы и решения. – Москва, 2015. – № 38. – С. 42–52.</w:t>
      </w:r>
    </w:p>
    <w:p w14:paraId="3B595482" w14:textId="77777777"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Михайлов, А.Ю.</w:t>
      </w:r>
      <w:r w:rsidRPr="003B10E2">
        <w:rPr>
          <w:rFonts w:ascii="Times New Roman" w:eastAsia="Times New Roman" w:hAnsi="Times New Roman"/>
          <w:color w:val="000000"/>
          <w:sz w:val="28"/>
          <w:szCs w:val="28"/>
          <w:lang w:eastAsia="ar-SA"/>
        </w:rPr>
        <w:t xml:space="preserve"> Государственный пенсионный фонд Норвегии (GPFG): оптимальное соотношение потребления и сбережения / А.Ю. Михайлов. – Текст: непосредственный // Банковское дело. – Москва, 2016. – № 3. – С. 37–41. </w:t>
      </w:r>
    </w:p>
    <w:p w14:paraId="6D0BC5A8" w14:textId="77777777"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Михайлов, А.Ю.</w:t>
      </w:r>
      <w:r w:rsidRPr="003B10E2">
        <w:rPr>
          <w:rFonts w:ascii="Times New Roman" w:eastAsia="Times New Roman" w:hAnsi="Times New Roman"/>
          <w:color w:val="000000"/>
          <w:sz w:val="28"/>
          <w:szCs w:val="28"/>
          <w:lang w:eastAsia="ar-SA"/>
        </w:rPr>
        <w:t xml:space="preserve"> Индивидуальный инвестиционный счет в России / А.Ю. Михайлов. – Текст: непосредственный // Банковское право. – Москва, 2017. – № 3. – С. 38–44.</w:t>
      </w:r>
    </w:p>
    <w:p w14:paraId="77AAB457" w14:textId="77777777"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Михайлов, А.Ю.</w:t>
      </w:r>
      <w:r w:rsidRPr="003B10E2">
        <w:rPr>
          <w:rFonts w:ascii="Times New Roman" w:eastAsia="Times New Roman" w:hAnsi="Times New Roman"/>
          <w:color w:val="000000"/>
          <w:sz w:val="28"/>
          <w:szCs w:val="28"/>
          <w:lang w:eastAsia="ar-SA"/>
        </w:rPr>
        <w:t xml:space="preserve"> Модель оценки эффективности хеджирования на основе стандарта SFAS 133 / А.Ю. Михайлов. – Текст: непосредственный // Финансовая аналитика: проблемы и решения. – Москва, 2012. – № 26. – С. 40–45. </w:t>
      </w:r>
    </w:p>
    <w:p w14:paraId="6AD5669D" w14:textId="77777777"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Михайлов, А.Ю.</w:t>
      </w:r>
      <w:r w:rsidRPr="003B10E2">
        <w:rPr>
          <w:rFonts w:ascii="Times New Roman" w:eastAsia="Times New Roman" w:hAnsi="Times New Roman"/>
          <w:color w:val="000000"/>
          <w:sz w:val="28"/>
          <w:szCs w:val="28"/>
          <w:lang w:eastAsia="ar-SA"/>
        </w:rPr>
        <w:t xml:space="preserve"> Нефтегазовые доходы бюджета в 2015 году: прогноз и риски / А.Ю. Михайлов. – Текст: непосредственный // Финансовый журнал. – Москва, 2015. – № 2. – С. 47–54. </w:t>
      </w:r>
    </w:p>
    <w:p w14:paraId="17CE7C5D" w14:textId="77777777"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Михайлов, А.Ю.</w:t>
      </w:r>
      <w:r w:rsidRPr="003B10E2">
        <w:rPr>
          <w:rFonts w:ascii="Times New Roman" w:eastAsia="Times New Roman" w:hAnsi="Times New Roman"/>
          <w:color w:val="000000"/>
          <w:sz w:val="28"/>
          <w:szCs w:val="28"/>
          <w:lang w:eastAsia="ar-SA"/>
        </w:rPr>
        <w:t xml:space="preserve"> Определение склонности инвестора к риску / А.Ю. Михайлов. – Текст: непосредственный // Экономика и предпринимательство. – Москва, 2013. – № 4. – С. 528–531.</w:t>
      </w:r>
    </w:p>
    <w:p w14:paraId="6785C1D7" w14:textId="77777777"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Михайлов, А.Ю.</w:t>
      </w:r>
      <w:r w:rsidRPr="003B10E2">
        <w:rPr>
          <w:rFonts w:ascii="Times New Roman" w:eastAsia="Times New Roman" w:hAnsi="Times New Roman"/>
          <w:color w:val="000000"/>
          <w:sz w:val="28"/>
          <w:szCs w:val="28"/>
          <w:lang w:eastAsia="ar-SA"/>
        </w:rPr>
        <w:t xml:space="preserve"> Оценка эффективности функционировании инвестиционных фондов / А.Ю. Михайлов. – Текст: непосредственный // Экономика и предпринимательство. – Москва, 2012. – № 4. – С. 116–121. </w:t>
      </w:r>
    </w:p>
    <w:p w14:paraId="116A4EF1" w14:textId="77777777"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Михайлов, А.Ю.</w:t>
      </w:r>
      <w:r w:rsidRPr="003B10E2">
        <w:rPr>
          <w:rFonts w:ascii="Times New Roman" w:eastAsia="Times New Roman" w:hAnsi="Times New Roman"/>
          <w:color w:val="000000"/>
          <w:sz w:val="28"/>
          <w:szCs w:val="28"/>
          <w:lang w:eastAsia="ar-SA"/>
        </w:rPr>
        <w:t xml:space="preserve"> Оценка эффективности функционирования инвестиционных фондов / А.Ю. Михайлов. – Текст: непосредственный // Финансовая аналитика: проблемы и решения. – Москва, 2012. – № 4. – С. 43–53.</w:t>
      </w:r>
    </w:p>
    <w:p w14:paraId="3663345D" w14:textId="77777777"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Михайлов, А.Ю.</w:t>
      </w:r>
      <w:r w:rsidRPr="003B10E2">
        <w:rPr>
          <w:rFonts w:ascii="Times New Roman" w:eastAsia="Times New Roman" w:hAnsi="Times New Roman"/>
          <w:color w:val="000000"/>
          <w:sz w:val="28"/>
          <w:szCs w:val="28"/>
          <w:lang w:eastAsia="ar-SA"/>
        </w:rPr>
        <w:t xml:space="preserve"> Оценка эффективности функционирования инвестиционных фондов в России / А.Ю. Михайлов. – Текст: непосредственный // Вестник Института Экономики РАН. – Москва, 2012. – № 5. – С. 121–129.</w:t>
      </w:r>
    </w:p>
    <w:p w14:paraId="16DCB233" w14:textId="77777777"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Михайлов, А.Ю.</w:t>
      </w:r>
      <w:r w:rsidRPr="003B10E2">
        <w:rPr>
          <w:rFonts w:ascii="Times New Roman" w:eastAsia="Times New Roman" w:hAnsi="Times New Roman"/>
          <w:color w:val="000000"/>
          <w:sz w:val="28"/>
          <w:szCs w:val="28"/>
          <w:lang w:eastAsia="ar-SA"/>
        </w:rPr>
        <w:t xml:space="preserve"> Переток волатильности между фондовыми и валютными рынками в развивающихся экономиках / А.Ю. Михайлов. – Текст: непосредственный // Банковское дело. – Москва, 2016. – № 5. – С. 55–62. </w:t>
      </w:r>
    </w:p>
    <w:p w14:paraId="2BACFCE9" w14:textId="77777777"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Михайлов, А.Ю.</w:t>
      </w:r>
      <w:r w:rsidRPr="003B10E2">
        <w:rPr>
          <w:rFonts w:ascii="Times New Roman" w:eastAsia="Times New Roman" w:hAnsi="Times New Roman"/>
          <w:color w:val="000000"/>
          <w:sz w:val="28"/>
          <w:szCs w:val="28"/>
          <w:lang w:eastAsia="ar-SA"/>
        </w:rPr>
        <w:t xml:space="preserve"> Переток волатильности на рынке государственных облигаций стран еврозоны / А.Ю. Михайлов. – Текст: непосредственный // Банковское дело – Москва, 2016. – № 9. – С. 37–41.</w:t>
      </w:r>
    </w:p>
    <w:p w14:paraId="266F3AD5" w14:textId="77777777"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Михайлов, А.Ю.</w:t>
      </w:r>
      <w:r w:rsidRPr="003B10E2">
        <w:rPr>
          <w:rFonts w:ascii="Times New Roman" w:eastAsia="Times New Roman" w:hAnsi="Times New Roman"/>
          <w:color w:val="000000"/>
          <w:sz w:val="28"/>
          <w:szCs w:val="28"/>
          <w:lang w:eastAsia="ar-SA"/>
        </w:rPr>
        <w:t xml:space="preserve"> Прогнозирование доходности российских государственных облигаций / А.Ю. Михайлов. – Текст: непосредственный // Банковское дело. – Москва, 2015. – № 9. – С. 62–65. </w:t>
      </w:r>
    </w:p>
    <w:p w14:paraId="1430BC19" w14:textId="77777777"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Михайлов, А.Ю.</w:t>
      </w:r>
      <w:r w:rsidRPr="003B10E2">
        <w:rPr>
          <w:rFonts w:ascii="Times New Roman" w:eastAsia="Times New Roman" w:hAnsi="Times New Roman"/>
          <w:color w:val="000000"/>
          <w:sz w:val="28"/>
          <w:szCs w:val="28"/>
          <w:lang w:eastAsia="ar-SA"/>
        </w:rPr>
        <w:t xml:space="preserve"> Теория оценки стоимости криптоактивов / А.Ю. Михайлов. // Финансовая аналитика: проблемы и решения. – Москва, 2017. – Т.10. – № 6. – С. 691–700.</w:t>
      </w:r>
    </w:p>
    <w:p w14:paraId="2CACBFD5" w14:textId="77777777"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Михайлов, А.Ю.</w:t>
      </w:r>
      <w:r w:rsidRPr="003B10E2">
        <w:rPr>
          <w:rFonts w:ascii="Times New Roman" w:eastAsia="Times New Roman" w:hAnsi="Times New Roman"/>
          <w:color w:val="000000"/>
          <w:sz w:val="28"/>
          <w:szCs w:val="28"/>
          <w:lang w:eastAsia="ar-SA"/>
        </w:rPr>
        <w:t xml:space="preserve"> Факторы развития экономики России в 2015 году / А.Ю. Михайлов. – Текст: непосредственный // Вопросы регулирования экономики. – Москва, 2014. – Т5. – №4. – С. 62–69.</w:t>
      </w:r>
    </w:p>
    <w:p w14:paraId="7A48236B" w14:textId="77777777"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Михайлов, А.Ю.</w:t>
      </w:r>
      <w:r w:rsidRPr="003B10E2">
        <w:rPr>
          <w:rFonts w:ascii="Times New Roman" w:eastAsia="Times New Roman" w:hAnsi="Times New Roman"/>
          <w:color w:val="000000"/>
          <w:sz w:val="28"/>
          <w:szCs w:val="28"/>
          <w:lang w:eastAsia="ar-SA"/>
        </w:rPr>
        <w:t xml:space="preserve"> Ценообразование на рынке нефти и влияние на фондовые рынки / А.Ю. Михайлов, Т.Ф. Бурова. – Текст: непосредственный // Деньги и кредит. – М., 2017. – № 12. – С. 45–55.</w:t>
      </w:r>
    </w:p>
    <w:p w14:paraId="3C83C64B" w14:textId="77777777"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Михайлов, А.Ю.</w:t>
      </w:r>
      <w:r w:rsidRPr="003B10E2">
        <w:rPr>
          <w:rFonts w:ascii="Times New Roman" w:eastAsia="Times New Roman" w:hAnsi="Times New Roman"/>
          <w:color w:val="000000"/>
          <w:sz w:val="28"/>
          <w:szCs w:val="28"/>
          <w:lang w:eastAsia="ar-SA"/>
        </w:rPr>
        <w:t xml:space="preserve"> Эффективность использования активов инвестиционных фондов на основе GIPS / А.Ю. Михайлов. – Текст: непосредственный // Экономика и предпринимательство. – Москва, 2013. – № 4. – С. 372–375.</w:t>
      </w:r>
    </w:p>
    <w:p w14:paraId="265AFFFE" w14:textId="77777777"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iCs/>
          <w:color w:val="000000"/>
          <w:sz w:val="28"/>
          <w:szCs w:val="28"/>
          <w:lang w:eastAsia="ar-SA"/>
        </w:rPr>
        <w:t>Моисеев, С.</w:t>
      </w:r>
      <w:r w:rsidRPr="003B10E2">
        <w:rPr>
          <w:rFonts w:ascii="Times New Roman" w:eastAsia="Times New Roman" w:hAnsi="Times New Roman"/>
          <w:iCs/>
          <w:color w:val="000000"/>
          <w:sz w:val="28"/>
          <w:szCs w:val="28"/>
          <w:lang w:eastAsia="ar-SA"/>
        </w:rPr>
        <w:t xml:space="preserve"> Политика поддержания финансовой стабильности / С. Моисеев. </w:t>
      </w:r>
      <w:r w:rsidRPr="003B10E2">
        <w:rPr>
          <w:rFonts w:ascii="Times New Roman" w:eastAsia="Times New Roman" w:hAnsi="Times New Roman"/>
          <w:color w:val="000000"/>
          <w:sz w:val="28"/>
          <w:szCs w:val="28"/>
          <w:lang w:eastAsia="ar-SA"/>
        </w:rPr>
        <w:t>– Текст: непосредственный</w:t>
      </w:r>
      <w:r w:rsidRPr="003B10E2">
        <w:rPr>
          <w:rFonts w:ascii="Times New Roman" w:eastAsia="Times New Roman" w:hAnsi="Times New Roman"/>
          <w:iCs/>
          <w:color w:val="000000"/>
          <w:sz w:val="28"/>
          <w:szCs w:val="28"/>
          <w:lang w:eastAsia="ar-SA"/>
        </w:rPr>
        <w:t xml:space="preserve"> // Вопросы экономики. </w:t>
      </w:r>
      <w:r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iCs/>
          <w:color w:val="000000"/>
          <w:sz w:val="28"/>
          <w:szCs w:val="28"/>
          <w:lang w:eastAsia="ar-SA"/>
        </w:rPr>
        <w:t xml:space="preserve">2008. </w:t>
      </w:r>
      <w:r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iCs/>
          <w:color w:val="000000"/>
          <w:sz w:val="28"/>
          <w:szCs w:val="28"/>
          <w:lang w:eastAsia="ar-SA"/>
        </w:rPr>
        <w:t xml:space="preserve">№ 11. </w:t>
      </w:r>
      <w:r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iCs/>
          <w:color w:val="000000"/>
          <w:sz w:val="28"/>
          <w:szCs w:val="28"/>
          <w:lang w:eastAsia="ar-SA"/>
        </w:rPr>
        <w:t>С. 51</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iCs/>
          <w:color w:val="000000"/>
          <w:sz w:val="28"/>
          <w:szCs w:val="28"/>
          <w:lang w:eastAsia="ar-SA"/>
        </w:rPr>
        <w:t>61.</w:t>
      </w:r>
    </w:p>
    <w:p w14:paraId="0C1B7776" w14:textId="77777777"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iCs/>
          <w:color w:val="000000"/>
          <w:sz w:val="28"/>
          <w:szCs w:val="28"/>
          <w:lang w:eastAsia="ar-SA"/>
        </w:rPr>
        <w:t>Смирнов, А.Д.</w:t>
      </w:r>
      <w:r w:rsidRPr="003B10E2">
        <w:rPr>
          <w:rFonts w:ascii="Times New Roman" w:eastAsia="Times New Roman" w:hAnsi="Times New Roman"/>
          <w:iCs/>
          <w:color w:val="000000"/>
          <w:sz w:val="28"/>
          <w:szCs w:val="28"/>
          <w:lang w:eastAsia="ar-SA"/>
        </w:rPr>
        <w:t xml:space="preserve"> Монетизация глобального долга: погашение или кризис? / А.Д. Смирнов. </w:t>
      </w:r>
      <w:r w:rsidRPr="003B10E2">
        <w:rPr>
          <w:rFonts w:ascii="Times New Roman" w:eastAsia="Times New Roman" w:hAnsi="Times New Roman"/>
          <w:color w:val="000000"/>
          <w:sz w:val="28"/>
          <w:szCs w:val="28"/>
          <w:lang w:eastAsia="ar-SA"/>
        </w:rPr>
        <w:t>– Текст: непосредственный</w:t>
      </w:r>
      <w:r w:rsidRPr="003B10E2">
        <w:rPr>
          <w:rFonts w:ascii="Times New Roman" w:eastAsia="Times New Roman" w:hAnsi="Times New Roman"/>
          <w:iCs/>
          <w:color w:val="000000"/>
          <w:sz w:val="28"/>
          <w:szCs w:val="28"/>
          <w:lang w:eastAsia="ar-SA"/>
        </w:rPr>
        <w:t xml:space="preserve"> // Экономический журнал ГУ ВШЭ. </w:t>
      </w:r>
      <w:r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iCs/>
          <w:color w:val="000000"/>
          <w:sz w:val="28"/>
          <w:szCs w:val="28"/>
          <w:lang w:eastAsia="ar-SA"/>
        </w:rPr>
        <w:t xml:space="preserve">2007. </w:t>
      </w:r>
      <w:r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iCs/>
          <w:color w:val="000000"/>
          <w:sz w:val="28"/>
          <w:szCs w:val="28"/>
          <w:lang w:eastAsia="ar-SA"/>
        </w:rPr>
        <w:t xml:space="preserve">№ 4. </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iCs/>
          <w:color w:val="000000"/>
          <w:sz w:val="28"/>
          <w:szCs w:val="28"/>
          <w:lang w:eastAsia="ar-SA"/>
        </w:rPr>
        <w:t xml:space="preserve"> С. 467</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iCs/>
          <w:color w:val="000000"/>
          <w:sz w:val="28"/>
          <w:szCs w:val="28"/>
          <w:lang w:eastAsia="ar-SA"/>
        </w:rPr>
        <w:t>519.</w:t>
      </w:r>
    </w:p>
    <w:p w14:paraId="14C2A896" w14:textId="77777777"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Степанова, Е.А.</w:t>
      </w:r>
      <w:r w:rsidRPr="003B10E2">
        <w:rPr>
          <w:rFonts w:ascii="Times New Roman" w:eastAsia="Times New Roman" w:hAnsi="Times New Roman"/>
          <w:color w:val="000000"/>
          <w:sz w:val="28"/>
          <w:szCs w:val="28"/>
          <w:lang w:eastAsia="ar-SA"/>
        </w:rPr>
        <w:t xml:space="preserve"> Определение приоритетности медицинских проектов / Е.А. Степанова, А.Ю. Михайлов. – Текст: непосредственный // Национальные интересы: приоритеты и безопасность. – 2015. – № 40. – C. 35–46. </w:t>
      </w:r>
    </w:p>
    <w:p w14:paraId="0ACA373F" w14:textId="77777777"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iCs/>
          <w:color w:val="000000"/>
          <w:sz w:val="28"/>
          <w:szCs w:val="28"/>
          <w:lang w:eastAsia="ar-SA"/>
        </w:rPr>
        <w:t>Столбов, М.И.</w:t>
      </w:r>
      <w:r w:rsidRPr="003B10E2">
        <w:rPr>
          <w:rFonts w:ascii="Times New Roman" w:eastAsia="Times New Roman" w:hAnsi="Times New Roman"/>
          <w:iCs/>
          <w:color w:val="000000"/>
          <w:sz w:val="28"/>
          <w:szCs w:val="28"/>
          <w:lang w:eastAsia="ar-SA"/>
        </w:rPr>
        <w:t xml:space="preserve"> О некоторых последствиях внедрения блокчейна в финансах / М.И. Столбов. </w:t>
      </w:r>
      <w:r w:rsidRPr="003B10E2">
        <w:rPr>
          <w:rFonts w:ascii="Times New Roman" w:eastAsia="Times New Roman" w:hAnsi="Times New Roman"/>
          <w:color w:val="000000"/>
          <w:sz w:val="28"/>
          <w:szCs w:val="28"/>
          <w:lang w:eastAsia="ar-SA"/>
        </w:rPr>
        <w:t xml:space="preserve">– Текст: непосредственный </w:t>
      </w:r>
      <w:r w:rsidRPr="003B10E2">
        <w:rPr>
          <w:rFonts w:ascii="Times New Roman" w:eastAsia="Times New Roman" w:hAnsi="Times New Roman"/>
          <w:iCs/>
          <w:color w:val="000000"/>
          <w:sz w:val="28"/>
          <w:szCs w:val="28"/>
          <w:lang w:eastAsia="ar-SA"/>
        </w:rPr>
        <w:t xml:space="preserve">// Вопросы экономики. </w:t>
      </w:r>
      <w:r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iCs/>
          <w:color w:val="000000"/>
          <w:sz w:val="28"/>
          <w:szCs w:val="28"/>
          <w:lang w:eastAsia="ar-SA"/>
        </w:rPr>
        <w:t xml:space="preserve">2018. </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iCs/>
          <w:color w:val="000000"/>
          <w:sz w:val="28"/>
          <w:szCs w:val="28"/>
          <w:lang w:eastAsia="ar-SA"/>
        </w:rPr>
        <w:t xml:space="preserve"> №6. </w:t>
      </w:r>
      <w:r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iCs/>
          <w:color w:val="000000"/>
          <w:sz w:val="28"/>
          <w:szCs w:val="28"/>
          <w:lang w:eastAsia="ar-SA"/>
        </w:rPr>
        <w:t>С. 133</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iCs/>
          <w:color w:val="000000"/>
          <w:sz w:val="28"/>
          <w:szCs w:val="28"/>
          <w:lang w:eastAsia="ar-SA"/>
        </w:rPr>
        <w:t>145.</w:t>
      </w:r>
    </w:p>
    <w:p w14:paraId="0AB61A92" w14:textId="77777777"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iCs/>
          <w:color w:val="000000"/>
          <w:sz w:val="28"/>
          <w:szCs w:val="28"/>
          <w:lang w:eastAsia="ar-SA"/>
        </w:rPr>
        <w:t>Фаджиоло, Д.</w:t>
      </w:r>
      <w:r w:rsidRPr="003B10E2">
        <w:rPr>
          <w:rFonts w:ascii="Times New Roman" w:eastAsia="Times New Roman" w:hAnsi="Times New Roman"/>
          <w:iCs/>
          <w:color w:val="000000"/>
          <w:sz w:val="28"/>
          <w:szCs w:val="28"/>
          <w:lang w:eastAsia="ar-SA"/>
        </w:rPr>
        <w:t xml:space="preserve"> О научном статусе экономической политики: повесть об альтернативных парадигмах / Д. Фаджиоло, А. Ровентини.  </w:t>
      </w:r>
      <w:r w:rsidRPr="003B10E2">
        <w:rPr>
          <w:rFonts w:ascii="Times New Roman" w:eastAsia="Times New Roman" w:hAnsi="Times New Roman"/>
          <w:color w:val="000000"/>
          <w:sz w:val="28"/>
          <w:szCs w:val="28"/>
          <w:lang w:eastAsia="ar-SA"/>
        </w:rPr>
        <w:t>– Текст: непосредственный</w:t>
      </w:r>
      <w:r w:rsidRPr="003B10E2">
        <w:rPr>
          <w:rFonts w:ascii="Times New Roman" w:eastAsia="Times New Roman" w:hAnsi="Times New Roman"/>
          <w:iCs/>
          <w:color w:val="000000"/>
          <w:sz w:val="28"/>
          <w:szCs w:val="28"/>
          <w:lang w:eastAsia="ar-SA"/>
        </w:rPr>
        <w:t xml:space="preserve"> // Вопросы экономики. </w:t>
      </w:r>
      <w:r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iCs/>
          <w:color w:val="000000"/>
          <w:sz w:val="28"/>
          <w:szCs w:val="28"/>
          <w:lang w:eastAsia="ar-SA"/>
        </w:rPr>
        <w:t xml:space="preserve">2009. </w:t>
      </w:r>
      <w:r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iCs/>
          <w:color w:val="000000"/>
          <w:sz w:val="28"/>
          <w:szCs w:val="28"/>
          <w:lang w:eastAsia="ar-SA"/>
        </w:rPr>
        <w:t xml:space="preserve">№ 6. </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iCs/>
          <w:color w:val="000000"/>
          <w:sz w:val="28"/>
          <w:szCs w:val="28"/>
          <w:lang w:eastAsia="ar-SA"/>
        </w:rPr>
        <w:t xml:space="preserve"> С. 24</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iCs/>
          <w:color w:val="000000"/>
          <w:sz w:val="28"/>
          <w:szCs w:val="28"/>
          <w:lang w:eastAsia="ar-SA"/>
        </w:rPr>
        <w:t>47.</w:t>
      </w:r>
    </w:p>
    <w:p w14:paraId="07260CBD" w14:textId="77777777" w:rsidR="001120CC" w:rsidRPr="003B10E2" w:rsidRDefault="001120CC" w:rsidP="001120CC">
      <w:pPr>
        <w:widowControl w:val="0"/>
        <w:autoSpaceDE w:val="0"/>
        <w:spacing w:after="0" w:line="360" w:lineRule="auto"/>
        <w:contextualSpacing/>
        <w:jc w:val="both"/>
        <w:rPr>
          <w:rFonts w:ascii="Times New Roman" w:eastAsia="Times New Roman" w:hAnsi="Times New Roman"/>
          <w:iCs/>
          <w:color w:val="000000"/>
          <w:sz w:val="28"/>
          <w:szCs w:val="28"/>
          <w:lang w:eastAsia="ar-SA"/>
        </w:rPr>
      </w:pPr>
      <w:r w:rsidRPr="003B10E2">
        <w:rPr>
          <w:rFonts w:ascii="Times New Roman" w:eastAsia="Times New Roman" w:hAnsi="Times New Roman"/>
          <w:iCs/>
          <w:color w:val="000000"/>
          <w:sz w:val="28"/>
          <w:szCs w:val="28"/>
          <w:lang w:eastAsia="ar-SA"/>
        </w:rPr>
        <w:t xml:space="preserve">Финансовый кризис и провалы современной экономической науки / Д. Коландер, Г. Фёльмер, А. Хаас [и др.] </w:t>
      </w:r>
      <w:r w:rsidRPr="003B10E2">
        <w:rPr>
          <w:rFonts w:ascii="Times New Roman" w:eastAsia="Times New Roman" w:hAnsi="Times New Roman"/>
          <w:color w:val="000000"/>
          <w:sz w:val="28"/>
          <w:szCs w:val="28"/>
          <w:lang w:eastAsia="ar-SA"/>
        </w:rPr>
        <w:t>– Текст: непосредственный</w:t>
      </w:r>
      <w:r w:rsidRPr="003B10E2">
        <w:rPr>
          <w:rFonts w:ascii="Times New Roman" w:eastAsia="Times New Roman" w:hAnsi="Times New Roman"/>
          <w:iCs/>
          <w:color w:val="000000"/>
          <w:sz w:val="28"/>
          <w:szCs w:val="28"/>
          <w:lang w:eastAsia="ar-SA"/>
        </w:rPr>
        <w:t xml:space="preserve"> // Вопросы экономики. </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iCs/>
          <w:color w:val="000000"/>
          <w:sz w:val="28"/>
          <w:szCs w:val="28"/>
          <w:lang w:eastAsia="ar-SA"/>
        </w:rPr>
        <w:t xml:space="preserve"> 2010. </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iCs/>
          <w:color w:val="000000"/>
          <w:sz w:val="28"/>
          <w:szCs w:val="28"/>
          <w:lang w:eastAsia="ar-SA"/>
        </w:rPr>
        <w:t xml:space="preserve"> № 6. </w:t>
      </w:r>
      <w:r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iCs/>
          <w:color w:val="000000"/>
          <w:sz w:val="28"/>
          <w:szCs w:val="28"/>
          <w:lang w:eastAsia="ar-SA"/>
        </w:rPr>
        <w:t>С. 10</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iCs/>
          <w:color w:val="000000"/>
          <w:sz w:val="28"/>
          <w:szCs w:val="28"/>
          <w:lang w:eastAsia="ar-SA"/>
        </w:rPr>
        <w:t>25.</w:t>
      </w:r>
    </w:p>
    <w:p w14:paraId="59C35CE4" w14:textId="77777777"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iCs/>
          <w:color w:val="000000"/>
          <w:sz w:val="28"/>
          <w:szCs w:val="28"/>
          <w:lang w:eastAsia="ar-SA"/>
        </w:rPr>
      </w:pPr>
      <w:r w:rsidRPr="003B10E2">
        <w:rPr>
          <w:rFonts w:ascii="Times New Roman" w:eastAsia="Times New Roman" w:hAnsi="Times New Roman"/>
          <w:b/>
          <w:color w:val="000000"/>
          <w:sz w:val="28"/>
          <w:szCs w:val="28"/>
          <w:lang w:eastAsia="ar-SA"/>
        </w:rPr>
        <w:t>Шабалин, А.О.</w:t>
      </w:r>
      <w:r w:rsidRPr="003B10E2">
        <w:rPr>
          <w:rFonts w:ascii="Times New Roman" w:eastAsia="Times New Roman" w:hAnsi="Times New Roman"/>
          <w:color w:val="000000"/>
          <w:sz w:val="28"/>
          <w:szCs w:val="28"/>
          <w:lang w:eastAsia="ar-SA"/>
        </w:rPr>
        <w:t xml:space="preserve"> Долговая политика России и тенденции формирования корпоративного долга / А.О. Шабалин. – Текст: непосредственный // Бизнес и банки. –  2010. –  №13. –  С. 1–4.</w:t>
      </w:r>
    </w:p>
    <w:p w14:paraId="36CF7371" w14:textId="77777777" w:rsidR="001120CC" w:rsidRPr="003B10E2" w:rsidRDefault="001120CC" w:rsidP="001120CC">
      <w:pPr>
        <w:widowControl w:val="0"/>
        <w:autoSpaceDE w:val="0"/>
        <w:spacing w:after="0" w:line="360" w:lineRule="auto"/>
        <w:contextualSpacing/>
        <w:jc w:val="both"/>
        <w:rPr>
          <w:rFonts w:ascii="Times New Roman" w:eastAsia="Times New Roman" w:hAnsi="Times New Roman"/>
          <w:color w:val="000000"/>
          <w:sz w:val="28"/>
          <w:szCs w:val="28"/>
          <w:lang w:eastAsia="ar-SA"/>
        </w:rPr>
      </w:pPr>
    </w:p>
    <w:p w14:paraId="4F8C7D02" w14:textId="77777777" w:rsidR="00F769DA" w:rsidRPr="003B10E2" w:rsidRDefault="001120CC" w:rsidP="00F769DA">
      <w:pPr>
        <w:widowControl w:val="0"/>
        <w:autoSpaceDE w:val="0"/>
        <w:spacing w:after="0" w:line="360" w:lineRule="auto"/>
        <w:contextualSpacing/>
        <w:jc w:val="center"/>
        <w:rPr>
          <w:rFonts w:ascii="Times New Roman" w:eastAsia="Times New Roman" w:hAnsi="Times New Roman"/>
          <w:color w:val="000000"/>
          <w:sz w:val="28"/>
          <w:szCs w:val="28"/>
          <w:lang w:eastAsia="ar-SA"/>
        </w:rPr>
      </w:pPr>
      <w:r w:rsidRPr="003B10E2">
        <w:rPr>
          <w:rFonts w:ascii="Times New Roman" w:eastAsia="Times New Roman" w:hAnsi="Times New Roman"/>
          <w:color w:val="000000"/>
          <w:sz w:val="28"/>
          <w:szCs w:val="28"/>
          <w:lang w:eastAsia="ar-SA"/>
        </w:rPr>
        <w:t xml:space="preserve">Источники на </w:t>
      </w:r>
      <w:r w:rsidR="00892364">
        <w:rPr>
          <w:rFonts w:ascii="Times New Roman" w:eastAsia="Times New Roman" w:hAnsi="Times New Roman"/>
          <w:color w:val="000000"/>
          <w:sz w:val="28"/>
          <w:szCs w:val="28"/>
          <w:lang w:eastAsia="ar-SA"/>
        </w:rPr>
        <w:t>китайском</w:t>
      </w:r>
      <w:r w:rsidRPr="003B10E2">
        <w:rPr>
          <w:rFonts w:ascii="Times New Roman" w:eastAsia="Times New Roman" w:hAnsi="Times New Roman"/>
          <w:color w:val="000000"/>
          <w:sz w:val="28"/>
          <w:szCs w:val="28"/>
          <w:lang w:eastAsia="ar-SA"/>
        </w:rPr>
        <w:t xml:space="preserve"> языке</w:t>
      </w:r>
    </w:p>
    <w:p w14:paraId="5BA49017"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CCTV 13. «Новости»: Объем «зеленых» инвестиций Эксимбанка превысил 280 млрд юаней (Яншэ «синьвэньляньбо» цзиньчукоу иньхан люйсэ дайкуань юйэ чаого 2800 и юань) // Сайт Эксимбанка Китая. - [Электронный ресурс]. – Режим доступа: http://www.eximbank.gov.cn/info/circus/202001/t20200108_15837.html</w:t>
      </w:r>
    </w:p>
    <w:p w14:paraId="53389E71"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Анализ реформы политических банков: ключевым является уточнение границ бизнеса (Чжэнцэсин иньхан гайгэ тоуси: лицин еу бяньцзянь ши гуаньцзянь) // Экономический обзор (Цзинцзи пинлунь). [Электронный ресурс]. – Режим доступа: http://jer.whu.edu.cn/jjgc/4/2015-06-09/1418.html</w:t>
      </w:r>
    </w:p>
    <w:p w14:paraId="3E2337F5"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Бай Циньсянь, Ван Вэй. Теория и практический анализ политического финансирования развития (Кайфасин цжэнцэсин цзиньжун дэ лилунь юй шицзянь таньси // Цаймао цзинцзи (Экономика финансов и торговли). – 2002. - №4. – С. 5–8.  </w:t>
      </w:r>
    </w:p>
    <w:p w14:paraId="682682D9"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Бай Циньсянь, Ван Цзисянь. Обсуждение правового статуса политических финансовых институтов (Лунь чжэнцэсин цзиньжун цзигоудэ фалюй дивэй) // Цзиньжун лилунь юй шисянь (Финансовая теория и практика). - 2015. - №5. - С. 70–72. </w:t>
      </w:r>
    </w:p>
    <w:p w14:paraId="2876BEA9"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Бай Циньсянь, Ли Цзюнь. Исследование законодательства Китая в области политического финансирования и смежных вопросов (Вого чжэнцэсин цзиньжун лифа цзи сянгуань вэньти яньцзю) // Шанхай цзиньжун (Финансы Шанхая). – 2005. - №26(1). – С. 47</w:t>
      </w:r>
    </w:p>
    <w:p w14:paraId="6E7D2E96"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Бай Циньсянь, Чжан Кунь. Срав¬ни¬тель¬ное ис¬сле¬до¬ва¬ние по¬ли¬ти¬че¬ско¬го фи¬нан¬си¬ро¬ва¬ния и пуб¬лич¬но¬го фи¬нан¬си¬ро¬ва¬ния (Чжэнцэсин цзиньжун гунгунсин юй сайчжэнсин гунгунсин дэ бицзяо яньцзю) // Чжунъян сайцзин дасюэ сюэбао (Вестник Центрального университета экономики и финансов). - 2014. - №10. - С. 26–31.</w:t>
      </w:r>
    </w:p>
    <w:p w14:paraId="53711E7C"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Бай Циньсянь. О политическом финансировании (Чжэнцэсин цзиньжун лунь) // Цзинцзи сюэцзя (Экономист). – 1998. - №8. С. 81–89.  </w:t>
      </w:r>
    </w:p>
    <w:p w14:paraId="35AB6DC3" w14:textId="77777777" w:rsidR="00086C62"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Белая книга Информационного бюро Госсовета КНР «Сотрудничество в области международного развития в новую эпоху». (Гоуюань синьвэнь баньгунши фабу «синьшидай дэ чжунго гоцзи фачжан хэцзо байпишу») // Сайт Госсовета КНР. [Электронный ресурс]. – Режим доступа: </w:t>
      </w:r>
      <w:hyperlink r:id="rId116" w:history="1">
        <w:r w:rsidRPr="004B5630">
          <w:rPr>
            <w:rStyle w:val="af"/>
            <w:rFonts w:ascii="Times New Roman" w:eastAsia="Times New Roman" w:hAnsi="Times New Roman"/>
            <w:sz w:val="28"/>
            <w:szCs w:val="28"/>
            <w:lang w:eastAsia="ar-SA"/>
          </w:rPr>
          <w:t>http://www.gov.cn/xinwen/2021-01/10/content_5578615.htm</w:t>
        </w:r>
      </w:hyperlink>
    </w:p>
    <w:p w14:paraId="0C9EAF34" w14:textId="77777777" w:rsidR="00086C62"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Белая книга о «зеленом» финансировании и социальной ответственности. 2016 г. (Люйсы цзиньжун хэ шэхуэй цзэжэнь байпишу баогао. 2016.) // Сайт Эксимбанка Китая. [Электронный ресурс]. – Режим доступа: </w:t>
      </w:r>
      <w:hyperlink r:id="rId117" w:history="1">
        <w:r w:rsidRPr="004B5630">
          <w:rPr>
            <w:rStyle w:val="af"/>
            <w:rFonts w:ascii="Times New Roman" w:eastAsia="Times New Roman" w:hAnsi="Times New Roman"/>
            <w:sz w:val="28"/>
            <w:szCs w:val="28"/>
            <w:lang w:eastAsia="ar-SA"/>
          </w:rPr>
          <w:t>http://english.eximbank.gov.cn/News/WhitePOGF/201807/P020180718416279996548.pdf</w:t>
        </w:r>
      </w:hyperlink>
    </w:p>
    <w:p w14:paraId="3EB41DCE" w14:textId="77777777" w:rsidR="00086C62"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Белая книга о «зеленом» финансировании и социальной ответственности за 2019 г. (2019 нянь люйсы цзиньжун хэ шэхуэй цзэжэнь байпишу баогао) // Сайт Эксимбанка Китая. [Электронный ресурс]. – Режим доступа: </w:t>
      </w:r>
      <w:hyperlink r:id="rId118" w:history="1">
        <w:r w:rsidRPr="004B5630">
          <w:rPr>
            <w:rStyle w:val="af"/>
            <w:rFonts w:ascii="Times New Roman" w:eastAsia="Times New Roman" w:hAnsi="Times New Roman"/>
            <w:sz w:val="28"/>
            <w:szCs w:val="28"/>
            <w:lang w:eastAsia="ar-SA"/>
          </w:rPr>
          <w:t>http://www.eximbank.gov.cn/info/WhitePOGF/202001/P020200115377992690034.pdf</w:t>
        </w:r>
      </w:hyperlink>
    </w:p>
    <w:p w14:paraId="1EE83F5B"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Буклет культуры Государственного банка развития Китая (Гоцзя кайфа иньхан вэньхуа шоуцэ) // Сайт ГБРК. С. 10. [Электронный ресурс]. – Режим доступа: http://www.cdb.com.cn/qywh/khwhsc/sc/</w:t>
      </w:r>
    </w:p>
    <w:p w14:paraId="4ED33F87"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Ван Вэй. О значении и расширении политического финансирования (Лунь чжэнцэсин цзиньжун дэ нэйхань хэ вайтин) // Теория и практика финансирования (Цзиньжун лилунь юй шицзянь). – 1996. - №4. - С. 15–16. </w:t>
      </w:r>
    </w:p>
    <w:p w14:paraId="19390419"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Ван Вэй. Обзор литературы об исследовании политического финансирования (Чжэнцэсин цзиньжун яньцзю вэньсянь цзуншу) // Чжунго гаоцзи жэньвэнь шэхуэй кэсюэ синьсиван.  – 2005. [Электронный ресурс]. – Режим доступа: https://www.sinoss.net/uploadfile/2010/1130/5533.pdf). </w:t>
      </w:r>
    </w:p>
    <w:p w14:paraId="3B5EF5B2"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Ван Вэйдун. Филиал ГБРК в Чунцине: находится в Чунцине, делает вклад в строительство «Пояса и Пути» (Гоцзя кайфасин чунцинши фэньхан: лицзучунцин, вэй фуву “и дай и лу” цзяньшэ цзогунсянь) // Чунцин и мир (Чунцин юй шицзе). – 2019. – №3. - С. 50–53. </w:t>
      </w:r>
    </w:p>
    <w:p w14:paraId="4504737F"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Ван Гоган, Дун Юйпин. Концепция реформы финансовой системы Китая (Чжунго цзиньжун тиси гайгэ дэ ситун гоусян) // Цзинцзи сюэдунтай (Экономические перспективы). – 2015. - №3. - С.  9–21. </w:t>
      </w:r>
    </w:p>
    <w:p w14:paraId="56CFB410"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Всемирный банк и Китай официально учредили Аналитический центр инвестиционных возможностей Африки (Шицзе иньхан юй чжунго чжэнши чэнли дуйфэй тоуцзы чжику лянмэн) // Сайт ГБРК. [Электронный ресурс]. – Режим доступа: http://www.cdb.com.cn/xwzx/mtjj/201609/t20160908_3634.html</w:t>
      </w:r>
    </w:p>
    <w:p w14:paraId="793BBD59"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Выступление Ли Кэцяна на 6-м саммите глав правительств в формате «16+1» (Ли Кэцян цзай дилю цы чжунго – чжундун оу гоцзя линдаожэнь хуэйу шан дэ цзянхуа) // Сайт Госсовета КНР. – [Электронный ресурс]. – Режим доступа: http://www.gov.cn/guowuyuan/2017-11/28/content_5242751.htm</w:t>
      </w:r>
    </w:p>
    <w:p w14:paraId="03DC02FC"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ГБРК. «Зеленые» кредиты (Гоцзя кайфа иньхан. Люйсы синьдай) // Сайт ГБРК. - [Электронный ресурс]. – Режим доступа: http://www.cdb.com.cn/shzr/lsxd/ </w:t>
      </w:r>
    </w:p>
    <w:p w14:paraId="2A6B3692"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Го Дацзян. ГБРК: с помощью финансирования развития содействовать строительству «Пояса и Пути» (Гоцзя кайфа иньхан: и кайфасин цзиньжун чжули “и дай и лу” цзяньшэ) // Научно-технические парки Китая (Чжунго гаосиньцю). – 2018. - №6. - С. 298.</w:t>
      </w:r>
    </w:p>
    <w:p w14:paraId="6E193B47" w14:textId="77777777" w:rsidR="00086C62"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Годовой отчет ГБРК за 2012 г. (Чжунго кайфа иньхан няньду баогао). 2012 // dfcfw.com. [Электронный ресурс]. – Режим доступа: </w:t>
      </w:r>
      <w:hyperlink r:id="rId119" w:history="1">
        <w:r w:rsidRPr="004B5630">
          <w:rPr>
            <w:rStyle w:val="af"/>
            <w:rFonts w:ascii="Times New Roman" w:eastAsia="Times New Roman" w:hAnsi="Times New Roman"/>
            <w:sz w:val="28"/>
            <w:szCs w:val="28"/>
            <w:lang w:eastAsia="ar-SA"/>
          </w:rPr>
          <w:t>https://pdf.dfcfw.com/pdf/H2_AN201305030003228792_1.pdf?1646486692000.pdf</w:t>
        </w:r>
      </w:hyperlink>
    </w:p>
    <w:p w14:paraId="5904147E" w14:textId="77777777" w:rsidR="00086C62"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Годовой отчет ГБРК за 2013 г. (Чжунго кайфа иньхан няньду баогао). 2013 // dfcfw.com. [Электронный ресурс]. – Режим доступа: </w:t>
      </w:r>
      <w:hyperlink r:id="rId120" w:history="1">
        <w:r w:rsidRPr="004B5630">
          <w:rPr>
            <w:rStyle w:val="af"/>
            <w:rFonts w:ascii="Times New Roman" w:eastAsia="Times New Roman" w:hAnsi="Times New Roman"/>
            <w:sz w:val="28"/>
            <w:szCs w:val="28"/>
            <w:lang w:eastAsia="ar-SA"/>
          </w:rPr>
          <w:t>https://pdf.dfcfw.com/pdf/H2_AN201710120947054345_1.pdf?1647110709000.pdf</w:t>
        </w:r>
      </w:hyperlink>
      <w:r w:rsidRPr="00892364">
        <w:rPr>
          <w:rFonts w:ascii="Times New Roman" w:eastAsia="Times New Roman" w:hAnsi="Times New Roman"/>
          <w:color w:val="000000"/>
          <w:sz w:val="28"/>
          <w:szCs w:val="28"/>
          <w:lang w:eastAsia="ar-SA"/>
        </w:rPr>
        <w:t>;</w:t>
      </w:r>
    </w:p>
    <w:p w14:paraId="0C930FCD" w14:textId="77777777" w:rsidR="00086C62"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Годовой отчет ГБРК за 2014 г. (Чжунго кайфа иньхан няньду баогао). 2014 // dfcfw.com. [Электронный ресурс]. – Режим доступа: </w:t>
      </w:r>
      <w:hyperlink r:id="rId121" w:history="1">
        <w:r w:rsidRPr="004B5630">
          <w:rPr>
            <w:rStyle w:val="af"/>
            <w:rFonts w:ascii="Times New Roman" w:eastAsia="Times New Roman" w:hAnsi="Times New Roman"/>
            <w:sz w:val="28"/>
            <w:szCs w:val="28"/>
            <w:lang w:eastAsia="ar-SA"/>
          </w:rPr>
          <w:t>https://pdf.dfcfw.com/pdf/H2_AN201703300452013354_1.pdf</w:t>
        </w:r>
      </w:hyperlink>
    </w:p>
    <w:p w14:paraId="00D1DFC7" w14:textId="77777777" w:rsidR="00086C62"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Годовой отчет ГБРК за 2015 г. (Чжунго кайфа иньхан няньду баогао). 2015 // dfcfw.com. [Электронный ресурс]. – Режим доступа: </w:t>
      </w:r>
      <w:hyperlink r:id="rId122" w:history="1">
        <w:r w:rsidRPr="004B5630">
          <w:rPr>
            <w:rStyle w:val="af"/>
            <w:rFonts w:ascii="Times New Roman" w:eastAsia="Times New Roman" w:hAnsi="Times New Roman"/>
            <w:sz w:val="28"/>
            <w:szCs w:val="28"/>
            <w:lang w:eastAsia="ar-SA"/>
          </w:rPr>
          <w:t>https://pdf.dfcfw.com/pdf/H2_AN201704120497526207_1.pdf?1647100895000.pdf</w:t>
        </w:r>
      </w:hyperlink>
    </w:p>
    <w:p w14:paraId="0E828088" w14:textId="77777777" w:rsidR="00086C62"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Годовой отчет ГБРК за 2016 г.  (Чжунго кайфа иньхан няньду баогао). 2016 // dfcfw.com. [Электронный ресурс]. – Режим доступа: </w:t>
      </w:r>
      <w:hyperlink r:id="rId123" w:history="1">
        <w:r w:rsidRPr="004B5630">
          <w:rPr>
            <w:rStyle w:val="af"/>
            <w:rFonts w:ascii="Times New Roman" w:eastAsia="Times New Roman" w:hAnsi="Times New Roman"/>
            <w:sz w:val="28"/>
            <w:szCs w:val="28"/>
            <w:lang w:eastAsia="ar-SA"/>
          </w:rPr>
          <w:t>https://pdf.dfcfw.com/pdf/H2_AN201807301171528996_1.pdf?1647693902000.pdf</w:t>
        </w:r>
      </w:hyperlink>
    </w:p>
    <w:p w14:paraId="3F898D77" w14:textId="77777777" w:rsidR="00086C62"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Годовой отчет Комиссии по регулированию банковской деятельности Китая за 2007 год (Чжунго иньханъе цзяньду гуаньли вэйюаньхуэй 2007 няньбао) // Комитет по регулированию банковской деятельности Китая [Электронный ресурс]. – Режим доступа: </w:t>
      </w:r>
      <w:hyperlink r:id="rId124" w:history="1">
        <w:r w:rsidRPr="004B5630">
          <w:rPr>
            <w:rStyle w:val="af"/>
            <w:rFonts w:ascii="Times New Roman" w:eastAsia="Times New Roman" w:hAnsi="Times New Roman"/>
            <w:sz w:val="28"/>
            <w:szCs w:val="28"/>
            <w:lang w:eastAsia="ar-SA"/>
          </w:rPr>
          <w:t>http://www.cbrc.gov.cn/chinese/home/docViewPage/110007.html</w:t>
        </w:r>
      </w:hyperlink>
    </w:p>
    <w:p w14:paraId="1B04EC15" w14:textId="77777777" w:rsidR="00086C62"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Годовые отчеты БРСХК за 2013–2021 гг. (Чжунго нунъе фачжань иньхан наньду баогао). 2013–2021 // Сайт Эксимбанка Китая. [Электронный ресурс]. – Режим доступа: </w:t>
      </w:r>
      <w:hyperlink r:id="rId125" w:history="1">
        <w:r w:rsidRPr="004B5630">
          <w:rPr>
            <w:rStyle w:val="af"/>
            <w:rFonts w:ascii="Times New Roman" w:eastAsia="Times New Roman" w:hAnsi="Times New Roman"/>
            <w:sz w:val="28"/>
            <w:szCs w:val="28"/>
            <w:lang w:eastAsia="ar-SA"/>
          </w:rPr>
          <w:t>http://www.adbc.com.cn/en/n1064/n1071/index.html</w:t>
        </w:r>
      </w:hyperlink>
    </w:p>
    <w:p w14:paraId="26E19555" w14:textId="77777777" w:rsidR="00086C62"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Годовые отчеты ГБРК за 2017–2021 гг. (Чжунго кайфа иньхан няньду баогао). 2017–2021 // Сайт ГБРК. [Электронный ресурс]. – Режим доступа: </w:t>
      </w:r>
      <w:hyperlink r:id="rId126" w:history="1">
        <w:r w:rsidRPr="004B5630">
          <w:rPr>
            <w:rStyle w:val="af"/>
            <w:rFonts w:ascii="Times New Roman" w:eastAsia="Times New Roman" w:hAnsi="Times New Roman"/>
            <w:sz w:val="28"/>
            <w:szCs w:val="28"/>
            <w:lang w:eastAsia="ar-SA"/>
          </w:rPr>
          <w:t>http://www.cdb.com.cn/bgxz/ndbg/ndbg2021/</w:t>
        </w:r>
      </w:hyperlink>
    </w:p>
    <w:p w14:paraId="372A9E18" w14:textId="77777777" w:rsidR="00086C62"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Годовые отчеты Эксимбанка Китая за 2010–2020 гг. (Чжунго цзиньчукоу няньду баогао). 2010–2020. [Электронный ресурс]. – Режим доступа: </w:t>
      </w:r>
      <w:hyperlink r:id="rId127" w:history="1">
        <w:r w:rsidRPr="004B5630">
          <w:rPr>
            <w:rStyle w:val="af"/>
            <w:rFonts w:ascii="Times New Roman" w:eastAsia="Times New Roman" w:hAnsi="Times New Roman"/>
            <w:sz w:val="28"/>
            <w:szCs w:val="28"/>
            <w:lang w:eastAsia="ar-SA"/>
          </w:rPr>
          <w:t>http://www.eximbank.gov.cn/aboutExim/annals/2020/</w:t>
        </w:r>
      </w:hyperlink>
    </w:p>
    <w:p w14:paraId="78FFCBBE"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Действительно ли во второй половине года пройдет реформа политических банков? (Чжэнцэсин иньхан гайгэ сябаньчан чжэнмэ цзоу) // Синьлан цайцзин (Sina Finance). – [Электронный ресурс]. – Режим доступа: https://finance.sina.cn/2021–07–26/detail-ikqcfnca9038686.d.html</w:t>
      </w:r>
    </w:p>
    <w:p w14:paraId="08382DBD" w14:textId="77777777" w:rsidR="00086C62"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Доклад о социальной ответственности БРСХК за 2017 г. (2017 нянь Чжунго нунъе кайфа иньхан шэхуэй цзэжэнь баогао) // Сайт БРСХК. [Электронный ресурс]. – Режим доступа: http://www.adbc.com.cn/pdfToJpg/5a8cd556-d8ab-4150-b085-a94d101f221d/show.html </w:t>
      </w:r>
    </w:p>
    <w:p w14:paraId="6E3F6CEC" w14:textId="77777777" w:rsidR="00086C62"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Доклад о социальной ответственности БРСХК за 2018 г. (2018 нянь Чжунго нунъе кайфа иньхан шэхуэй цзэжэнь баогао) // Сайт БРСХК. [Электронный ресурс]. – Режим доступа: </w:t>
      </w:r>
      <w:hyperlink r:id="rId128" w:history="1">
        <w:r w:rsidRPr="004B5630">
          <w:rPr>
            <w:rStyle w:val="af"/>
            <w:rFonts w:ascii="Times New Roman" w:eastAsia="Times New Roman" w:hAnsi="Times New Roman"/>
            <w:sz w:val="28"/>
            <w:szCs w:val="28"/>
            <w:lang w:eastAsia="ar-SA"/>
          </w:rPr>
          <w:t>http://www.adbc.com.cn/pdfToJpg/2018shzrbg/2018shzrbg/mobile/index.html</w:t>
        </w:r>
      </w:hyperlink>
    </w:p>
    <w:p w14:paraId="12427B98" w14:textId="77777777" w:rsidR="00086C62"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Доклад об «устойчивом» развитии ГБРК за 2019 г. (2019-нянь гоцзя кайфа иньхан кэсю фачжань баогао) // Сайт ГБРК. [Электронный ресурс]. – Режим доступа: </w:t>
      </w:r>
      <w:hyperlink r:id="rId129" w:history="1">
        <w:r w:rsidRPr="004B5630">
          <w:rPr>
            <w:rStyle w:val="af"/>
            <w:rFonts w:ascii="Times New Roman" w:eastAsia="Times New Roman" w:hAnsi="Times New Roman"/>
            <w:sz w:val="28"/>
            <w:szCs w:val="28"/>
            <w:lang w:eastAsia="ar-SA"/>
          </w:rPr>
          <w:t>http://www.cdb.com.cn/bgxz/kcxfzbg1/kcx2019/</w:t>
        </w:r>
      </w:hyperlink>
    </w:p>
    <w:p w14:paraId="1B8C3264"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Дун Цзин. ГБРК возглавил создание Китайско-африканского консорциума по финансовому сотрудничеству (Гоцзя кайфа иньхан цянтоу – яжунфэй цзиньжун хэцзо иньляньти чэнли) // Китайский финансист (Чжунго цзиньжунцзя). – 2018. -  №9. – С. 23–24.</w:t>
      </w:r>
    </w:p>
    <w:p w14:paraId="6C75D455"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Информационное бюро Госсовета КНР провело пресс-конференцию о ситуации с экспортом и импортом в 2019 г. (Синьвэнь бань цзю 2019 нянь цюань нянь цзинь чу коу цинкун цзюйсин фабухуэй) // Сайт Госсовета КНР. – [Электронный ресурс]. – Режим доступа:  http://www.gov.cn/xinwen/2020-01/14/content_5468996.htm</w:t>
      </w:r>
    </w:p>
    <w:p w14:paraId="7F5FAEF2"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Исследовательская группа Департамента развития бизнеса и инноваций Эксимбанка Китая. Политическое финансирование: «китайская модель» Эксимбанка Китая (Чжунго цзиньчукоу иньхан еу кайфа юй чунсиньбу кэтицзу. Чжэнцысин цзиньжун: цзиньчукоу иньхадэ “чжунго моши”) // Современный финансист (Дандай цзиньчунцзя). – 2015. - №7. – С. 50–53.</w:t>
      </w:r>
    </w:p>
    <w:p w14:paraId="14C773AD"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История ГБРК (1994–2012 гг.) (Гоцзя кайфа иньхан лиши аньле). Пекин. Чжунго цзиньжун чубаньшэ. 2013. – 516 с.  </w:t>
      </w:r>
    </w:p>
    <w:p w14:paraId="42AD6DC4"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История Третьего Пленума ЦК КПК // Жэньминь Жибао. [Электронный ресурс]. – Режим доступа: http://russian.people.com.cn/95181/8441765.html</w:t>
      </w:r>
    </w:p>
    <w:p w14:paraId="1258E1B5" w14:textId="77777777" w:rsidR="00086C62"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Китайские статистические ежегодники. Пекин (Чжунго тунцзи няньцзянь) — Пекин. — [Электронный ресурс]. – Режим доступа: </w:t>
      </w:r>
      <w:hyperlink r:id="rId130" w:history="1">
        <w:r w:rsidRPr="004B5630">
          <w:rPr>
            <w:rStyle w:val="af"/>
            <w:rFonts w:ascii="Times New Roman" w:eastAsia="Times New Roman" w:hAnsi="Times New Roman"/>
            <w:sz w:val="28"/>
            <w:szCs w:val="28"/>
            <w:lang w:eastAsia="ar-SA"/>
          </w:rPr>
          <w:t>http://www.stats.gov.cn/tjsj/ndsj/</w:t>
        </w:r>
      </w:hyperlink>
    </w:p>
    <w:p w14:paraId="76D786A3"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Классические кейсы финансирования развития (Кайфасин цзиньжун цзиндянь аньле) Чжунго жэньминьдасюэ чубаньшэ. 2007. - 522 с. </w:t>
      </w:r>
    </w:p>
    <w:p w14:paraId="455509A9"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Ли Пэйган. Ху Сяолянь: уже подготовлена прочная основа для разработки закона о политических банках (Чжидин чжэнцысин иньханфа и цзюйбэй цзяньши цзичу) // Жэнминь чжэнсебао (Вестник Народного политического консультативного совета Китая). // Сайт Народного политического консультативного совета Китая. – [Электронный ресурс]. – Режим доступа: http://cppcc.china.com.cn/2021-04/06/content_77379954.htm</w:t>
      </w:r>
    </w:p>
    <w:p w14:paraId="6A606857"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Ли Ян, Чжан Сяоцзин, Чан Синь. Балансовый отчет Китая за 2015 г.: корректировка левериджа и управление рисками (Чжунго гоцзя цзычан фуцзэбяо 2015: гангань тяочжэн юй фэнсянь гуаньли). Пекин. Чжунго шэхуэй кэсюэ чубаньшэ. 2015. - 228 с.  </w:t>
      </w:r>
    </w:p>
    <w:p w14:paraId="0F8FCA8B"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Лю Давэй, Чжоу Мяо. Выпуск и инновационные применения облигаций политического финансирования (Кайфасин цзиньжун чжайцзюань дэ фасин хэ чуансинь шисянь) // Банкир (Иньханцзя). – 2007. - №7. – С. 10–11.</w:t>
      </w:r>
    </w:p>
    <w:p w14:paraId="1A59F06B"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Лю Кэган. Изучение международного опыта, ускорение развития китайских политических банков. Опыт и достижения политических банков развития Казахстана, России и Германии (Цзецзянь гоцзи цзиньянь цзякуай туэйцзинь вого чжэнцэсин иньхан фачжань – ха э дэ фачжань чжэнцэсин иньхан дэ цзинянь хэ циши) // Мировой менеджемент (Гуаньли шицзе). – 2006. - №3. – С. 1-4.  </w:t>
      </w:r>
    </w:p>
    <w:p w14:paraId="0768FC03"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Лю Фэнцзюнь, Чжу Гочао. Гоцзя кайфа иньхан пиньпай юньин сянчжуан (Исследование бренда ГБРК: ситуация, проблемы и контрмеры) // Будущее и развитие (Вэйлай юй фачжань). – 2017. - №5. – С. 77–83.</w:t>
      </w:r>
    </w:p>
    <w:p w14:paraId="6198A8F9"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Ма Жунбао, Хоу Хуавэй. Некоторые размышления о помощи ГБРК в строительстве «Пояса и Пути» (Гуаньюй кайфа иньхан чжули “и дай и лу” цзяньшэ дэ цзидянь сыкао) // Исследования финансирования развития (Кайфасин цзижун яньцзю). – 2016. - №6. - С. - 5–14.</w:t>
      </w:r>
    </w:p>
    <w:p w14:paraId="389746E7"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Министерство коммерции КНР проводит регулярную пресс-конференцию (Шанубу чжаокай лисин синьвэнь фабухуэй) // Сайт Министерства коммерции КНР. – [Электронный ресурс]. – Режим доступа: http://www.mofcom.gov.cn/xwfbh/20210204.shtml </w:t>
      </w:r>
    </w:p>
    <w:p w14:paraId="1E87DBB8"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Островский А.В. (Аосытэлофусицзи). Переход от плановой экономики к рыночной: возможность применения китайской модели в России (Цун цзихуа дао шичан дэ году: чжунго моши цзай элосы дэ кэнэнсин) // Нанькай цзинцзи яньцзю (Экономические исследования Нанкай). - 2004. - № 5. - С. 9–12.</w:t>
      </w:r>
    </w:p>
    <w:p w14:paraId="5D04E67A"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Открытие новых путей во внешней торговле, построение новой модели всесторонней открытости – Доклад №22 из серии докладов о достижениях социально-экономического развития к 70-ю годовщины основания КНР (Дуйвай цзинмао кайци синьчжэнчэн цуаньмянь кайфан гуцзянь синьгэцзюй –синьчжунго чэнли 70-чжоу нянь цзиньцзи шэхуэй фачжань чэнцзюй силье баогаочжи эршиэр) // Сайт Государственного статистического управления КНР. [Электронный ресурс]. – Режим доступа: </w:t>
      </w:r>
      <w:hyperlink r:id="rId131" w:history="1">
        <w:r w:rsidRPr="004B5630">
          <w:rPr>
            <w:rStyle w:val="af"/>
            <w:rFonts w:ascii="Times New Roman" w:eastAsia="Times New Roman" w:hAnsi="Times New Roman"/>
            <w:sz w:val="28"/>
            <w:szCs w:val="28"/>
            <w:lang w:eastAsia="ar-SA"/>
          </w:rPr>
          <w:t>http://www.stats.gov.cn/ztjc/zthd/sjtjr/d10j/70cj/201909/t20190906_1696331.htm</w:t>
        </w:r>
        <w:r w:rsidRPr="004B5630">
          <w:rPr>
            <w:rStyle w:val="af"/>
            <w:rFonts w:ascii="Times New Roman" w:eastAsia="Times New Roman" w:hAnsi="Times New Roman"/>
            <w:sz w:val="28"/>
            <w:szCs w:val="28"/>
            <w:lang w:val="en-US" w:eastAsia="ar-SA"/>
          </w:rPr>
          <w:t>l</w:t>
        </w:r>
      </w:hyperlink>
    </w:p>
    <w:p w14:paraId="200ABED9"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Отчет о финансовой стабильности Китая за 2015 г., опубликованный Народным банком Китая. [Электронный ресурс]. – Режим доступа: </w:t>
      </w:r>
      <w:hyperlink r:id="rId132" w:history="1">
        <w:r w:rsidRPr="004B5630">
          <w:rPr>
            <w:rStyle w:val="af"/>
            <w:rFonts w:ascii="Times New Roman" w:eastAsia="Times New Roman" w:hAnsi="Times New Roman"/>
            <w:sz w:val="28"/>
            <w:szCs w:val="28"/>
            <w:lang w:eastAsia="ar-SA"/>
          </w:rPr>
          <w:t>http://www.pbc.gov.cn/jinrongwendingju/146766/146772/146776/index.html</w:t>
        </w:r>
      </w:hyperlink>
    </w:p>
    <w:p w14:paraId="57484D38"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Поддержание стратегии «выхода во вне» (“Цзо чу цюй” чжичи чжэнцэ) // Сайт БРСХК. [Электронный ресурс]. – Режим доступа: http://www.adbc.com.cn/n6/n20/c16298/content.html</w:t>
      </w:r>
    </w:p>
    <w:p w14:paraId="0BC734A4"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Председатель Си Цзиньпин присутствовал на церемонии подписания Рамочного соглашения об углублении сотрудничества региона Гуандун – Гонконг – Макао и содействии строительству региона «Большого залива» (Си Цзиньпин чуси «шэньхуа ган ао хэцзо туйцзинь даваньцюй цзяньшэ канцзя сеи» цяншу иши) // Сайт информационного агентства «Синьхуа». [Электронный ресурс]. – Режим доступа: http://www.xinhuanet.com/politics/2017-07/01/c_1121247167.htm</w:t>
      </w:r>
    </w:p>
    <w:p w14:paraId="743B1C24"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Пэн Хуншоу. Исследование источников фондирования политических банков Китая в настоящее время. На примере Банка развития сельского хозяйства Китая (Данцянь вого чжэнцэсин иньхан дэ цзыцзинь лайюань вэнти яньцзю) // Чжунго шаньлунь (Вопросы торговли Китая). – 2020. № 14. – С. 42–44.</w:t>
      </w:r>
    </w:p>
    <w:p w14:paraId="1AB3837F"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Си Цзиньпин: Одержать решительную победу во всестороннем построении среднезажиточного общества и одержать великую победу социализма с китайской спецификой в новую эпоху. Речь во время ⅩⅨ Всекитайского съезда КПК (Си Цзиньпин: Цзюэшэн цюаньмянь цзяньчэн сялкан шэхуэй доуцюй синьшидай чжунго тэсэ шэхуэй чжуи вэйда шэнли – цзай чжунго гунчаедан ди ши цзю цы цюаньмянь дайбяо дахуэйшандэ баогао) // Сайт Госсовета КНР. [Электронный ресурс]. – Режим доступа: http://www.gov.cn/zhuanti/2017-10/27/content_5234876.htm </w:t>
      </w:r>
    </w:p>
    <w:p w14:paraId="73C860B2"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Син Дун. Усиление финансовых инноваций для содействия развитию «зеленого» финансирования – интервью с заместителем председателя Эксимбанк Китая Сунь Пином (Цзяда цзиньжун чуансинь лиду цуцзинь люйсэ цзиньжун фачжань – фан чжунго цзиньчукоу иньхан фуханчжан суньпин) // Международные подрядные проекты и рабочая сила (Гоцзи гунчэн юй цзиньжун лаодун). - 2017. - №8. – С. 26–30. </w:t>
      </w:r>
    </w:p>
    <w:p w14:paraId="69328A64"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Список достижений Форума высокого уровня «Один пояс - Один путь» по международному сотрудничеству (“И дай и лу“ гоцзи хэцзо гаофэн луньтан чэнго циндань сыкао) // Еженедельник экономики Китая (Чжуго цзинцзи чжоукань). – 2017. - №20–21. [Электронный ресурс]. – Режим доступа: http://finance.sina.com.cn/roll/2017-05-22/doc-ifyfkqks4447988.shtml</w:t>
      </w:r>
    </w:p>
    <w:p w14:paraId="52F416BD"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Список ключевых уездов для осуществления государственной работы по оказанию помощи в развитии бедных районов (Гоцзя фупинь кайфа гунцзуо чжундяньсянь). // Сайт Госсовета КНР. [Электронный ресурс]. – Режим доступа: </w:t>
      </w:r>
      <w:hyperlink r:id="rId133" w:history="1">
        <w:r w:rsidRPr="004B5630">
          <w:rPr>
            <w:rStyle w:val="af"/>
            <w:rFonts w:ascii="Times New Roman" w:eastAsia="Times New Roman" w:hAnsi="Times New Roman"/>
            <w:sz w:val="28"/>
            <w:szCs w:val="28"/>
            <w:lang w:eastAsia="ar-SA"/>
          </w:rPr>
          <w:t>http://www.gov.cn/gzdt/2012-03/19/content_2094524.htm</w:t>
        </w:r>
      </w:hyperlink>
    </w:p>
    <w:p w14:paraId="79192686" w14:textId="77777777" w:rsidR="00086C62" w:rsidRPr="00086C62" w:rsidRDefault="00086C62" w:rsidP="00086C62">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086C62">
        <w:rPr>
          <w:rFonts w:ascii="Times New Roman" w:eastAsia="Times New Roman" w:hAnsi="Times New Roman"/>
          <w:color w:val="000000"/>
          <w:sz w:val="28"/>
          <w:szCs w:val="28"/>
          <w:lang w:eastAsia="ar-SA"/>
        </w:rPr>
        <w:t xml:space="preserve">Список стран, подписавших документы о сотрудничестве с Китаем для совместного строительства «Пояса и пути» //Yidaiyilu.gov.cn/ Новости онлайн 12.03.2021 [Электронный ресурс]. </w:t>
      </w:r>
    </w:p>
    <w:p w14:paraId="54E7E906"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Статистика «зеленого» кредитования, осуществленного 21-м основным китайским банком за период с 2013 по июнь 2017 гг. (2013 нянь чжи 2017 нянь 6-юэ гонэй 21 цзя чжуяо иньхан люйсы синьдай шуцзюй) // Сайт Комитета по регулированию банковской и страховой деятельности Китая. [Электронный ресурс]. - Режим доступа:  </w:t>
      </w:r>
      <w:hyperlink r:id="rId134" w:history="1">
        <w:r w:rsidRPr="004B5630">
          <w:rPr>
            <w:rStyle w:val="af"/>
            <w:rFonts w:ascii="Times New Roman" w:eastAsia="Times New Roman" w:hAnsi="Times New Roman"/>
            <w:sz w:val="28"/>
            <w:szCs w:val="28"/>
            <w:lang w:eastAsia="ar-SA"/>
          </w:rPr>
          <w:t>http://www.cbirc.gov.cn/cn/view/pages/ItemDetail.html?docId=171047&amp;itemId=954&amp;generaltype=0</w:t>
        </w:r>
      </w:hyperlink>
    </w:p>
    <w:p w14:paraId="5FE37F3E"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Статистика объемов торговли между Китаем и странами Азии за 2020 г. [2020-нянь 1–12-юэ чжунго юй ячжоу гоцзя (дицюй) маои тунцзи суньпин] // Сайт Министерства коммерции КНР. [Электронный ресурс]. – Режим доступа: </w:t>
      </w:r>
      <w:hyperlink r:id="rId135" w:history="1">
        <w:r w:rsidRPr="004B5630">
          <w:rPr>
            <w:rStyle w:val="af"/>
            <w:rFonts w:ascii="Times New Roman" w:eastAsia="Times New Roman" w:hAnsi="Times New Roman"/>
            <w:sz w:val="28"/>
            <w:szCs w:val="28"/>
            <w:lang w:eastAsia="ar-SA"/>
          </w:rPr>
          <w:t>http://yzs.mofcom.gov.cn/article/date/202103/20210303041594.shtml</w:t>
        </w:r>
      </w:hyperlink>
    </w:p>
    <w:p w14:paraId="3595553A"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Статистические данные торгово-экономического сотрудничества Китая и Африки [Чжунфэй цзинмао хэцзо шуцзюй тунцзи] // Министерство коммерции КНР. Управление по делам Западной Азии и Африки. [Электронный ресурс]. – Режим доступа: </w:t>
      </w:r>
      <w:hyperlink r:id="rId136" w:history="1">
        <w:r w:rsidRPr="004B5630">
          <w:rPr>
            <w:rStyle w:val="af"/>
            <w:rFonts w:ascii="Times New Roman" w:eastAsia="Times New Roman" w:hAnsi="Times New Roman"/>
            <w:sz w:val="28"/>
            <w:szCs w:val="28"/>
            <w:lang w:eastAsia="ar-SA"/>
          </w:rPr>
          <w:t>http://xyf.mofcom.gov.cn/article/tj/zh/</w:t>
        </w:r>
      </w:hyperlink>
    </w:p>
    <w:p w14:paraId="3CF35488"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Стремиться одержать двойную победу: в профилактике и борьбе с коронавирусом и высококачественном совместном строительстве «Пояса и Пути» (Чжэнли, фэнли доуцю ицин фанкун хэ гаочжилян гунцзян “и дай и лу" шуан шэнли) // Вестник экономики Китая (Чжунго цзинцзи даобао). – 2020. - №6. [Электронный ресурс]. – Режим доступа: http://www.ceh.com.cn/ </w:t>
      </w:r>
    </w:p>
    <w:p w14:paraId="5DFEC3AA"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Сюй Цзяцзюнь, Ван Кэди, Жу Синьшунь. Источники финансирования банков развития (Гобе кайфа иньхан дэ цзыцзинь лайюань сыкао) // Институт новой структурной экономики (Бэйцзин дасюэ синьцзегоу цзинцзисюэ яньцзююань). – 2021. - №3. – С. 11. [Электронный ресурс]. – Режим доступа: https://www.nse.pku.edu.cn/docs/20210617110658633724.pdf</w:t>
      </w:r>
    </w:p>
    <w:p w14:paraId="11A53DEE"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Тань Жуньши. Эксимбанк Китая и БРСХК: Политические функции становятся более заметны (Цзиньчукоу иньхан юй нунфахан:чжэнцэсин чжинэн гэнцзя тучу) //  Чжунго цзиньжун цзя (Китайский финансист). 2015. - №5. - С. 64–66</w:t>
      </w:r>
    </w:p>
    <w:p w14:paraId="0B459FE4"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Тун Цзянь, Чжан Кунь. Размышления о некоторых вопросах углубления реформы политического финансирования (Шэнхуа чжэнцэсин цзиньжун гайгэ ногань вэньтидэ сыкао) // Цзинцзи вэнти (Вопросы экономики). – 2018. - №4. – С. 50–53.</w:t>
      </w:r>
    </w:p>
    <w:p w14:paraId="0913ABCC"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У Сяолин. Чжуго цзиньжун гайгэ кайфан дашицзи (Основные вехи финансовой реформы и период «открытости» в Китае). Чжунго цзиньжун чубаньшэ. – 2008. – С. 19.</w:t>
      </w:r>
    </w:p>
    <w:p w14:paraId="52B26CE7"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У Юаньсянь. История финансов Китая (1978–2018) (Чжунго цзиньжунши). Шэхуэй кэсюэ вэньсянь шубаньшэю - 2018. - С. 235–236.</w:t>
      </w:r>
    </w:p>
    <w:p w14:paraId="2208B1D0"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Финансирование в первую очередь направлено на помощь в поддержании взаимосвязанности (Цзиньжун сяньхан чжули яньсянь хулян хутун чэнли) // Сайт ГБРК. [Электронный ресурс]. – Режим доступа: http://www.cdb.com.cn/xwzx/mtjj/201610/t20161026_3731.html</w:t>
      </w:r>
    </w:p>
    <w:p w14:paraId="429A2E83"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Финансовая отчетность // Сайт ООО «Чайнасельхозбанк». [Электронный ресурс]. – Режим доступа: </w:t>
      </w:r>
      <w:hyperlink r:id="rId137" w:history="1">
        <w:r w:rsidRPr="004B5630">
          <w:rPr>
            <w:rStyle w:val="af"/>
            <w:rFonts w:ascii="Times New Roman" w:eastAsia="Times New Roman" w:hAnsi="Times New Roman"/>
            <w:sz w:val="28"/>
            <w:szCs w:val="28"/>
            <w:lang w:eastAsia="ar-SA"/>
          </w:rPr>
          <w:t>http://www.ru.abchina.com/ru/default.htm</w:t>
        </w:r>
        <w:r w:rsidRPr="004B5630">
          <w:rPr>
            <w:rStyle w:val="af"/>
            <w:rFonts w:ascii="Times New Roman" w:eastAsia="Times New Roman" w:hAnsi="Times New Roman"/>
            <w:sz w:val="28"/>
            <w:szCs w:val="28"/>
            <w:lang w:val="en-US" w:eastAsia="ar-SA"/>
          </w:rPr>
          <w:t>l</w:t>
        </w:r>
      </w:hyperlink>
    </w:p>
    <w:p w14:paraId="2FF7290A"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Финансовая отчетность АйСиБиСи // Сайт АйСиБиСи Банка (АО). [Электронный ресурс]. – Режим доступа: </w:t>
      </w:r>
      <w:hyperlink r:id="rId138" w:history="1">
        <w:r w:rsidRPr="004B5630">
          <w:rPr>
            <w:rStyle w:val="af"/>
            <w:rFonts w:ascii="Times New Roman" w:eastAsia="Times New Roman" w:hAnsi="Times New Roman"/>
            <w:sz w:val="28"/>
            <w:szCs w:val="28"/>
            <w:lang w:eastAsia="ar-SA"/>
          </w:rPr>
          <w:t>https://moscow.icbc.com.cn/ICBC/</w:t>
        </w:r>
        <w:r w:rsidRPr="004B5630">
          <w:rPr>
            <w:rStyle w:val="af"/>
            <w:rFonts w:ascii="MS Mincho" w:eastAsia="MS Mincho" w:hAnsi="MS Mincho" w:cs="MS Mincho" w:hint="eastAsia"/>
            <w:sz w:val="28"/>
            <w:szCs w:val="28"/>
            <w:lang w:eastAsia="ar-SA"/>
          </w:rPr>
          <w:t>海外分行</w:t>
        </w:r>
        <w:r w:rsidRPr="004B5630">
          <w:rPr>
            <w:rStyle w:val="af"/>
            <w:rFonts w:ascii="Times New Roman" w:eastAsia="Times New Roman" w:hAnsi="Times New Roman"/>
            <w:sz w:val="28"/>
            <w:szCs w:val="28"/>
            <w:lang w:eastAsia="ar-SA"/>
          </w:rPr>
          <w:t>/</w:t>
        </w:r>
        <w:r w:rsidRPr="004B5630">
          <w:rPr>
            <w:rStyle w:val="af"/>
            <w:rFonts w:ascii="MS Mincho" w:eastAsia="MS Mincho" w:hAnsi="MS Mincho" w:cs="MS Mincho" w:hint="eastAsia"/>
            <w:sz w:val="28"/>
            <w:szCs w:val="28"/>
            <w:lang w:eastAsia="ar-SA"/>
          </w:rPr>
          <w:t>莫斯科网站</w:t>
        </w:r>
        <w:r w:rsidRPr="004B5630">
          <w:rPr>
            <w:rStyle w:val="af"/>
            <w:rFonts w:ascii="Times New Roman" w:eastAsia="Times New Roman" w:hAnsi="Times New Roman"/>
            <w:sz w:val="28"/>
            <w:szCs w:val="28"/>
            <w:lang w:eastAsia="ar-SA"/>
          </w:rPr>
          <w:t>/ru/</w:t>
        </w:r>
        <w:r w:rsidRPr="004B5630">
          <w:rPr>
            <w:rStyle w:val="af"/>
            <w:rFonts w:ascii="MS Mincho" w:eastAsia="MS Mincho" w:hAnsi="MS Mincho" w:cs="MS Mincho" w:hint="eastAsia"/>
            <w:sz w:val="28"/>
            <w:szCs w:val="28"/>
            <w:lang w:eastAsia="ar-SA"/>
          </w:rPr>
          <w:t>信息披露</w:t>
        </w:r>
        <w:r w:rsidRPr="004B5630">
          <w:rPr>
            <w:rStyle w:val="af"/>
            <w:rFonts w:ascii="Times New Roman" w:eastAsia="Times New Roman" w:hAnsi="Times New Roman"/>
            <w:sz w:val="28"/>
            <w:szCs w:val="28"/>
            <w:lang w:eastAsia="ar-SA"/>
          </w:rPr>
          <w:t>2/</w:t>
        </w:r>
        <w:r w:rsidRPr="004B5630">
          <w:rPr>
            <w:rStyle w:val="af"/>
            <w:rFonts w:ascii="PMingLiU" w:eastAsia="PMingLiU" w:hAnsi="PMingLiU" w:cs="PMingLiU" w:hint="eastAsia"/>
            <w:sz w:val="28"/>
            <w:szCs w:val="28"/>
            <w:lang w:eastAsia="ar-SA"/>
          </w:rPr>
          <w:t>报表披露</w:t>
        </w:r>
        <w:r w:rsidRPr="004B5630">
          <w:rPr>
            <w:rStyle w:val="af"/>
            <w:rFonts w:ascii="Times New Roman" w:eastAsia="Times New Roman" w:hAnsi="Times New Roman"/>
            <w:sz w:val="28"/>
            <w:szCs w:val="28"/>
            <w:lang w:eastAsia="ar-SA"/>
          </w:rPr>
          <w:t>/</w:t>
        </w:r>
      </w:hyperlink>
    </w:p>
    <w:p w14:paraId="37EE291E"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Финансовая отчетность Бэнк оф Чайна // Сайт АКБ «Бэнк оф Чайна» (АО). [Электронный ресурс]. – Режим доступа: </w:t>
      </w:r>
      <w:hyperlink r:id="rId139" w:history="1">
        <w:r w:rsidRPr="004B5630">
          <w:rPr>
            <w:rStyle w:val="af"/>
            <w:rFonts w:ascii="Times New Roman" w:eastAsia="Times New Roman" w:hAnsi="Times New Roman"/>
            <w:sz w:val="28"/>
            <w:szCs w:val="28"/>
            <w:lang w:eastAsia="ar-SA"/>
          </w:rPr>
          <w:t>https://www.boc.ru/about_bank/financial_performance/</w:t>
        </w:r>
      </w:hyperlink>
    </w:p>
    <w:p w14:paraId="46AC3E7D"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Финансовая отчетность Чайна Констракшн Банк // Сайт ООО «Чайна Констракшн Банк». [Электронный ресурс]. – Режим доступа: </w:t>
      </w:r>
      <w:hyperlink r:id="rId140" w:history="1">
        <w:r w:rsidRPr="00892364">
          <w:rPr>
            <w:rStyle w:val="af"/>
            <w:rFonts w:ascii="Times New Roman" w:eastAsia="Times New Roman" w:hAnsi="Times New Roman"/>
            <w:sz w:val="28"/>
            <w:szCs w:val="28"/>
            <w:lang w:eastAsia="ar-SA"/>
          </w:rPr>
          <w:t>http://ru.ccb.com/russia/lng/index.html</w:t>
        </w:r>
      </w:hyperlink>
    </w:p>
    <w:p w14:paraId="58E60C0A" w14:textId="77777777" w:rsidR="00086C62"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Финансово-статистический отчёт за 2015 г., опубликованный Народным банком Китая (2015 нянь цзиньжун тунцзи шуцзюй баогао). [Электронный ресурс]. –  Режим доступа: </w:t>
      </w:r>
      <w:hyperlink r:id="rId141" w:history="1">
        <w:r w:rsidRPr="004B5630">
          <w:rPr>
            <w:rStyle w:val="af"/>
            <w:rFonts w:ascii="Times New Roman" w:eastAsia="Times New Roman" w:hAnsi="Times New Roman"/>
            <w:sz w:val="28"/>
            <w:szCs w:val="28"/>
            <w:lang w:eastAsia="ar-SA"/>
          </w:rPr>
          <w:t>http://www.pbc.gov.cn/diaochatongjisi/116219/116225/11871/index1.html</w:t>
        </w:r>
      </w:hyperlink>
    </w:p>
    <w:p w14:paraId="0C68B22E"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Ху Сяолянь. За последние три года Эксимбанк Китая профинансировал 1207 проектов «Пояса и пути» (Гоцюй саннянь цзиньчукоу иньхан сян 1207 гэ “и дай и лу” сянму тигунлэ жунцзы  тяочжань) // Финансовые новости (Цзиньжун шибао). – 2017. - №002.</w:t>
      </w:r>
    </w:p>
    <w:p w14:paraId="27883A52"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Хуан Чжилин. Цюаньцю цзиньцзи гэцзюй сядэ чжунго цзиньцзи цзиньжун чжан люэ яньцзю </w:t>
      </w:r>
      <w:r w:rsidRPr="00892364">
        <w:rPr>
          <w:rFonts w:ascii="MS Mincho" w:eastAsia="MS Mincho" w:hAnsi="MS Mincho" w:cs="MS Mincho" w:hint="eastAsia"/>
          <w:color w:val="000000"/>
          <w:sz w:val="28"/>
          <w:szCs w:val="28"/>
          <w:lang w:eastAsia="ar-SA"/>
        </w:rPr>
        <w:t>（</w:t>
      </w:r>
      <w:r w:rsidRPr="00892364">
        <w:rPr>
          <w:rFonts w:ascii="Times New Roman" w:eastAsia="Times New Roman" w:hAnsi="Times New Roman"/>
          <w:color w:val="000000"/>
          <w:sz w:val="28"/>
          <w:szCs w:val="28"/>
          <w:lang w:eastAsia="ar-SA"/>
        </w:rPr>
        <w:t>Исследование финансово-экономической стратегии Китая с позиции глобального экономического масштаба</w:t>
      </w:r>
      <w:r w:rsidRPr="00892364">
        <w:rPr>
          <w:rFonts w:ascii="MS Mincho" w:eastAsia="MS Mincho" w:hAnsi="MS Mincho" w:cs="MS Mincho" w:hint="eastAsia"/>
          <w:color w:val="000000"/>
          <w:sz w:val="28"/>
          <w:szCs w:val="28"/>
          <w:lang w:eastAsia="ar-SA"/>
        </w:rPr>
        <w:t>）</w:t>
      </w:r>
      <w:r w:rsidRPr="00892364">
        <w:rPr>
          <w:rFonts w:ascii="Times New Roman" w:eastAsia="Times New Roman" w:hAnsi="Times New Roman"/>
          <w:color w:val="000000"/>
          <w:sz w:val="28"/>
          <w:szCs w:val="28"/>
          <w:lang w:eastAsia="ar-SA"/>
        </w:rPr>
        <w:t xml:space="preserve"> // Исследования по финансовому регулированию. Комитет по регулированию б</w:t>
      </w:r>
      <w:r w:rsidRPr="00892364">
        <w:rPr>
          <w:rFonts w:ascii="Times New Roman" w:eastAsia="Times New Roman" w:hAnsi="Times New Roman" w:hint="eastAsia"/>
          <w:color w:val="000000"/>
          <w:sz w:val="28"/>
          <w:szCs w:val="28"/>
          <w:lang w:eastAsia="ar-SA"/>
        </w:rPr>
        <w:t>анковской</w:t>
      </w:r>
      <w:r w:rsidRPr="00892364">
        <w:rPr>
          <w:rFonts w:ascii="Times New Roman" w:eastAsia="Times New Roman" w:hAnsi="Times New Roman"/>
          <w:color w:val="000000"/>
          <w:sz w:val="28"/>
          <w:szCs w:val="28"/>
          <w:lang w:eastAsia="ar-SA"/>
        </w:rPr>
        <w:t xml:space="preserve"> и страховой деятельности Китая. – 2019. - №2.  – С. 1-15. </w:t>
      </w:r>
    </w:p>
    <w:p w14:paraId="30322AB1"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hint="eastAsia"/>
          <w:color w:val="000000"/>
          <w:sz w:val="28"/>
          <w:szCs w:val="28"/>
          <w:lang w:eastAsia="ar-SA"/>
        </w:rPr>
        <w:t>Цзя</w:t>
      </w:r>
      <w:r w:rsidRPr="00892364">
        <w:rPr>
          <w:rFonts w:ascii="Times New Roman" w:eastAsia="Times New Roman" w:hAnsi="Times New Roman"/>
          <w:color w:val="000000"/>
          <w:sz w:val="28"/>
          <w:szCs w:val="28"/>
          <w:lang w:eastAsia="ar-SA"/>
        </w:rPr>
        <w:t xml:space="preserve"> Иньхуа. Конструирование полного процесса системы управления кредитными рисками Азиатского банка инфраструктурных инвестиций на примере Государственного банка развития Китая (Ячжоу цзичу шэши тоуцзы иньхан дайкуань цюаньгочэн фэнсянь гуаньли тиси дэ гоу цзянь – цзиюй гоцзя кайфа иньхан цзинъянь яньцзю) // Экономика и управление (Цзинцзи юй гуаньли). – 2016. - № 3. - С. 13–18.</w:t>
      </w:r>
    </w:p>
    <w:p w14:paraId="0F9C860C"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 Циюань. Государственный банк развития Китая: перестройка и стимулирование перестройки финансовой системы (Гоцзя кайфа иньхан: цзыво чжунсу хэ туйдун цзиньжун тисидэ чунсу) // Кайфасин цзиньжун яньцзю (Исследования финансирования развития). – 2017. - №4. – С. 15–27.</w:t>
      </w:r>
    </w:p>
    <w:p w14:paraId="02CF2140"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hint="eastAsia"/>
          <w:color w:val="000000"/>
          <w:sz w:val="28"/>
          <w:szCs w:val="28"/>
          <w:lang w:eastAsia="ar-SA"/>
        </w:rPr>
        <w:t>Цэн</w:t>
      </w:r>
      <w:r w:rsidRPr="00892364">
        <w:rPr>
          <w:rFonts w:ascii="Times New Roman" w:eastAsia="Times New Roman" w:hAnsi="Times New Roman"/>
          <w:color w:val="000000"/>
          <w:sz w:val="28"/>
          <w:szCs w:val="28"/>
          <w:lang w:eastAsia="ar-SA"/>
        </w:rPr>
        <w:t xml:space="preserve"> Сян. Анализ роли и влияния финансирования развития Китая на строительство инфраструктуры стран-участниц «Пояса и пути». На примере систем водоснабжения и водоотведения на Шри-Ланке (Вого кайфасин цзиньжун цзай “и дай и лу” яньсянь гоцзя цзичу шэши цзян</w:t>
      </w:r>
      <w:r w:rsidRPr="00892364">
        <w:rPr>
          <w:rFonts w:ascii="Times New Roman" w:eastAsia="Times New Roman" w:hAnsi="Times New Roman" w:hint="eastAsia"/>
          <w:color w:val="000000"/>
          <w:sz w:val="28"/>
          <w:szCs w:val="28"/>
          <w:lang w:eastAsia="ar-SA"/>
        </w:rPr>
        <w:t>ьшэчжундэ</w:t>
      </w:r>
      <w:r w:rsidRPr="00892364">
        <w:rPr>
          <w:rFonts w:ascii="Times New Roman" w:eastAsia="Times New Roman" w:hAnsi="Times New Roman"/>
          <w:color w:val="000000"/>
          <w:sz w:val="28"/>
          <w:szCs w:val="28"/>
          <w:lang w:eastAsia="ar-SA"/>
        </w:rPr>
        <w:t xml:space="preserve"> цзоюн хэ инсянли фэньсы – и сылиланька гунпайшуй линьцю сянму вэйле) // Исследование финансирования развития (Кайфасин цзиньжун яньцзю). – 2018. – №3. – С. 20–25. </w:t>
      </w:r>
    </w:p>
    <w:p w14:paraId="5F3B5224"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hint="eastAsia"/>
          <w:color w:val="000000"/>
          <w:sz w:val="28"/>
          <w:szCs w:val="28"/>
          <w:lang w:eastAsia="ar-SA"/>
        </w:rPr>
        <w:t>Чжан</w:t>
      </w:r>
      <w:r w:rsidRPr="00892364">
        <w:rPr>
          <w:rFonts w:ascii="Times New Roman" w:eastAsia="Times New Roman" w:hAnsi="Times New Roman"/>
          <w:color w:val="000000"/>
          <w:sz w:val="28"/>
          <w:szCs w:val="28"/>
          <w:lang w:eastAsia="ar-SA"/>
        </w:rPr>
        <w:t xml:space="preserve"> Сунтао. Изо всех сил продвигать политическое финансирование строительства «Пояса и пути» (Чжунго цзиньчукоу иньхан: чжэнцысин цзиньжун цюаньли туйцзинь “и дай и лу” цзяньшэ хэцзо) // Зарубежные инвестиции и экспортные кредиты (Хайвай тоуцзы юй чукоу с</w:t>
      </w:r>
      <w:r w:rsidRPr="00892364">
        <w:rPr>
          <w:rFonts w:ascii="Times New Roman" w:eastAsia="Times New Roman" w:hAnsi="Times New Roman" w:hint="eastAsia"/>
          <w:color w:val="000000"/>
          <w:sz w:val="28"/>
          <w:szCs w:val="28"/>
          <w:lang w:eastAsia="ar-SA"/>
        </w:rPr>
        <w:t>иньдай</w:t>
      </w:r>
      <w:r w:rsidRPr="00892364">
        <w:rPr>
          <w:rFonts w:ascii="Times New Roman" w:eastAsia="Times New Roman" w:hAnsi="Times New Roman"/>
          <w:color w:val="000000"/>
          <w:sz w:val="28"/>
          <w:szCs w:val="28"/>
          <w:lang w:eastAsia="ar-SA"/>
        </w:rPr>
        <w:t xml:space="preserve">). – 2018. – №4. - С. 3–6.   </w:t>
      </w:r>
    </w:p>
    <w:p w14:paraId="01CB0A46"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hint="eastAsia"/>
          <w:color w:val="000000"/>
          <w:sz w:val="28"/>
          <w:szCs w:val="28"/>
          <w:lang w:eastAsia="ar-SA"/>
        </w:rPr>
        <w:t>Чжан</w:t>
      </w:r>
      <w:r w:rsidRPr="00892364">
        <w:rPr>
          <w:rFonts w:ascii="Times New Roman" w:eastAsia="Times New Roman" w:hAnsi="Times New Roman"/>
          <w:color w:val="000000"/>
          <w:sz w:val="28"/>
          <w:szCs w:val="28"/>
          <w:lang w:eastAsia="ar-SA"/>
        </w:rPr>
        <w:t xml:space="preserve"> Цюаньсин. Создание благоприятной среды для иностранных финансовых услуг (Инцзао лянхао дэ вайцзинь фуву хуанцзин   хэцзо) // Финансы Китая (Чжунго цзиньжун). – 2017. - № 17. – С. 92–93. </w:t>
      </w:r>
    </w:p>
    <w:p w14:paraId="6555C5B7"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Чжао Сецин. Барьеры и пути преодоления в процессе использования юаня в инициативе «Один пояс - Один путь» (“И дай и лу” яньсянь жэньминьби шиюн чжанъай юй дуйсэ цзяньи // Жэньминь гоцзихуа гуаньча (Исследование по интернационализации жэньминьби). 2020. №12. – [Электронный ресурс]. – Режим доступа: https://www.boc.cn/fimarkets/summarize/202007/t20200730_18196446.html</w:t>
      </w:r>
    </w:p>
    <w:p w14:paraId="268EF6B8"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hint="eastAsia"/>
          <w:color w:val="000000"/>
          <w:sz w:val="28"/>
          <w:szCs w:val="28"/>
          <w:lang w:eastAsia="ar-SA"/>
        </w:rPr>
        <w:t>Чжао</w:t>
      </w:r>
      <w:r w:rsidRPr="00892364">
        <w:rPr>
          <w:rFonts w:ascii="Times New Roman" w:eastAsia="Times New Roman" w:hAnsi="Times New Roman"/>
          <w:color w:val="000000"/>
          <w:sz w:val="28"/>
          <w:szCs w:val="28"/>
          <w:lang w:eastAsia="ar-SA"/>
        </w:rPr>
        <w:t xml:space="preserve"> Ян. Помощь в борьбе с эпидемией, профилактике и контроле: Экстренный выпуск облигаций (Чжули ицин фан кун цзуцзи чжань: чжути чжайцюань хосу фасин) // financialnews.com.cn. [Электронный ресурс]. – Режим доступа: http://www.financialnews.com.cn/gc/sd/202002/t20200207_176996.html</w:t>
      </w:r>
    </w:p>
    <w:p w14:paraId="559BB746"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hint="eastAsia"/>
          <w:color w:val="000000"/>
          <w:sz w:val="28"/>
          <w:szCs w:val="28"/>
          <w:lang w:eastAsia="ar-SA"/>
        </w:rPr>
        <w:t>Чжао</w:t>
      </w:r>
      <w:r w:rsidRPr="00892364">
        <w:rPr>
          <w:rFonts w:ascii="Times New Roman" w:eastAsia="Times New Roman" w:hAnsi="Times New Roman"/>
          <w:color w:val="000000"/>
          <w:sz w:val="28"/>
          <w:szCs w:val="28"/>
          <w:lang w:eastAsia="ar-SA"/>
        </w:rPr>
        <w:t xml:space="preserve"> Ян. Помощь в профилактике и контроле эпидемии: Доклад о специальном экстренном выпуске облигаций (Чжао Ян. Чжули ицин фан кун цзуцзи чжань: чжути чжайцюань хосу фасин) // Financialnews.com.cn. [Электронный ресурс]. – Режим доступа: http://www.financialnews.com.cn/gc/sd/202002/t20200207_176996.html</w:t>
      </w:r>
    </w:p>
    <w:p w14:paraId="51D2EEBE"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hint="eastAsia"/>
          <w:color w:val="000000"/>
          <w:sz w:val="28"/>
          <w:szCs w:val="28"/>
          <w:lang w:eastAsia="ar-SA"/>
        </w:rPr>
        <w:t>Чэнь</w:t>
      </w:r>
      <w:r w:rsidRPr="00892364">
        <w:rPr>
          <w:rFonts w:ascii="Times New Roman" w:eastAsia="Times New Roman" w:hAnsi="Times New Roman"/>
          <w:color w:val="000000"/>
          <w:sz w:val="28"/>
          <w:szCs w:val="28"/>
          <w:lang w:eastAsia="ar-SA"/>
        </w:rPr>
        <w:t xml:space="preserve"> Юань. Между правительством и рынком: китайские исследования финансирования развития (Чжэнфу юй шичан чжицзянь: кайфасин цзиньжундэ чжунго таньсо) Пекин. Чжунсинь чубаньшэ. 2012. – 309 с. </w:t>
      </w:r>
    </w:p>
    <w:p w14:paraId="241DC199"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hint="eastAsia"/>
          <w:color w:val="000000"/>
          <w:sz w:val="28"/>
          <w:szCs w:val="28"/>
          <w:lang w:eastAsia="ar-SA"/>
        </w:rPr>
        <w:t>Чэнь</w:t>
      </w:r>
      <w:r w:rsidRPr="00892364">
        <w:rPr>
          <w:rFonts w:ascii="Times New Roman" w:eastAsia="Times New Roman" w:hAnsi="Times New Roman"/>
          <w:color w:val="000000"/>
          <w:sz w:val="28"/>
          <w:szCs w:val="28"/>
          <w:lang w:eastAsia="ar-SA"/>
        </w:rPr>
        <w:t xml:space="preserve"> Яньда. Исследование роли политических банков в контрциклическом регулировании (жэнцэсин иньхан дичжоуци тяоцзе цзоюн фахуэй яньцзю) // Циъе цзинцзи (Экономика предприятия). - 2020. - №12. – С. 154–160.</w:t>
      </w:r>
    </w:p>
    <w:p w14:paraId="2498C481"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hint="eastAsia"/>
          <w:color w:val="000000"/>
          <w:sz w:val="28"/>
          <w:szCs w:val="28"/>
          <w:lang w:eastAsia="ar-SA"/>
        </w:rPr>
        <w:t>Эксимбанк</w:t>
      </w:r>
      <w:r w:rsidRPr="00892364">
        <w:rPr>
          <w:rFonts w:ascii="Times New Roman" w:eastAsia="Times New Roman" w:hAnsi="Times New Roman"/>
          <w:color w:val="000000"/>
          <w:sz w:val="28"/>
          <w:szCs w:val="28"/>
          <w:lang w:eastAsia="ar-SA"/>
        </w:rPr>
        <w:t xml:space="preserve"> Китая: использовать преимущества политического финансирования продвигать внешнеторговое партнерство (Чжунго цзиньчукоу иньхан: фахуэй чжэнцэсин цзиеньжун юши туйдун дуйвай цзинмао хэцзо) // Чжунго иньханъе (Банковская индустрия Китая). – 2017. - </w:t>
      </w:r>
      <w:r w:rsidRPr="00892364">
        <w:rPr>
          <w:rFonts w:ascii="Times New Roman" w:eastAsia="Times New Roman" w:hAnsi="Times New Roman" w:hint="eastAsia"/>
          <w:color w:val="000000"/>
          <w:sz w:val="28"/>
          <w:szCs w:val="28"/>
          <w:lang w:eastAsia="ar-SA"/>
        </w:rPr>
        <w:t>№</w:t>
      </w:r>
      <w:r w:rsidRPr="00892364">
        <w:rPr>
          <w:rFonts w:ascii="Times New Roman" w:eastAsia="Times New Roman" w:hAnsi="Times New Roman"/>
          <w:color w:val="000000"/>
          <w:sz w:val="28"/>
          <w:szCs w:val="28"/>
          <w:lang w:eastAsia="ar-SA"/>
        </w:rPr>
        <w:t xml:space="preserve">S1. – С. 16–19. </w:t>
      </w:r>
    </w:p>
    <w:p w14:paraId="13B74C01"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hint="eastAsia"/>
          <w:color w:val="000000"/>
          <w:sz w:val="28"/>
          <w:szCs w:val="28"/>
          <w:lang w:eastAsia="ar-SA"/>
        </w:rPr>
        <w:t>Экспортно</w:t>
      </w:r>
      <w:r w:rsidRPr="00892364">
        <w:rPr>
          <w:rFonts w:ascii="Times New Roman" w:eastAsia="Times New Roman" w:hAnsi="Times New Roman"/>
          <w:color w:val="000000"/>
          <w:sz w:val="28"/>
          <w:szCs w:val="28"/>
          <w:lang w:eastAsia="ar-SA"/>
        </w:rPr>
        <w:t>-импортный банк Китая: развивать преимущества политического финансирования, продвигать сотрудничество во внешней торговле (Чжунго цзиньчукоу иньхан: фахуэй чжэнцэсин цзиньжун юши туйдун дуйвай цзинмао хэцзо) // Банковское дело Китая (Чжунго иньхан</w:t>
      </w:r>
      <w:r w:rsidRPr="00892364">
        <w:rPr>
          <w:rFonts w:ascii="Times New Roman" w:eastAsia="Times New Roman" w:hAnsi="Times New Roman" w:hint="eastAsia"/>
          <w:color w:val="000000"/>
          <w:sz w:val="28"/>
          <w:szCs w:val="28"/>
          <w:lang w:eastAsia="ar-SA"/>
        </w:rPr>
        <w:t>ъе</w:t>
      </w:r>
      <w:r w:rsidRPr="00892364">
        <w:rPr>
          <w:rFonts w:ascii="Times New Roman" w:eastAsia="Times New Roman" w:hAnsi="Times New Roman"/>
          <w:color w:val="000000"/>
          <w:sz w:val="28"/>
          <w:szCs w:val="28"/>
          <w:lang w:eastAsia="ar-SA"/>
        </w:rPr>
        <w:t xml:space="preserve">). – 2017. - №S1.- С. 16–17.  </w:t>
      </w:r>
    </w:p>
    <w:p w14:paraId="79EB6C3F"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hint="eastAsia"/>
          <w:color w:val="000000"/>
          <w:sz w:val="28"/>
          <w:szCs w:val="28"/>
          <w:lang w:eastAsia="ar-SA"/>
        </w:rPr>
        <w:t>Экспортно</w:t>
      </w:r>
      <w:r w:rsidRPr="00892364">
        <w:rPr>
          <w:rFonts w:ascii="Times New Roman" w:eastAsia="Times New Roman" w:hAnsi="Times New Roman"/>
          <w:color w:val="000000"/>
          <w:sz w:val="28"/>
          <w:szCs w:val="28"/>
          <w:lang w:eastAsia="ar-SA"/>
        </w:rPr>
        <w:t>-импортный кредитный бизнес Эксимбанка Китая (Чжунго цзиньчукоу иньхан цзиньчукоу синьдай еу) // Гоцзи шанъу цайхуэй (Финансы и бухгалтерия для международной торговли). – 2013. - №8. – С. 7.</w:t>
      </w:r>
    </w:p>
    <w:p w14:paraId="57A49B54" w14:textId="77777777"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hint="eastAsia"/>
          <w:color w:val="000000"/>
          <w:sz w:val="28"/>
          <w:szCs w:val="28"/>
          <w:lang w:eastAsia="ar-SA"/>
        </w:rPr>
        <w:t>Ян</w:t>
      </w:r>
      <w:r w:rsidRPr="00892364">
        <w:rPr>
          <w:rFonts w:ascii="Times New Roman" w:eastAsia="Times New Roman" w:hAnsi="Times New Roman"/>
          <w:color w:val="000000"/>
          <w:sz w:val="28"/>
          <w:szCs w:val="28"/>
          <w:lang w:eastAsia="ar-SA"/>
        </w:rPr>
        <w:t xml:space="preserve"> Хайся. Инновационные вызовы финансирования «Шелкового пути» (Сылу цзиньжундэ чуансинь тяочжань) // Китайские инвестиции (Чжунго тоуцзы). – 2017. - №17. – С. 40–41.</w:t>
      </w:r>
    </w:p>
    <w:p w14:paraId="60E7DBD3" w14:textId="77777777" w:rsidR="00892364" w:rsidRPr="00892364" w:rsidRDefault="00892364" w:rsidP="00892364">
      <w:pPr>
        <w:pStyle w:val="aff8"/>
        <w:widowControl w:val="0"/>
        <w:autoSpaceDE w:val="0"/>
        <w:spacing w:after="0" w:line="360" w:lineRule="auto"/>
        <w:ind w:left="709"/>
        <w:jc w:val="center"/>
        <w:rPr>
          <w:rFonts w:ascii="Times New Roman" w:eastAsia="Times New Roman" w:hAnsi="Times New Roman"/>
          <w:color w:val="000000"/>
          <w:sz w:val="28"/>
          <w:szCs w:val="28"/>
          <w:lang w:eastAsia="ar-SA"/>
        </w:rPr>
      </w:pPr>
      <w:r>
        <w:rPr>
          <w:rFonts w:ascii="Times New Roman" w:eastAsia="Times New Roman" w:hAnsi="Times New Roman"/>
          <w:color w:val="000000"/>
          <w:sz w:val="28"/>
          <w:szCs w:val="28"/>
          <w:lang w:eastAsia="ar-SA"/>
        </w:rPr>
        <w:t>Источники на английском языке</w:t>
      </w:r>
    </w:p>
    <w:p w14:paraId="39E92696"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Acemoglu, D. The Value of Connections in Turbulent Times: Evidence from the United States / D. Acemoglu, S. Johnson, A. Kermani [et. al.] // Journal of Financial Economics, 2016. – №121(2). – </w:t>
      </w:r>
      <w:r w:rsidRPr="003B10E2">
        <w:rPr>
          <w:rFonts w:ascii="Times New Roman" w:eastAsia="Times New Roman" w:hAnsi="Times New Roman"/>
          <w:color w:val="000000"/>
          <w:sz w:val="28"/>
          <w:szCs w:val="28"/>
          <w:lang w:eastAsia="ar-SA"/>
        </w:rPr>
        <w:t>Р</w:t>
      </w:r>
      <w:r w:rsidRPr="003B10E2">
        <w:rPr>
          <w:rFonts w:ascii="Times New Roman" w:eastAsia="Times New Roman" w:hAnsi="Times New Roman"/>
          <w:color w:val="000000"/>
          <w:sz w:val="28"/>
          <w:szCs w:val="28"/>
          <w:lang w:val="en-US" w:eastAsia="ar-SA"/>
        </w:rPr>
        <w:t>. 368–391. – ISSN: 2310-2942.</w:t>
      </w:r>
    </w:p>
    <w:p w14:paraId="407A28C6"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Adam, A.M. Susceptibility of stock market returns to international economic policy: evidence from effective transfer entropy of Africa with the implication for open innovation / A.M. Adam. // Journal of Open Innovation: Technology, Market, and Complexity, 2020. –  №6(3). – </w:t>
      </w:r>
      <w:r w:rsidRPr="003B10E2">
        <w:rPr>
          <w:rFonts w:ascii="Times New Roman" w:eastAsia="Times New Roman" w:hAnsi="Times New Roman"/>
          <w:color w:val="000000"/>
          <w:sz w:val="28"/>
          <w:szCs w:val="28"/>
          <w:lang w:eastAsia="ar-SA"/>
        </w:rPr>
        <w:t>Р</w:t>
      </w:r>
      <w:r w:rsidRPr="003B10E2">
        <w:rPr>
          <w:rFonts w:ascii="Times New Roman" w:eastAsia="Times New Roman" w:hAnsi="Times New Roman"/>
          <w:color w:val="000000"/>
          <w:sz w:val="28"/>
          <w:szCs w:val="28"/>
          <w:lang w:val="en-US" w:eastAsia="ar-SA"/>
        </w:rPr>
        <w:t>. 71. – ISSN: 2199-8531.</w:t>
      </w:r>
    </w:p>
    <w:p w14:paraId="297B1D6E"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Agarwal, A. Investigating design targets for effective performance management system: an application of balance scorecard using QFD / A. Agarwal. // Journal of Advances in Management Research, 2021. – №18(3). – </w:t>
      </w:r>
      <w:r w:rsidRPr="003B10E2">
        <w:rPr>
          <w:rFonts w:ascii="Times New Roman" w:eastAsia="Times New Roman" w:hAnsi="Times New Roman"/>
          <w:color w:val="000000"/>
          <w:sz w:val="28"/>
          <w:szCs w:val="28"/>
          <w:lang w:eastAsia="ar-SA"/>
        </w:rPr>
        <w:t>Р</w:t>
      </w:r>
      <w:r w:rsidRPr="003B10E2">
        <w:rPr>
          <w:rFonts w:ascii="Times New Roman" w:eastAsia="Times New Roman" w:hAnsi="Times New Roman"/>
          <w:color w:val="000000"/>
          <w:sz w:val="28"/>
          <w:szCs w:val="28"/>
          <w:lang w:val="en-US" w:eastAsia="ar-SA"/>
        </w:rPr>
        <w:t>. 353–367. – ISSN: 0972-7981.</w:t>
      </w:r>
    </w:p>
    <w:p w14:paraId="7324D535"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 xml:space="preserve">Aggarwal, R. American Depositary Receipts (ADR) Holdings of U.S. Based Emerging Market Funds / R. Aggarwal, S. Dahiya, L. Klapper. </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iCs/>
          <w:color w:val="000000"/>
          <w:sz w:val="28"/>
          <w:szCs w:val="28"/>
          <w:lang w:val="en-US" w:eastAsia="ar-SA"/>
        </w:rPr>
        <w:t xml:space="preserve">World Bank Policy Research Working, 2005. </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Р</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iCs/>
          <w:color w:val="000000"/>
          <w:sz w:val="28"/>
          <w:szCs w:val="28"/>
          <w:lang w:val="en-US" w:eastAsia="ar-SA"/>
        </w:rPr>
        <w:t>35</w:t>
      </w:r>
      <w:r w:rsidRPr="003B10E2">
        <w:rPr>
          <w:rFonts w:ascii="Times New Roman" w:eastAsia="Times New Roman" w:hAnsi="Times New Roman"/>
          <w:color w:val="000000"/>
          <w:sz w:val="28"/>
          <w:szCs w:val="28"/>
          <w:lang w:val="en-US" w:eastAsia="ar-SA"/>
        </w:rPr>
        <w:t>–</w:t>
      </w:r>
      <w:r w:rsidRPr="003B10E2">
        <w:rPr>
          <w:rFonts w:ascii="Times New Roman" w:eastAsia="Times New Roman" w:hAnsi="Times New Roman"/>
          <w:iCs/>
          <w:color w:val="000000"/>
          <w:sz w:val="28"/>
          <w:szCs w:val="28"/>
          <w:lang w:val="en-US" w:eastAsia="ar-SA"/>
        </w:rPr>
        <w:t>38.</w:t>
      </w:r>
    </w:p>
    <w:p w14:paraId="671440B2"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Aghion, P. Financial Development and the Instability of Open Economy / P. Aghion, P. Bacchetta, A.  Banerjee. // Journal of Monetary Economics, 2004. – Volume 51. – P.1077–1106.</w:t>
      </w:r>
    </w:p>
    <w:p w14:paraId="0F02E2FB"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Ahmad, W. Optimal hedge ratios for clean energy equities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W. Ahmad, P. Sadorsky, A.  Sharma. // Economic Modelling, 2018. – Volume 72. – Issue C. – P. 278–295. – ISSN: 0264-9993. </w:t>
      </w:r>
    </w:p>
    <w:p w14:paraId="7CCA6363"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Aielli, G.P. Dynamic conditional correlation: on properties and estimation / G.P. Aielli. // Journal of Business &amp; Economic Statistics, 2013. – №31(3). – </w:t>
      </w:r>
      <w:r w:rsidRPr="003B10E2">
        <w:rPr>
          <w:rFonts w:ascii="Times New Roman" w:eastAsia="Times New Roman" w:hAnsi="Times New Roman"/>
          <w:color w:val="000000"/>
          <w:sz w:val="28"/>
          <w:szCs w:val="28"/>
          <w:lang w:eastAsia="ar-SA"/>
        </w:rPr>
        <w:t>Р</w:t>
      </w:r>
      <w:r w:rsidRPr="003B10E2">
        <w:rPr>
          <w:rFonts w:ascii="Times New Roman" w:eastAsia="Times New Roman" w:hAnsi="Times New Roman"/>
          <w:color w:val="000000"/>
          <w:sz w:val="28"/>
          <w:szCs w:val="28"/>
          <w:lang w:val="en-US" w:eastAsia="ar-SA"/>
        </w:rPr>
        <w:t xml:space="preserve">. 282–299. – ISSN: 0735-0015. </w:t>
      </w:r>
    </w:p>
    <w:p w14:paraId="7B53D39C"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Akdere, Ç. The nature of financial innovation: a post-schumpeterian analysis / Ç. Akdere, P. Benli. // Journal of Economic Issues, 2018. – №52(3). – </w:t>
      </w:r>
      <w:r w:rsidRPr="003B10E2">
        <w:rPr>
          <w:rFonts w:ascii="Times New Roman" w:eastAsia="Times New Roman" w:hAnsi="Times New Roman"/>
          <w:color w:val="000000"/>
          <w:sz w:val="28"/>
          <w:szCs w:val="28"/>
          <w:lang w:eastAsia="ar-SA"/>
        </w:rPr>
        <w:t>Р</w:t>
      </w:r>
      <w:r w:rsidRPr="003B10E2">
        <w:rPr>
          <w:rFonts w:ascii="Times New Roman" w:eastAsia="Times New Roman" w:hAnsi="Times New Roman"/>
          <w:color w:val="000000"/>
          <w:sz w:val="28"/>
          <w:szCs w:val="28"/>
          <w:lang w:val="en-US" w:eastAsia="ar-SA"/>
        </w:rPr>
        <w:t>. 717–748. – ISSN: 0021-3624.</w:t>
      </w:r>
    </w:p>
    <w:p w14:paraId="59E9F13F"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Akerlof, G. The Market for «Lemons»: Quality Uncertainty and the Market Mechanism / G. Akerlof. // Quarterly Journal of Economics, 1970. – Volume 84. – P.488–500. – ISSN: 0033-5533.</w:t>
      </w:r>
    </w:p>
    <w:p w14:paraId="7ED8D52D"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Akerlof, G. The Missing Motivation in Macroeconomics / G. Akerlof. // American Economic Review, 2007. – Volume 97(1). – ISSN: 0002-8282.</w:t>
      </w:r>
    </w:p>
    <w:p w14:paraId="5F7710A3"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Al Janabi, M. A.M. Integrating Liquidity Risk Factor into a Parametric Value at Risk Method / M. A.M.  Al Janabi. // Journal of Trading, 2008. – Summer issue. – </w:t>
      </w:r>
      <w:r w:rsidRPr="003B10E2">
        <w:rPr>
          <w:rFonts w:ascii="Times New Roman" w:eastAsia="Times New Roman" w:hAnsi="Times New Roman"/>
          <w:color w:val="000000"/>
          <w:sz w:val="28"/>
          <w:szCs w:val="28"/>
          <w:lang w:eastAsia="ar-SA"/>
        </w:rPr>
        <w:t>Р</w:t>
      </w:r>
      <w:r w:rsidRPr="003B10E2">
        <w:rPr>
          <w:rFonts w:ascii="Times New Roman" w:eastAsia="Times New Roman" w:hAnsi="Times New Roman"/>
          <w:color w:val="000000"/>
          <w:sz w:val="28"/>
          <w:szCs w:val="28"/>
          <w:lang w:val="en-US" w:eastAsia="ar-SA"/>
        </w:rPr>
        <w:t>. 76–87.</w:t>
      </w:r>
    </w:p>
    <w:p w14:paraId="75C62FA1"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Alagidede, P. On the causes and effects of exchange rate volatility on economic growth: Evidence from Ghana. / P. Alagidede, M. Ibrahim. // Journal of African Business,2017. – №18(2). – </w:t>
      </w:r>
      <w:r w:rsidRPr="003B10E2">
        <w:rPr>
          <w:rFonts w:ascii="Times New Roman" w:eastAsia="Times New Roman" w:hAnsi="Times New Roman"/>
          <w:color w:val="000000"/>
          <w:sz w:val="28"/>
          <w:szCs w:val="28"/>
          <w:lang w:eastAsia="ar-SA"/>
        </w:rPr>
        <w:t>Р</w:t>
      </w:r>
      <w:r w:rsidRPr="003B10E2">
        <w:rPr>
          <w:rFonts w:ascii="Times New Roman" w:eastAsia="Times New Roman" w:hAnsi="Times New Roman"/>
          <w:color w:val="000000"/>
          <w:sz w:val="28"/>
          <w:szCs w:val="28"/>
          <w:lang w:val="en-US" w:eastAsia="ar-SA"/>
        </w:rPr>
        <w:t>. 169–193.</w:t>
      </w:r>
    </w:p>
    <w:p w14:paraId="4F1E1B57"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 xml:space="preserve">Alam, N. Digitalization and disruption in the financial sector. In Fintech and Islamic Finance / N. Alam, L. Gupta, A.  Zameni. – Palgrave Macmillan: Cham, 2019. – </w:t>
      </w:r>
      <w:r w:rsidRPr="003B10E2">
        <w:rPr>
          <w:rFonts w:ascii="Times New Roman" w:eastAsia="Times New Roman" w:hAnsi="Times New Roman"/>
          <w:sz w:val="28"/>
          <w:szCs w:val="28"/>
          <w:lang w:eastAsia="ar-SA"/>
        </w:rPr>
        <w:t>Р</w:t>
      </w:r>
      <w:r w:rsidRPr="003B10E2">
        <w:rPr>
          <w:rFonts w:ascii="Times New Roman" w:eastAsia="Times New Roman" w:hAnsi="Times New Roman"/>
          <w:sz w:val="28"/>
          <w:szCs w:val="28"/>
          <w:lang w:val="en-US" w:eastAsia="ar-SA"/>
        </w:rPr>
        <w:t>. 1–9.</w:t>
      </w:r>
    </w:p>
    <w:p w14:paraId="510BA927"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Alderson, M.J. Pension Policy and the Value of Corporate-Level Investment / M.J. Alderson, N.L. Seitz. // Financial Management. – Summer 2013. – </w:t>
      </w:r>
      <w:r w:rsidRPr="003B10E2">
        <w:rPr>
          <w:rFonts w:ascii="Times New Roman" w:eastAsia="Times New Roman" w:hAnsi="Times New Roman"/>
          <w:color w:val="000000"/>
          <w:sz w:val="28"/>
          <w:szCs w:val="28"/>
          <w:lang w:eastAsia="ar-SA"/>
        </w:rPr>
        <w:t>Р</w:t>
      </w:r>
      <w:r w:rsidRPr="003B10E2">
        <w:rPr>
          <w:rFonts w:ascii="Times New Roman" w:eastAsia="Times New Roman" w:hAnsi="Times New Roman"/>
          <w:color w:val="000000"/>
          <w:sz w:val="28"/>
          <w:szCs w:val="28"/>
          <w:lang w:val="en-US" w:eastAsia="ar-SA"/>
        </w:rPr>
        <w:t>. 413–440.</w:t>
      </w:r>
    </w:p>
    <w:p w14:paraId="4765211F" w14:textId="77777777" w:rsidR="00F769DA" w:rsidRPr="003B10E2" w:rsidRDefault="00F769DA" w:rsidP="00034948">
      <w:pPr>
        <w:pStyle w:val="aff8"/>
        <w:numPr>
          <w:ilvl w:val="0"/>
          <w:numId w:val="17"/>
        </w:numPr>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Al-Dmour, H. Validation of the impact of marketing knowledge management on business performance via digital financial innovation as a mediating factor / H. Al-Dmour, F. Asfour, R. Al-Dmour [et al.] // VINE Journal of Information and Knowledge Management Systems, 2020. – Volume 52. – №1. – P.33–56. – ISSN: 2059-5891.</w:t>
      </w:r>
    </w:p>
    <w:p w14:paraId="0DB487F1"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sz w:val="28"/>
          <w:szCs w:val="28"/>
          <w:lang w:val="en-US" w:eastAsia="ar-SA"/>
        </w:rPr>
        <w:t xml:space="preserve">Ali, </w:t>
      </w:r>
      <w:r w:rsidRPr="003B10E2">
        <w:rPr>
          <w:rFonts w:ascii="Times New Roman" w:eastAsia="Times New Roman" w:hAnsi="Times New Roman"/>
          <w:color w:val="000000"/>
          <w:sz w:val="28"/>
          <w:szCs w:val="28"/>
          <w:lang w:val="en-US" w:eastAsia="ar-SA"/>
        </w:rPr>
        <w:t xml:space="preserve">S. Bitcoin in Blockchain: A Survey. / S. Ali, D. Sahu, J.  Sahu. // International Journal of Computer Sciences and Engineering, 2019. – №7(6). – </w:t>
      </w:r>
      <w:r w:rsidRPr="003B10E2">
        <w:rPr>
          <w:rFonts w:ascii="Times New Roman" w:eastAsia="Times New Roman" w:hAnsi="Times New Roman"/>
          <w:color w:val="000000"/>
          <w:sz w:val="28"/>
          <w:szCs w:val="28"/>
          <w:lang w:eastAsia="ar-SA"/>
        </w:rPr>
        <w:t>Р</w:t>
      </w:r>
      <w:r w:rsidRPr="003B10E2">
        <w:rPr>
          <w:rFonts w:ascii="Times New Roman" w:eastAsia="Times New Roman" w:hAnsi="Times New Roman"/>
          <w:color w:val="000000"/>
          <w:sz w:val="28"/>
          <w:szCs w:val="28"/>
          <w:lang w:val="en-US" w:eastAsia="ar-SA"/>
        </w:rPr>
        <w:t xml:space="preserve">. 708–712. </w:t>
      </w:r>
    </w:p>
    <w:p w14:paraId="61CFEEAF"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Aliyu, S. U. R. Exchange rate volatility and export trade in Nigeria: an empirical investigation / S. U. R. Aliyu. // Applied Financial Economics, 2010. – №20(13). – </w:t>
      </w:r>
      <w:r w:rsidRPr="003B10E2">
        <w:rPr>
          <w:rFonts w:ascii="Times New Roman" w:eastAsia="Times New Roman" w:hAnsi="Times New Roman"/>
          <w:color w:val="000000"/>
          <w:sz w:val="28"/>
          <w:szCs w:val="28"/>
          <w:lang w:eastAsia="ar-SA"/>
        </w:rPr>
        <w:t>Р</w:t>
      </w:r>
      <w:r w:rsidRPr="003B10E2">
        <w:rPr>
          <w:rFonts w:ascii="Times New Roman" w:eastAsia="Times New Roman" w:hAnsi="Times New Roman"/>
          <w:color w:val="000000"/>
          <w:sz w:val="28"/>
          <w:szCs w:val="28"/>
          <w:lang w:val="en-US" w:eastAsia="ar-SA"/>
        </w:rPr>
        <w:t>. 1071–1084.</w:t>
      </w:r>
    </w:p>
    <w:p w14:paraId="01048A04"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Allen, F. Financial Contagion / F. Allen, D. Gale. // Journal of Political Economy, 2000. – Vol. 108. – P.345–352.</w:t>
      </w:r>
    </w:p>
    <w:p w14:paraId="262F7826"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Almeida, H. The Financial Accelerator: Evidence from International Housing Markets / H. Almeida [et al.] // Review of Finance, 2006. – Volume 10. – P.471–479.</w:t>
      </w:r>
    </w:p>
    <w:p w14:paraId="0621023B"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Aloui, C. The effects of crude oil shocks on stock market shifts behaviour: a regime switching approach / C. Aloui, R. Jammazi. // Energy Economics, 2009. – №31(5). – </w:t>
      </w:r>
      <w:r w:rsidRPr="003B10E2">
        <w:rPr>
          <w:rFonts w:ascii="Times New Roman" w:eastAsia="Times New Roman" w:hAnsi="Times New Roman"/>
          <w:color w:val="000000"/>
          <w:sz w:val="28"/>
          <w:szCs w:val="28"/>
          <w:lang w:eastAsia="ar-SA"/>
        </w:rPr>
        <w:t>Р</w:t>
      </w:r>
      <w:r w:rsidRPr="003B10E2">
        <w:rPr>
          <w:rFonts w:ascii="Times New Roman" w:eastAsia="Times New Roman" w:hAnsi="Times New Roman"/>
          <w:color w:val="000000"/>
          <w:sz w:val="28"/>
          <w:szCs w:val="28"/>
          <w:lang w:val="en-US" w:eastAsia="ar-SA"/>
        </w:rPr>
        <w:t xml:space="preserve">. 789–799. </w:t>
      </w:r>
    </w:p>
    <w:p w14:paraId="3B5F47CB"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Alsalman, Z. Oil price uncertainty and the U.S. stock market analysis based on a GARCH-in-mean VAR model / Z. Alsalman. // Energy Economics, 2016. – №59. – </w:t>
      </w:r>
      <w:r w:rsidRPr="003B10E2">
        <w:rPr>
          <w:rFonts w:ascii="Times New Roman" w:eastAsia="Times New Roman" w:hAnsi="Times New Roman"/>
          <w:color w:val="000000"/>
          <w:sz w:val="28"/>
          <w:szCs w:val="28"/>
          <w:lang w:eastAsia="ar-SA"/>
        </w:rPr>
        <w:t>Р</w:t>
      </w:r>
      <w:r w:rsidRPr="003B10E2">
        <w:rPr>
          <w:rFonts w:ascii="Times New Roman" w:eastAsia="Times New Roman" w:hAnsi="Times New Roman"/>
          <w:color w:val="000000"/>
          <w:sz w:val="28"/>
          <w:szCs w:val="28"/>
          <w:lang w:val="en-US" w:eastAsia="ar-SA"/>
        </w:rPr>
        <w:t xml:space="preserve">. 251–260. </w:t>
      </w:r>
    </w:p>
    <w:p w14:paraId="51521B56"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Amihud, Y. Illiquidity and'Stock Returns. Cross-Section and Time Series Effects / Y.  Amihud. // Journal of Financial Markets, 2002. – Volume 5.</w:t>
      </w:r>
    </w:p>
    <w:p w14:paraId="55EF99A4"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An, J. Russian energy projects in South Africa / J. An, A. Mikhaylov. // Journal of Energy in Southern Africa, 2020. – №31(3). </w:t>
      </w:r>
    </w:p>
    <w:p w14:paraId="63E61BE4"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An, J. Trade War Effects: Evidence from Sectors of Energy and Resources in Africa / J. An, A. Mikhaylov, U.H Richter. – Heliyon, 2020. – №6(12). – </w:t>
      </w:r>
      <w:r w:rsidRPr="003B10E2">
        <w:rPr>
          <w:rFonts w:ascii="Times New Roman" w:eastAsia="Times New Roman" w:hAnsi="Times New Roman"/>
          <w:sz w:val="28"/>
          <w:szCs w:val="28"/>
          <w:lang w:val="en-US" w:eastAsia="ar-SA"/>
        </w:rPr>
        <w:t>P. 56</w:t>
      </w:r>
      <w:r w:rsidRPr="003B10E2">
        <w:rPr>
          <w:rFonts w:ascii="Times New Roman" w:eastAsia="Times New Roman" w:hAnsi="Times New Roman"/>
          <w:color w:val="000000"/>
          <w:sz w:val="28"/>
          <w:szCs w:val="28"/>
          <w:lang w:val="en-US" w:eastAsia="ar-SA"/>
        </w:rPr>
        <w:t>–</w:t>
      </w:r>
      <w:r w:rsidRPr="003B10E2">
        <w:rPr>
          <w:rFonts w:ascii="Times New Roman" w:eastAsia="Times New Roman" w:hAnsi="Times New Roman"/>
          <w:sz w:val="28"/>
          <w:szCs w:val="28"/>
          <w:lang w:val="en-US" w:eastAsia="ar-SA"/>
        </w:rPr>
        <w:t xml:space="preserve">93. </w:t>
      </w:r>
    </w:p>
    <w:p w14:paraId="0DC8E893"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Angelidis, T. Liquidity adjusted Value-at-Risk Based on the Components of the Bid-Ask Spread / T. Angelidis, A. Benos. // Applied Financial Economics, 2006. – Volume 16. – №11. – </w:t>
      </w:r>
      <w:r w:rsidRPr="003B10E2">
        <w:rPr>
          <w:rFonts w:ascii="Times New Roman" w:eastAsia="Times New Roman" w:hAnsi="Times New Roman"/>
          <w:color w:val="000000"/>
          <w:sz w:val="28"/>
          <w:szCs w:val="28"/>
          <w:lang w:eastAsia="ar-SA"/>
        </w:rPr>
        <w:t>Р</w:t>
      </w:r>
      <w:r w:rsidRPr="003B10E2">
        <w:rPr>
          <w:rFonts w:ascii="Times New Roman" w:eastAsia="Times New Roman" w:hAnsi="Times New Roman"/>
          <w:color w:val="000000"/>
          <w:sz w:val="28"/>
          <w:szCs w:val="28"/>
          <w:lang w:val="en-US" w:eastAsia="ar-SA"/>
        </w:rPr>
        <w:t>. 835–851.</w:t>
      </w:r>
    </w:p>
    <w:p w14:paraId="6F8F14B5"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Angelidis, T. US stock market regimes and oil price shocks / T. Angelidis, S. Degiannakis, G. Filis. // Global Finance Journal, 2015. – №28. – </w:t>
      </w:r>
      <w:r w:rsidRPr="003B10E2">
        <w:rPr>
          <w:rFonts w:ascii="Times New Roman" w:eastAsia="Times New Roman" w:hAnsi="Times New Roman"/>
          <w:color w:val="000000"/>
          <w:sz w:val="28"/>
          <w:szCs w:val="28"/>
          <w:lang w:eastAsia="ar-SA"/>
        </w:rPr>
        <w:t>Р</w:t>
      </w:r>
      <w:r w:rsidRPr="003B10E2">
        <w:rPr>
          <w:rFonts w:ascii="Times New Roman" w:eastAsia="Times New Roman" w:hAnsi="Times New Roman"/>
          <w:color w:val="000000"/>
          <w:sz w:val="28"/>
          <w:szCs w:val="28"/>
          <w:lang w:val="en-US" w:eastAsia="ar-SA"/>
        </w:rPr>
        <w:t xml:space="preserve">. 132–146. </w:t>
      </w:r>
    </w:p>
    <w:p w14:paraId="5F1A64A1"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Ankudinov, A. Extreme movements of the Russian stock market and their consequences for management and economic modeling / A. Ankudinov, R. Ibragimov, O. Lebedev. // Applied Econometrics, 2017. – Volume 45.</w:t>
      </w:r>
    </w:p>
    <w:p w14:paraId="12935E84"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Ante, L. The impact of transparent money flows: Effects of stablecoin transfers on the returns and trading volume of Bitcoin. / L. Ante, I. Fiedler, E. Strehle. // Technological Forecasting and Social Change, 2021. – Volume 170. – P.120851. –ISSN 0040-1625.</w:t>
      </w:r>
    </w:p>
    <w:p w14:paraId="3A9DA241"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Antonakakis, N. Dynamic co-movements of stock market returns, implied volatility and policy uncertainty / N. Antonakakis, I. Chatziantoniou, G. Filis. // Economics Letters, 2013. – Volume 120. – №1. – </w:t>
      </w:r>
      <w:r w:rsidRPr="003B10E2">
        <w:rPr>
          <w:rFonts w:ascii="Times New Roman" w:eastAsia="Times New Roman" w:hAnsi="Times New Roman"/>
          <w:color w:val="000000"/>
          <w:sz w:val="28"/>
          <w:szCs w:val="28"/>
          <w:lang w:eastAsia="ar-SA"/>
        </w:rPr>
        <w:t>Р</w:t>
      </w:r>
      <w:r w:rsidRPr="003B10E2">
        <w:rPr>
          <w:rFonts w:ascii="Times New Roman" w:eastAsia="Times New Roman" w:hAnsi="Times New Roman"/>
          <w:color w:val="000000"/>
          <w:sz w:val="28"/>
          <w:szCs w:val="28"/>
          <w:lang w:val="en-US" w:eastAsia="ar-SA"/>
        </w:rPr>
        <w:t xml:space="preserve">. 87–92. </w:t>
      </w:r>
    </w:p>
    <w:p w14:paraId="4C666936"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Antunes, J.A.P. To supervise or to self-supervise: a machine learning based comparison on credit supervision / J.A.P. Antunes. // Financial Innov, 2021. – №7(26). – </w:t>
      </w:r>
      <w:r w:rsidRPr="003B10E2">
        <w:rPr>
          <w:rFonts w:ascii="Times New Roman" w:eastAsia="Times New Roman" w:hAnsi="Times New Roman"/>
          <w:color w:val="000000"/>
          <w:sz w:val="28"/>
          <w:szCs w:val="28"/>
          <w:lang w:eastAsia="ar-SA"/>
        </w:rPr>
        <w:t>Р</w:t>
      </w:r>
      <w:r w:rsidRPr="003B10E2">
        <w:rPr>
          <w:rFonts w:ascii="Times New Roman" w:eastAsia="Times New Roman" w:hAnsi="Times New Roman"/>
          <w:color w:val="000000"/>
          <w:sz w:val="28"/>
          <w:szCs w:val="28"/>
          <w:lang w:val="en-US" w:eastAsia="ar-SA"/>
        </w:rPr>
        <w:t xml:space="preserve">. 1–21. </w:t>
      </w:r>
    </w:p>
    <w:p w14:paraId="0FDF0F0B"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Arestis, P. Financial Crisis in Southeast Asia: Dispelling Illusion the Minskyan Way / P. Arestis, M. Glickman. // Cambridge Journal of Economics. 2002. – Volume 26. – Issue 2. – </w:t>
      </w:r>
      <w:r w:rsidRPr="003B10E2">
        <w:rPr>
          <w:rFonts w:ascii="Times New Roman" w:eastAsia="Times New Roman" w:hAnsi="Times New Roman"/>
          <w:color w:val="000000"/>
          <w:sz w:val="28"/>
          <w:szCs w:val="28"/>
          <w:lang w:eastAsia="ar-SA"/>
        </w:rPr>
        <w:t>Р</w:t>
      </w:r>
      <w:r w:rsidRPr="003B10E2">
        <w:rPr>
          <w:rFonts w:ascii="Times New Roman" w:eastAsia="Times New Roman" w:hAnsi="Times New Roman"/>
          <w:color w:val="000000"/>
          <w:sz w:val="28"/>
          <w:szCs w:val="28"/>
          <w:lang w:val="en-US" w:eastAsia="ar-SA"/>
        </w:rPr>
        <w:t>. 237–260.</w:t>
      </w:r>
    </w:p>
    <w:p w14:paraId="7B50C4FA"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Arize, A. C. Exchange-rate volatility in latin america and its impact on foreign trade / A.C. Arize, T. Osang, D.J. Slottje. // International Review of Economics &amp; Finance, 2008. – №17(1). – </w:t>
      </w:r>
      <w:r w:rsidRPr="003B10E2">
        <w:rPr>
          <w:rFonts w:ascii="Times New Roman" w:eastAsia="Times New Roman" w:hAnsi="Times New Roman"/>
          <w:color w:val="000000"/>
          <w:sz w:val="28"/>
          <w:szCs w:val="28"/>
          <w:lang w:eastAsia="ar-SA"/>
        </w:rPr>
        <w:t>Р</w:t>
      </w:r>
      <w:r w:rsidRPr="003B10E2">
        <w:rPr>
          <w:rFonts w:ascii="Times New Roman" w:eastAsia="Times New Roman" w:hAnsi="Times New Roman"/>
          <w:color w:val="000000"/>
          <w:sz w:val="28"/>
          <w:szCs w:val="28"/>
          <w:lang w:val="en-US" w:eastAsia="ar-SA"/>
        </w:rPr>
        <w:t>. 33–44.</w:t>
      </w:r>
    </w:p>
    <w:p w14:paraId="64A19C8F"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Arnold, L. On the Possibility of Credit Rationing in the Stiglitz-Weiss Model / L. Arnold. // University of Regensburg Discussion Paper in Economics, 2005. – № 403. – P.1–21.</w:t>
      </w:r>
    </w:p>
    <w:p w14:paraId="27000FF7"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Arora, S. Bilateral j-curve between India and her trading partners / S. Arora, M. Bahmani-Oskooee, G. Goswami. // Applied Economics. 2003. – №35(9). – </w:t>
      </w:r>
      <w:r w:rsidRPr="003B10E2">
        <w:rPr>
          <w:rFonts w:ascii="Times New Roman" w:eastAsia="Times New Roman" w:hAnsi="Times New Roman"/>
          <w:color w:val="000000"/>
          <w:sz w:val="28"/>
          <w:szCs w:val="28"/>
          <w:lang w:eastAsia="ar-SA"/>
        </w:rPr>
        <w:t>Р</w:t>
      </w:r>
      <w:r w:rsidRPr="003B10E2">
        <w:rPr>
          <w:rFonts w:ascii="Times New Roman" w:eastAsia="Times New Roman" w:hAnsi="Times New Roman"/>
          <w:color w:val="000000"/>
          <w:sz w:val="28"/>
          <w:szCs w:val="28"/>
          <w:lang w:val="en-US" w:eastAsia="ar-SA"/>
        </w:rPr>
        <w:t>. 1037–1041.</w:t>
      </w:r>
    </w:p>
    <w:p w14:paraId="48712D6E"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Aruoba, S. Real Time Macroeconomic Monitoring: Real Activity, Inflation, and Interactions / S. Aruoba, F. Diebold. // American Economic Review, American Economic Association, 2010. – Volume 100(2). – P. 20–24.</w:t>
      </w:r>
    </w:p>
    <w:p w14:paraId="38E89F5E"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Asad, M. Impact of innovation practices on sustainable performance of SMEs / M. Asad, A. Rizwan, M. Shah [et al.] // Herald National Academy of Managerial Staff of Culture and Arts, 2018. – №3. – </w:t>
      </w:r>
      <w:r w:rsidRPr="003B10E2">
        <w:rPr>
          <w:rFonts w:ascii="Times New Roman" w:eastAsia="Times New Roman" w:hAnsi="Times New Roman"/>
          <w:color w:val="000000"/>
          <w:sz w:val="28"/>
          <w:szCs w:val="28"/>
          <w:lang w:eastAsia="ar-SA"/>
        </w:rPr>
        <w:t>Р</w:t>
      </w:r>
      <w:r w:rsidRPr="003B10E2">
        <w:rPr>
          <w:rFonts w:ascii="Times New Roman" w:eastAsia="Times New Roman" w:hAnsi="Times New Roman"/>
          <w:color w:val="000000"/>
          <w:sz w:val="28"/>
          <w:szCs w:val="28"/>
          <w:lang w:val="en-US" w:eastAsia="ar-SA"/>
        </w:rPr>
        <w:t>. 537–546.</w:t>
      </w:r>
    </w:p>
    <w:p w14:paraId="4F369AC9"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Asad, M. Unveiling success factors for small and medium enterprises during COVID-19 pandemic / M. Asad, M. Kashif. // Arab Journal of Basic and Applied Sciences, 2021. – №28(1). – </w:t>
      </w:r>
      <w:r w:rsidRPr="003B10E2">
        <w:rPr>
          <w:rFonts w:ascii="Times New Roman" w:eastAsia="Times New Roman" w:hAnsi="Times New Roman"/>
          <w:color w:val="000000"/>
          <w:sz w:val="28"/>
          <w:szCs w:val="28"/>
          <w:lang w:eastAsia="ar-SA"/>
        </w:rPr>
        <w:t>Р</w:t>
      </w:r>
      <w:r w:rsidRPr="003B10E2">
        <w:rPr>
          <w:rFonts w:ascii="Times New Roman" w:eastAsia="Times New Roman" w:hAnsi="Times New Roman"/>
          <w:color w:val="000000"/>
          <w:sz w:val="28"/>
          <w:szCs w:val="28"/>
          <w:lang w:val="en-US" w:eastAsia="ar-SA"/>
        </w:rPr>
        <w:t xml:space="preserve">. 187–194. </w:t>
      </w:r>
    </w:p>
    <w:p w14:paraId="7CDCEF5A"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Ashley, C. Creative strategies in social media marketing: an exploratory study of branded social content and consumer engagement / C. Ashley, T. Tuten. // Psychology &amp; Marketing, 2015. – №32(1). – </w:t>
      </w:r>
      <w:r w:rsidRPr="003B10E2">
        <w:rPr>
          <w:rFonts w:ascii="Times New Roman" w:eastAsia="Times New Roman" w:hAnsi="Times New Roman"/>
          <w:color w:val="000000"/>
          <w:sz w:val="28"/>
          <w:szCs w:val="28"/>
          <w:lang w:eastAsia="ar-SA"/>
        </w:rPr>
        <w:t>Р</w:t>
      </w:r>
      <w:r w:rsidRPr="003B10E2">
        <w:rPr>
          <w:rFonts w:ascii="Times New Roman" w:eastAsia="Times New Roman" w:hAnsi="Times New Roman"/>
          <w:color w:val="000000"/>
          <w:sz w:val="28"/>
          <w:szCs w:val="28"/>
          <w:lang w:val="en-US" w:eastAsia="ar-SA"/>
        </w:rPr>
        <w:t>. 15–27.</w:t>
      </w:r>
    </w:p>
    <w:p w14:paraId="42D743D6"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Asif, M.U. Knowledge exploitation and knowledge exploration for sustainable performance of SMEs. / M. U. Asif, M. Asad, M. Kashif. // Third International Sustainability and Resilience Conference: Climate Change, 2021. – </w:t>
      </w:r>
      <w:r w:rsidRPr="003B10E2">
        <w:rPr>
          <w:rFonts w:ascii="Times New Roman" w:eastAsia="Times New Roman" w:hAnsi="Times New Roman"/>
          <w:color w:val="000000"/>
          <w:sz w:val="28"/>
          <w:szCs w:val="28"/>
          <w:lang w:eastAsia="ar-SA"/>
        </w:rPr>
        <w:t>Р</w:t>
      </w:r>
      <w:r w:rsidRPr="003B10E2">
        <w:rPr>
          <w:rFonts w:ascii="Times New Roman" w:eastAsia="Times New Roman" w:hAnsi="Times New Roman"/>
          <w:color w:val="000000"/>
          <w:sz w:val="28"/>
          <w:szCs w:val="28"/>
          <w:lang w:val="en-US" w:eastAsia="ar-SA"/>
        </w:rPr>
        <w:t xml:space="preserve">. 29–34. </w:t>
      </w:r>
    </w:p>
    <w:p w14:paraId="57523132"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Atalay, E. Network Structure of Production / E. Atalay, E., A. Hortacsu, J. Roberts. // Proceedings of the National Academy of Sciences,2011. – №108(13). – </w:t>
      </w:r>
      <w:r w:rsidRPr="003B10E2">
        <w:rPr>
          <w:rFonts w:ascii="Times New Roman" w:eastAsia="Times New Roman" w:hAnsi="Times New Roman"/>
          <w:color w:val="000000"/>
          <w:sz w:val="28"/>
          <w:szCs w:val="28"/>
          <w:lang w:eastAsia="ar-SA"/>
        </w:rPr>
        <w:t>Р</w:t>
      </w:r>
      <w:r w:rsidRPr="003B10E2">
        <w:rPr>
          <w:rFonts w:ascii="Times New Roman" w:eastAsia="Times New Roman" w:hAnsi="Times New Roman"/>
          <w:color w:val="000000"/>
          <w:sz w:val="28"/>
          <w:szCs w:val="28"/>
          <w:lang w:val="en-US" w:eastAsia="ar-SA"/>
        </w:rPr>
        <w:t>. 5199-5202.</w:t>
      </w:r>
    </w:p>
    <w:p w14:paraId="07363DCF"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it-IT" w:eastAsia="ar-SA"/>
        </w:rPr>
        <w:t xml:space="preserve">Atanassov, K. Intuitionistic fuzzy sets. </w:t>
      </w:r>
      <w:r w:rsidRPr="003B10E2">
        <w:rPr>
          <w:rFonts w:ascii="Times New Roman" w:eastAsia="Times New Roman" w:hAnsi="Times New Roman"/>
          <w:sz w:val="28"/>
          <w:szCs w:val="28"/>
          <w:lang w:val="en-US" w:eastAsia="ar-SA"/>
        </w:rPr>
        <w:t>Fuzzy sets and systems / K. Atanassov. // Physica: Softcover reprint of the original 1st ed. 1999 edition – P. 342. – ISBN-10: 3790824631.</w:t>
      </w:r>
    </w:p>
    <w:p w14:paraId="46EDDE3A"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Ayittey, F.K. Economic impacts of Wuhan 2019</w:t>
      </w:r>
      <w:r w:rsidRPr="003B10E2">
        <w:rPr>
          <w:rFonts w:ascii="Cambria Math" w:eastAsia="Times New Roman" w:hAnsi="Cambria Math" w:cs="Cambria Math"/>
          <w:color w:val="000000"/>
          <w:sz w:val="28"/>
          <w:szCs w:val="28"/>
          <w:lang w:val="en-US" w:eastAsia="ar-SA"/>
        </w:rPr>
        <w:t>‐</w:t>
      </w:r>
      <w:r w:rsidRPr="003B10E2">
        <w:rPr>
          <w:rFonts w:ascii="Times New Roman" w:eastAsia="Times New Roman" w:hAnsi="Times New Roman"/>
          <w:color w:val="000000"/>
          <w:sz w:val="28"/>
          <w:szCs w:val="28"/>
          <w:lang w:val="en-US" w:eastAsia="ar-SA"/>
        </w:rPr>
        <w:t>nCoV on China and the world / F. K. Ayittey, M. K. Ayittey, N. B. Chiwero [et al.] // Journal of Medical Virology, 2020. – №92(5). – P.473–475.</w:t>
      </w:r>
    </w:p>
    <w:p w14:paraId="2E734178"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Baele, L. Flights to Safety / L. Baele, G. Bekaert, K. Inghelbrecht [et al.] // National Bank of Belgium Working Paper, №. 230. – 2015. – P. 75.</w:t>
      </w:r>
    </w:p>
    <w:p w14:paraId="16A36FBD"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Bahmani-Oskooee, M. On the asymmetric effects of exchange rate volatility on trade flows: New evidence from us-malaysia trade at the industry level / M. Bahmani-Oskooee, M. Aftab.  // Economic Modelling, 2017. – №63. – P.86–103.</w:t>
      </w:r>
    </w:p>
    <w:p w14:paraId="170262A8"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Bahmani-Oskooee, M. United states-china trade at the commodity level and the yuan-dollar exchange rate / M. Bahmani-Oskooee, Y. Wang. // Contemporary Economic Policy, 2007. –№25(3). – P.341–361.</w:t>
      </w:r>
    </w:p>
    <w:p w14:paraId="518F74F6"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Bailey, M.J. The impact of exchangerate volatility on export growth: some theoretical considerations and empirical results / M. J. Bailey, G. S. Tavlas, M.  Ulan. // Journal of Policy Modeling, 1987. – №9(1). – P.225–243.</w:t>
      </w:r>
    </w:p>
    <w:p w14:paraId="0786E879"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Balcilar, M. Can Volume Predict Bitcoin Returns and Volatility? / M. Balcilar, E. Bouri, R. Gupta [et al.] // A Quantiles-Based Approach. Economic Modelling, 2017. – №64. – P.74–81.</w:t>
      </w:r>
    </w:p>
    <w:p w14:paraId="5D911B09"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Balla, E. Dynamic Provisioning: A Countercyclical Tool for Loan Loss Reserves / E. Balla, A. McKenna. // Economic Quarterly of Richmond Federal Reserve Bank, 2009. – Volume 95. – №4. – P. 383–418.</w:t>
      </w:r>
    </w:p>
    <w:p w14:paraId="22C70123"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Bao Y., Kehm B. M., Ma Y. (2018). From product to process. The reform of doctoral education in Europe and China. Studies in Higher Education. Vol. 43. No. 3. Pp. 524-541.</w:t>
      </w:r>
    </w:p>
    <w:p w14:paraId="47835F86"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Barberis, N. Style investing / N. Barberis, A. Shleifer. // Journal of Financial Economics, 2003. – №68(2). – P.161–199.</w:t>
      </w:r>
    </w:p>
    <w:p w14:paraId="15F48048"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Bariviera, A. The inefficiency of Bitcoin revisited: a dynamic approach / A. Bariviera. // Economic Letters, 2017. – №161. – P.1–4. </w:t>
      </w:r>
    </w:p>
    <w:p w14:paraId="5FEA1382"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Barkoulas, J.T. Exchange rate effects on the volume and variability of trade flows / J.T. Barkoulas, C.F. Baum, M. Caglayan. // Journal of International Money and Finance, 2002. – №21(4). – P.481–496.</w:t>
      </w:r>
    </w:p>
    <w:p w14:paraId="31FB5BC3"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Barrales-Molina, V. Dynamic marketing capabilities: toward an integrative framework / V. Barrales-Molina, F.J. Martınez-Lopez, J.C. Gazquez-Abad. // International Journal of Management Reviews, 2014. – №16(4). – P.397–416.</w:t>
      </w:r>
    </w:p>
    <w:p w14:paraId="12FC1325"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Barro, R. Stock-market crashes and depressions / R. Barro, J. Ursua. // Research in Economics, 2017. – Volume 71(3). – P. 384–398.</w:t>
      </w:r>
    </w:p>
    <w:p w14:paraId="6B773AF8"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Barsky, R.B. Oil and the macroeconomy since the 1970s / R.B. Barsky, L. Kilian. // Journal of Economic Perspectives, 2004. – №18 (4). – P.115–134. </w:t>
      </w:r>
    </w:p>
    <w:p w14:paraId="581E35B4"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Barunik, J. Measuring the frequency dynamics of financial connectedness and systemic risk / J. Barunik, T. Krehlik. // Journal of Financial Economics, 2018. – №16(2). – P.271–296. </w:t>
      </w:r>
    </w:p>
    <w:p w14:paraId="19FF0CBD"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Basher, S.A. Hedging emerging market stock prices with oil, gold, VIX, and bonds: a comparison between DCC, ADCC and GO-GARCH / S.A. Basher, P. Sadorsky. // Energy Economics, 2016. – №54. – P.235–247. </w:t>
      </w:r>
    </w:p>
    <w:p w14:paraId="68987A09"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Basilio, M.P. Construction method of investment portfolio from the coefficient of variation: an empirical study on the Brazilian stock market / M.P. Basilio, R. Bordeaux-Rego. // ENGEVISTA, 2017. – №19. – P.1005-1024.</w:t>
      </w:r>
    </w:p>
    <w:p w14:paraId="3C8EA122"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Basilio, M.P. Investment portfolio formation via multicriteria decision aid: a Brazilian stock market study / M.P. Basilio, J.G. de Freitas, M.G.F. Kämpffe, R. Bordeaux Rego. // Journal of Modelling in Management, 2018. – №13. – P.394–417. </w:t>
      </w:r>
    </w:p>
    <w:p w14:paraId="46C8647A"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Basta, M. Oil market volatility and stock market volatility / M. Basta, P. Molnar. // Finance Research Letters, 2018. – №26. – P.204–214. </w:t>
      </w:r>
    </w:p>
    <w:p w14:paraId="10C36EF8"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Batchelder, R. Pre-Keynesian Monetary Theories of the- Great Depression: What Ever Happened to Hawtrey and Cassel? / R. Batchelder, D. Glasner. // University of California Department of Economics. Working Paper № 626, August 1991. – P.38.</w:t>
      </w:r>
    </w:p>
    <w:p w14:paraId="3484E0FC"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Baur, D. G. Bitcoin: Currency or Investment? / D. G. Baur, A. D. Lee, K. Hong. // SSRN Electronic Journal, 2015.</w:t>
      </w:r>
    </w:p>
    <w:p w14:paraId="68B7E28F"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Bayarmaa, A. Style consistency and mutual fund returns: the case of Russia / A. Bayarmaa, G.M. Caporale. // CESifo Working Paper, № 7605. – 2004.</w:t>
      </w:r>
    </w:p>
    <w:p w14:paraId="717B7EEF"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Beaudry, P. An Exploration into Pigou's Theory of Cycles / P. Beaudry. F. Portier. // Journal of Monetary Economics, 2004. – Volume 51. – Issue 6. – P.1183–1216.</w:t>
      </w:r>
    </w:p>
    <w:p w14:paraId="29C181C0"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Bedendo, M. The dynamics of the volatility skew: A Kalman filter approach / M. Bedendo, S. D. Hodges. // Journal of Banking &amp; Finance, 2009. – №33(6). – P.1156–1165. </w:t>
      </w:r>
    </w:p>
    <w:p w14:paraId="7F9B5E04"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 xml:space="preserve">Belluscio, V. Auditory Cue Based on the Golden Ratio Can Improve Gait Patterns in People with Parkinson’s Disease / V. Belluscio, M. Iosa, G. Vannozzi [et al.] // Sensors, 2021. </w:t>
      </w:r>
      <w:r w:rsidRPr="003B10E2">
        <w:rPr>
          <w:rFonts w:ascii="Times New Roman" w:eastAsia="Times New Roman" w:hAnsi="Times New Roman"/>
          <w:color w:val="000000"/>
          <w:sz w:val="28"/>
          <w:szCs w:val="28"/>
          <w:lang w:val="en-US" w:eastAsia="ar-SA"/>
        </w:rPr>
        <w:t>–</w:t>
      </w:r>
      <w:r w:rsidRPr="003B10E2">
        <w:rPr>
          <w:rFonts w:ascii="Times New Roman" w:eastAsia="Times New Roman" w:hAnsi="Times New Roman"/>
          <w:iCs/>
          <w:color w:val="000000"/>
          <w:sz w:val="28"/>
          <w:szCs w:val="28"/>
          <w:lang w:val="en-US" w:eastAsia="ar-SA"/>
        </w:rPr>
        <w:t xml:space="preserve"> №21(3). </w:t>
      </w:r>
      <w:r w:rsidRPr="003B10E2">
        <w:rPr>
          <w:rFonts w:ascii="Times New Roman" w:eastAsia="Times New Roman" w:hAnsi="Times New Roman"/>
          <w:color w:val="000000"/>
          <w:sz w:val="28"/>
          <w:szCs w:val="28"/>
          <w:lang w:val="en-US" w:eastAsia="ar-SA"/>
        </w:rPr>
        <w:t>– P.</w:t>
      </w:r>
      <w:r w:rsidRPr="003B10E2">
        <w:rPr>
          <w:rFonts w:ascii="Times New Roman" w:eastAsia="Times New Roman" w:hAnsi="Times New Roman"/>
          <w:iCs/>
          <w:color w:val="000000"/>
          <w:sz w:val="28"/>
          <w:szCs w:val="28"/>
          <w:lang w:val="en-US" w:eastAsia="ar-SA"/>
        </w:rPr>
        <w:t xml:space="preserve"> 9</w:t>
      </w:r>
      <w:r w:rsidRPr="003B10E2">
        <w:rPr>
          <w:rFonts w:ascii="Times New Roman" w:eastAsia="Times New Roman" w:hAnsi="Times New Roman"/>
          <w:color w:val="000000"/>
          <w:sz w:val="28"/>
          <w:szCs w:val="28"/>
          <w:lang w:val="en-US" w:eastAsia="ar-SA"/>
        </w:rPr>
        <w:t>–</w:t>
      </w:r>
      <w:r w:rsidRPr="003B10E2">
        <w:rPr>
          <w:rFonts w:ascii="Times New Roman" w:eastAsia="Times New Roman" w:hAnsi="Times New Roman"/>
          <w:iCs/>
          <w:color w:val="000000"/>
          <w:sz w:val="28"/>
          <w:szCs w:val="28"/>
          <w:lang w:val="en-US" w:eastAsia="ar-SA"/>
        </w:rPr>
        <w:t xml:space="preserve">11. </w:t>
      </w:r>
    </w:p>
    <w:p w14:paraId="0672B34C"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Beltratti, A. Breaks and Persistency: Macroeconomic Causes of Stock Market Volatility / A. Beltratti, C. Morana. // Bocconi University Working Paper. 2002. – P.36.</w:t>
      </w:r>
    </w:p>
    <w:p w14:paraId="79551730"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sz w:val="28"/>
          <w:szCs w:val="28"/>
          <w:lang w:val="en-US" w:eastAsia="ar-SA"/>
        </w:rPr>
      </w:pPr>
      <w:r w:rsidRPr="003B10E2">
        <w:rPr>
          <w:rFonts w:ascii="Times New Roman" w:eastAsia="Times New Roman" w:hAnsi="Times New Roman"/>
          <w:iCs/>
          <w:sz w:val="28"/>
          <w:szCs w:val="28"/>
          <w:lang w:val="en-US" w:eastAsia="ar-SA"/>
        </w:rPr>
        <w:t xml:space="preserve">Benayoun, R. ELECTRE: Une methode pour guider le choix en presence de points de vue multiples / R. Benayoun, B. Roy, B. Sussman. // France Paris: Sema (Metra International). Direction Scientifique, 1966. </w:t>
      </w:r>
      <w:r w:rsidRPr="003B10E2">
        <w:rPr>
          <w:rFonts w:ascii="Times New Roman" w:eastAsia="Times New Roman" w:hAnsi="Times New Roman"/>
          <w:sz w:val="28"/>
          <w:szCs w:val="28"/>
          <w:lang w:val="en-US" w:eastAsia="ar-SA"/>
        </w:rPr>
        <w:t>–</w:t>
      </w:r>
      <w:r w:rsidRPr="003B10E2">
        <w:rPr>
          <w:rFonts w:ascii="Times New Roman" w:eastAsia="Times New Roman" w:hAnsi="Times New Roman"/>
          <w:iCs/>
          <w:sz w:val="28"/>
          <w:szCs w:val="28"/>
          <w:lang w:val="en-US" w:eastAsia="ar-SA"/>
        </w:rPr>
        <w:t xml:space="preserve"> Volume 49.</w:t>
      </w:r>
    </w:p>
    <w:p w14:paraId="50678F90"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Benoit, D-F. Binary quantile regression: a bayesian approach based on the asymmetric Laplace distribution / D-F. Benoit, V-D. Poel. // Journal of Applied Econometrics, 2012. – №27. – P. 1174–1188.</w:t>
      </w:r>
    </w:p>
    <w:p w14:paraId="2FFB5C5B"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Berger, A. Some Evidence on the Empirical Significance of Credit Rationing / A. Berger. // Journal of Political Economy,1992. – Volume 100. – Issue 5. – P.1047–1077.</w:t>
      </w:r>
    </w:p>
    <w:p w14:paraId="5912EF1E"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Bernal, M. A multicriteria hierarchical approach for portfolio selection in a stock exchange / M. Bernal, P.A. Carrillo, M. Muñoz [et al.] // Journal of Intelligent &amp; Fuzzy Systems, 2021. – №40. – P.1945–1955.</w:t>
      </w:r>
    </w:p>
    <w:p w14:paraId="466C267E"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Bernanke, B. The Financial Accelerator in a Quantitative Business Cycle framework / B. Bernanke, M. Gertler, S. Gilchrist. // NBER Working Paper № 6455, 1998. – P.75.</w:t>
      </w:r>
    </w:p>
    <w:p w14:paraId="3E0D8C63"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Bernanke, B. The Great Moderation / B. Bernanke. // Remarks by Mr Ben S. Bernanke, Member of the Board of Governors of the US Federal Reserve System, at the meetings of the Eastern Economic Association, Washington DC, 20 February 2004 // BIS Review, 2004. – №12. – P.1–8.</w:t>
      </w:r>
    </w:p>
    <w:p w14:paraId="28CF78EC"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Bezemer, D. Post-Socialist Financial Fragility: the Case of Albania / D. Bezemer. // Cambridge Journal of Economics. 2001. – Volume 25. – Issue 1. – P.1–23.</w:t>
      </w:r>
    </w:p>
    <w:p w14:paraId="3A5ED019"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 xml:space="preserve">Bianchi, M. Enabling open innovation in small- and medium-sized enterprises: how to find alternative applications for your technologies / M. Bianchi, S. Campodall’Orto, F. Frattini, P. Vercesi. // R&amp;D Management, 2010. </w:t>
      </w:r>
      <w:r w:rsidRPr="003B10E2">
        <w:rPr>
          <w:rFonts w:ascii="Times New Roman" w:eastAsia="Times New Roman" w:hAnsi="Times New Roman"/>
          <w:color w:val="000000"/>
          <w:sz w:val="28"/>
          <w:szCs w:val="28"/>
          <w:lang w:val="en-US" w:eastAsia="ar-SA"/>
        </w:rPr>
        <w:t>–</w:t>
      </w:r>
      <w:r w:rsidRPr="003B10E2">
        <w:rPr>
          <w:rFonts w:ascii="Times New Roman" w:eastAsia="Times New Roman" w:hAnsi="Times New Roman"/>
          <w:iCs/>
          <w:color w:val="000000"/>
          <w:sz w:val="28"/>
          <w:szCs w:val="28"/>
          <w:lang w:val="en-US" w:eastAsia="ar-SA"/>
        </w:rPr>
        <w:t xml:space="preserve"> №40. </w:t>
      </w:r>
      <w:r w:rsidRPr="003B10E2">
        <w:rPr>
          <w:rFonts w:ascii="Times New Roman" w:eastAsia="Times New Roman" w:hAnsi="Times New Roman"/>
          <w:color w:val="000000"/>
          <w:sz w:val="28"/>
          <w:szCs w:val="28"/>
          <w:lang w:val="en-US" w:eastAsia="ar-SA"/>
        </w:rPr>
        <w:t>– P.</w:t>
      </w:r>
      <w:r w:rsidRPr="003B10E2">
        <w:rPr>
          <w:rFonts w:ascii="Times New Roman" w:eastAsia="Times New Roman" w:hAnsi="Times New Roman"/>
          <w:iCs/>
          <w:color w:val="000000"/>
          <w:sz w:val="28"/>
          <w:szCs w:val="28"/>
          <w:lang w:val="en-US" w:eastAsia="ar-SA"/>
        </w:rPr>
        <w:t xml:space="preserve">414–431. </w:t>
      </w:r>
    </w:p>
    <w:p w14:paraId="62622B2B"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Blake, D. Target-driven investing: Optimal investment strategies in defined contribution pension plans under loss aversion / D. Blake, D. Wright, Y. Zhang. // Journal of Economic Dynamics &amp; Control, 2013. – 37. – P.195–209.</w:t>
      </w:r>
    </w:p>
    <w:p w14:paraId="6B1EF386"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Blake, D. The market for lemmings: The herding behavior of pension funds / D. Blake, K. Sarno, G. Zinna.  // Journal of Financial Markets, 2017. – Volume 36. – P.17–39.</w:t>
      </w:r>
    </w:p>
    <w:p w14:paraId="1D7152E5"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Blake, D. UK pension fund management after Myners: The hunt for correlation begins / D. Blake. // Journal of Asset Management, 2003. – Volume 4. – P.32–72.</w:t>
      </w:r>
    </w:p>
    <w:p w14:paraId="1F85CE5F"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Blanchard, O. The State of Macro / O. Blanchard.  // The MIT Department of Economics Working Paper № 08-17, August 2008. – P.32.</w:t>
      </w:r>
    </w:p>
    <w:p w14:paraId="6B4AC84F"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Bloom, N. The impact of uncertainty shocks / N. Bloom. // Econometrica, 2009. – №77 (3). – 623–685. </w:t>
      </w:r>
    </w:p>
    <w:p w14:paraId="2EF36893"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Bodie, Z. The ABO, the PBO and Pension Investment Policy / Z. Bodie. // Financial Analysts Journal, 1990. – №46. – P.27–34.</w:t>
      </w:r>
    </w:p>
    <w:p w14:paraId="4AFF9C34"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Böhme, R. Bitcoin: economics, technology, and governance / R. Böhme, N. Christin, B. Edelman, T. Moore. // Journal of Economic Perspectives, 2015. – №29(2). – P.213–238. </w:t>
      </w:r>
    </w:p>
    <w:p w14:paraId="4B1857B3"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Boissay, F. Credit Rationing, Output Gap, and Business Cycles / F. Boissay. // ECB. Working Paper № 87, November 2001. – P.43.</w:t>
      </w:r>
    </w:p>
    <w:p w14:paraId="7FE93B93"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Borio, C. Asset Prices, Financial and Monetary Stability / C. Borio, P. Lowe. // BIS. Working Paper № 114, 2002. – P.47.</w:t>
      </w:r>
    </w:p>
    <w:p w14:paraId="319F7688"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Borovkova, S. Implied volatility in oil markets / S. Borovkova, F.J. Permana. // Computational Statistics &amp; Data Analysis, 2009. – №53 (6). – P.2022–2039. </w:t>
      </w:r>
    </w:p>
    <w:p w14:paraId="4D930A42"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Boudreaux, K.J. Discounts and premium on closed-end mutual funds: A study in valuation / K.J. Boudreaux. // Journal of Financial Economics, 1973. – № 13. – P. 515–522.</w:t>
      </w:r>
    </w:p>
    <w:p w14:paraId="1CFD716D"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Bouoiyour, J. What Does Bitcoin Look Like? / J. Bouoiyour, R. Selmi. // Annals of Economics and Finance, 2015. – №16(2). – P.449–492.</w:t>
      </w:r>
    </w:p>
    <w:p w14:paraId="41F52835"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Bouoiyour, J. What drives Bitcoin price? / J. Bouoiyour, R. Selmi, A-K. Tiwari, O-R. Olayeni. // Economics Bulletin, 2016. – №36(2). – P.843–850.</w:t>
      </w:r>
    </w:p>
    <w:p w14:paraId="75144946"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Bouri, E. Cointegration and nonlinear causality amongst gold, oil, and the Indian stock market: evidence from implied volatility indices / E. Bouri, A. Jain, P.C. Biswal, D. Roubaud. // Resources Policy, 2017. – №52. – P.201–206. </w:t>
      </w:r>
    </w:p>
    <w:p w14:paraId="264C0256"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Bouri, E. Does Bitcoin Hedge Global Uncertainty? Evidence from Wavelet-Based Quantile-in-Quantile Regressions / E. Bouri, R. Gupta, A. Tiwari, D. Roubaud. // Finance Research Letters, Forthcoming, 2017. – Volume 23. – P.87–95.</w:t>
      </w:r>
    </w:p>
    <w:p w14:paraId="4D02531D"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 xml:space="preserve">Bouri, E. On the return-volatility relationship in the Bitcoin market around the price crash of 2013 / E. Bouri, G. Azzi, A.  Dyhrberg. // Open-Assessment E-Journal, 2017. – Volume 11. –  №2. – </w:t>
      </w:r>
      <w:r w:rsidRPr="003B10E2">
        <w:rPr>
          <w:rFonts w:ascii="Times New Roman" w:eastAsia="Times New Roman" w:hAnsi="Times New Roman"/>
          <w:sz w:val="28"/>
          <w:szCs w:val="28"/>
          <w:lang w:eastAsia="ar-SA"/>
        </w:rPr>
        <w:t>Р</w:t>
      </w:r>
      <w:r w:rsidRPr="003B10E2">
        <w:rPr>
          <w:rFonts w:ascii="Times New Roman" w:eastAsia="Times New Roman" w:hAnsi="Times New Roman"/>
          <w:sz w:val="28"/>
          <w:szCs w:val="28"/>
          <w:lang w:val="en-US" w:eastAsia="ar-SA"/>
        </w:rPr>
        <w:t>.16.</w:t>
      </w:r>
    </w:p>
    <w:p w14:paraId="6D3B7060"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 xml:space="preserve">Bozhechkova, A.V. Capital controls: World Experience and Lessons for Russia / A.V. Bozhechkova, E.L. Goryunov, S.G. Sinelnikov-Murylev, P. Trunin. // Economic Policy, 2017. </w:t>
      </w:r>
      <w:r w:rsidRPr="003B10E2">
        <w:rPr>
          <w:rFonts w:ascii="Times New Roman" w:eastAsia="Times New Roman" w:hAnsi="Times New Roman"/>
          <w:color w:val="000000"/>
          <w:sz w:val="28"/>
          <w:szCs w:val="28"/>
          <w:lang w:val="en-US" w:eastAsia="ar-SA"/>
        </w:rPr>
        <w:t>–</w:t>
      </w:r>
      <w:r w:rsidRPr="003B10E2">
        <w:rPr>
          <w:rFonts w:ascii="Times New Roman" w:eastAsia="Times New Roman" w:hAnsi="Times New Roman"/>
          <w:iCs/>
          <w:color w:val="000000"/>
          <w:sz w:val="28"/>
          <w:szCs w:val="28"/>
          <w:lang w:val="en-US" w:eastAsia="ar-SA"/>
        </w:rPr>
        <w:t xml:space="preserve"> №12. </w:t>
      </w:r>
      <w:r w:rsidRPr="003B10E2">
        <w:rPr>
          <w:rFonts w:ascii="Times New Roman" w:eastAsia="Times New Roman" w:hAnsi="Times New Roman"/>
          <w:color w:val="000000"/>
          <w:sz w:val="28"/>
          <w:szCs w:val="28"/>
          <w:lang w:val="en-US" w:eastAsia="ar-SA"/>
        </w:rPr>
        <w:t>– P.</w:t>
      </w:r>
      <w:r w:rsidRPr="003B10E2">
        <w:rPr>
          <w:rFonts w:ascii="Times New Roman" w:eastAsia="Times New Roman" w:hAnsi="Times New Roman"/>
          <w:iCs/>
          <w:color w:val="000000"/>
          <w:sz w:val="28"/>
          <w:szCs w:val="28"/>
          <w:lang w:val="en-US" w:eastAsia="ar-SA"/>
        </w:rPr>
        <w:t xml:space="preserve"> 8–43.</w:t>
      </w:r>
    </w:p>
    <w:p w14:paraId="1C5301D9"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 xml:space="preserve">Braun, M. Finance and1 the Business Cycle: International InterIndustry Evidence / M. Braun, B. Larraini. // Journal of Finance, American Finance Association, 2005. – Volume 60(3). – P.1097–1128. </w:t>
      </w:r>
    </w:p>
    <w:p w14:paraId="377A95C2"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Broadstock, D.C. Oil price shocks and stock market returns: new evidence from the United States and China / D.C. Broadstock, G. Filis. // Journal of International Financial Markets, Institutions and Money, 2014. – Volume 33. – P.417–433. </w:t>
      </w:r>
    </w:p>
    <w:p w14:paraId="74D00898"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 xml:space="preserve">Brockman, P. Societal trust and open innovation / P. Brockman, I.K. Khurana, R. Zhong. // Research Policy, 2018. </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iCs/>
          <w:color w:val="000000"/>
          <w:sz w:val="28"/>
          <w:szCs w:val="28"/>
          <w:lang w:val="en-US" w:eastAsia="ar-SA"/>
        </w:rPr>
        <w:t xml:space="preserve">№47. </w:t>
      </w:r>
      <w:r w:rsidRPr="003B10E2">
        <w:rPr>
          <w:rFonts w:ascii="Times New Roman" w:eastAsia="Times New Roman" w:hAnsi="Times New Roman"/>
          <w:color w:val="000000"/>
          <w:sz w:val="28"/>
          <w:szCs w:val="28"/>
          <w:lang w:val="en-US" w:eastAsia="ar-SA"/>
        </w:rPr>
        <w:t>– P.</w:t>
      </w:r>
      <w:r w:rsidRPr="003B10E2">
        <w:rPr>
          <w:rFonts w:ascii="Times New Roman" w:eastAsia="Times New Roman" w:hAnsi="Times New Roman"/>
          <w:iCs/>
          <w:color w:val="000000"/>
          <w:sz w:val="28"/>
          <w:szCs w:val="28"/>
          <w:lang w:val="en-US" w:eastAsia="ar-SA"/>
        </w:rPr>
        <w:t xml:space="preserve">2048–2065. </w:t>
      </w:r>
    </w:p>
    <w:p w14:paraId="6BE6963E"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Broda, S.A. CHICAGO: a fast and accurate method for portfolio risk calculation / S.A. Broda, M.S. Paolella. // Journal of Financial Economics, 2009. – №7(4). – P.412–436. </w:t>
      </w:r>
    </w:p>
    <w:p w14:paraId="081EBF70"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Brunnermeier, M. Macroeconomic Model with a Financial Sector / M. Brunnermeier, Y. A. Sannikov. //American Economic Review, 2014. – Volume 104. – Issue 2. – P. 379–421.</w:t>
      </w:r>
    </w:p>
    <w:p w14:paraId="1EA2E95B"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Brunnermeier, M. Optimal. Expectations / M. Brunnermeier, J. Parker. // American Economic Review, 2005. – Volume 95. </w:t>
      </w:r>
    </w:p>
    <w:p w14:paraId="6ADF0E57"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Brunnermeier, M. Predatory Trading / M. Brunnermeier, L. Pedersen. // Journal of Finance. 2005. – Volume 60. – </w:t>
      </w:r>
      <w:r w:rsidRPr="003B10E2">
        <w:rPr>
          <w:rFonts w:ascii="Times New Roman" w:eastAsia="Times New Roman" w:hAnsi="Times New Roman"/>
          <w:sz w:val="28"/>
          <w:szCs w:val="28"/>
          <w:lang w:val="en-US" w:eastAsia="ar-SA"/>
        </w:rPr>
        <w:t>P.112–134.</w:t>
      </w:r>
    </w:p>
    <w:p w14:paraId="0A3607FC"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 xml:space="preserve">Buchholz, M. Bits and Bets, Information, Price Volatility, and Demand for Bitcoin. / M. Buchholz, J. Delaney, J. Warren [et al.] // Economics, 2012. </w:t>
      </w:r>
      <w:r w:rsidRPr="003B10E2">
        <w:rPr>
          <w:rFonts w:ascii="Times New Roman" w:eastAsia="Times New Roman" w:hAnsi="Times New Roman"/>
          <w:color w:val="000000"/>
          <w:sz w:val="28"/>
          <w:szCs w:val="28"/>
          <w:lang w:val="en-US" w:eastAsia="ar-SA"/>
        </w:rPr>
        <w:t>–</w:t>
      </w:r>
      <w:r w:rsidRPr="003B10E2">
        <w:rPr>
          <w:rFonts w:ascii="Times New Roman" w:eastAsia="Times New Roman" w:hAnsi="Times New Roman"/>
          <w:sz w:val="28"/>
          <w:szCs w:val="28"/>
          <w:lang w:val="en-US" w:eastAsia="ar-SA"/>
        </w:rPr>
        <w:t xml:space="preserve"> P.48.</w:t>
      </w:r>
    </w:p>
    <w:p w14:paraId="55DD0312"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Buhalis, D. SoCoMo marketing for travel and tourism: empowering co-creation of value / D. Buhalis, M. Foerste. // Journal of Destination Marketing &amp; Management, 2015. – №4(3). – P.151–161.</w:t>
      </w:r>
    </w:p>
    <w:p w14:paraId="1ACBB00B"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Bunn, P. Growing pension deficits and the expenditure decisions of UK companies / P. Bunn, P. Mizen, P.  Smietanka.  // Bank of England Staff. Working Paper №714, 2018.</w:t>
      </w:r>
    </w:p>
    <w:p w14:paraId="132D5C0F"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Campbell, J. Financing constraints and the cost of capital: evidence from the funding of corporate pension plans / J. Campbell, D. Dhaliwal, W.  Schwartz. // Review of Financial Studies, 2012. – №25. – P.868-912.</w:t>
      </w:r>
    </w:p>
    <w:p w14:paraId="4E31588E"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Caporale, G.M. Oil price uncertainty and sectoral stock returns in China: a time-varying approach / G.M. Caporale, F. Menla, N. Spagnolo. // China Economic Review, 2015. – Volume 34. – P.311–321.</w:t>
      </w:r>
    </w:p>
    <w:p w14:paraId="561F26C3"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Carins, J.E. Eating for the better: a social marketing review (2000–2012) / J.E. Carins, S.R. Rundle-Thiele. // Public Health Nutrition, 2014. – №17(7). – P.1628–1639.</w:t>
      </w:r>
    </w:p>
    <w:p w14:paraId="041EE541"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Carvalho, V. The Great Diversification and Its Undoing / V. Carvalho, X. Gabaix. // American Economic Review, 2013. – №103(5). – P.1697–1727.</w:t>
      </w:r>
    </w:p>
    <w:p w14:paraId="304D9CFF"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Chakravarti P., Wu K. Chinese chipmaker Tsinghua Unigroup to buy France's Linxens for $2.6 billion: sources / Reuters [</w:t>
      </w:r>
      <w:r w:rsidRPr="003B10E2">
        <w:rPr>
          <w:rFonts w:ascii="Times New Roman" w:eastAsia="Times New Roman" w:hAnsi="Times New Roman"/>
          <w:color w:val="000000"/>
          <w:sz w:val="28"/>
          <w:szCs w:val="28"/>
          <w:lang w:eastAsia="ar-SA"/>
        </w:rPr>
        <w:t>Электронный</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ресурс</w:t>
      </w:r>
      <w:r w:rsidRPr="003B10E2">
        <w:rPr>
          <w:rFonts w:ascii="Times New Roman" w:eastAsia="Times New Roman" w:hAnsi="Times New Roman"/>
          <w:color w:val="000000"/>
          <w:sz w:val="28"/>
          <w:szCs w:val="28"/>
          <w:lang w:val="en-US" w:eastAsia="ar-SA"/>
        </w:rPr>
        <w:t>], 2018. –</w:t>
      </w:r>
      <w:r w:rsidRPr="003B10E2">
        <w:rPr>
          <w:rFonts w:ascii="Times New Roman" w:eastAsia="Times New Roman" w:hAnsi="Times New Roman"/>
          <w:color w:val="000000"/>
          <w:sz w:val="28"/>
          <w:szCs w:val="28"/>
          <w:lang w:eastAsia="ar-SA"/>
        </w:rPr>
        <w:t>Режим</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доступа</w:t>
      </w:r>
      <w:r w:rsidRPr="003B10E2">
        <w:rPr>
          <w:rFonts w:ascii="Times New Roman" w:eastAsia="Times New Roman" w:hAnsi="Times New Roman"/>
          <w:color w:val="000000"/>
          <w:sz w:val="28"/>
          <w:szCs w:val="28"/>
          <w:lang w:val="en-US" w:eastAsia="ar-SA"/>
        </w:rPr>
        <w:t>: https://www.reuters.com/article/us-linxens-m-a-tsinghua-unigroupidUSKBN1KF0B1</w:t>
      </w:r>
    </w:p>
    <w:p w14:paraId="2C8CA6D3"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 xml:space="preserve">Chang, T. Does insurance activity promote open innovation? Further evidence based on bootstrap panel Granger causality test / T. Chang, C-C. Lee, C.-H. Chang. // The European Journal of Finance, 2014. </w:t>
      </w:r>
      <w:r w:rsidRPr="003B10E2">
        <w:rPr>
          <w:rFonts w:ascii="Times New Roman" w:eastAsia="Times New Roman" w:hAnsi="Times New Roman"/>
          <w:color w:val="000000"/>
          <w:sz w:val="28"/>
          <w:szCs w:val="28"/>
          <w:lang w:val="en-US" w:eastAsia="ar-SA"/>
        </w:rPr>
        <w:t>–</w:t>
      </w:r>
      <w:r w:rsidRPr="003B10E2">
        <w:rPr>
          <w:rFonts w:ascii="Times New Roman" w:eastAsia="Times New Roman" w:hAnsi="Times New Roman"/>
          <w:iCs/>
          <w:color w:val="000000"/>
          <w:sz w:val="28"/>
          <w:szCs w:val="28"/>
          <w:lang w:val="en-US" w:eastAsia="ar-SA"/>
        </w:rPr>
        <w:t xml:space="preserve"> Volume 20. </w:t>
      </w:r>
      <w:r w:rsidRPr="003B10E2">
        <w:rPr>
          <w:rFonts w:ascii="Times New Roman" w:eastAsia="Times New Roman" w:hAnsi="Times New Roman"/>
          <w:color w:val="000000"/>
          <w:sz w:val="28"/>
          <w:szCs w:val="28"/>
          <w:lang w:val="en-US" w:eastAsia="ar-SA"/>
        </w:rPr>
        <w:t>– P.</w:t>
      </w:r>
      <w:r w:rsidRPr="003B10E2">
        <w:rPr>
          <w:rFonts w:ascii="Times New Roman" w:eastAsia="Times New Roman" w:hAnsi="Times New Roman"/>
          <w:iCs/>
          <w:color w:val="000000"/>
          <w:sz w:val="28"/>
          <w:szCs w:val="28"/>
          <w:lang w:val="en-US" w:eastAsia="ar-SA"/>
        </w:rPr>
        <w:t>1187–1210.</w:t>
      </w:r>
    </w:p>
    <w:p w14:paraId="2AE8AB5E"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Chang, Y.T. Persuasive messages, popularity cohesion, and message diffusion in social media marketing / Y.T. Chang, H. Yu, H.P. Lu. // Journal of Business Research, 2015. – </w:t>
      </w:r>
      <w:r w:rsidRPr="003B10E2">
        <w:rPr>
          <w:rFonts w:ascii="Times New Roman" w:eastAsia="Times New Roman" w:hAnsi="Times New Roman"/>
          <w:iCs/>
          <w:color w:val="000000"/>
          <w:sz w:val="28"/>
          <w:szCs w:val="28"/>
          <w:lang w:val="en-US" w:eastAsia="ar-SA"/>
        </w:rPr>
        <w:t xml:space="preserve">Volume </w:t>
      </w:r>
      <w:r w:rsidRPr="003B10E2">
        <w:rPr>
          <w:rFonts w:ascii="Times New Roman" w:eastAsia="Times New Roman" w:hAnsi="Times New Roman"/>
          <w:color w:val="000000"/>
          <w:sz w:val="28"/>
          <w:szCs w:val="28"/>
          <w:lang w:val="en-US" w:eastAsia="ar-SA"/>
        </w:rPr>
        <w:t>68(4). – P.777–782.</w:t>
      </w:r>
    </w:p>
    <w:p w14:paraId="3B031043"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Changes at German robotics firm Kuka raise questions over Chinese intentions / Deutsche Welle [Электронный ресурс], 2021. – Режим доступа:https://www.dw.com/en/changes-at-german-robotics-firm-kuka-raise-questions-overchinese-intentions/a-46456133</w:t>
      </w:r>
    </w:p>
    <w:p w14:paraId="7F93AF61"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Chao, X. How to determine the consensus threshold in group decision making: A method based on efficiency benchmark using benefit and cost insight / X. Chao, Y. Dong, G. Kou [et al.] // Annals of Operations Research, 2022. – Volume 316. – Issue 1. – №7. – P.143–177.</w:t>
      </w:r>
    </w:p>
    <w:p w14:paraId="5FBC22A8"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Chao, X. Large-Scale Group Decision-making with Non-cooperative Behaviors and Heterogeneous Preferences: An application in Financial Inclusion / X. Chao, G. Kou, Y. Peng [et al.] // European Journal of Operational Research, 2020. – Volume 288(1). – P. 271–293.</w:t>
      </w:r>
    </w:p>
    <w:p w14:paraId="4F8A8223"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Cheah, J. Predictability of bitcoin returns / J. Cheah, D. Luo, Z. Zhang [et al.] // The European Journal of Finance, 2020. – Volume 28(1). – P.66–85.</w:t>
      </w:r>
    </w:p>
    <w:p w14:paraId="0FAF6344"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 xml:space="preserve">Chen, K. Financial Innovation and Technology Firms: A Smart New World with Machines, Banking and Finance Issues in Emerging Markets / K. Chen. // International Symposia in Economic Theory and Econometrics. </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iCs/>
          <w:color w:val="000000"/>
          <w:sz w:val="28"/>
          <w:szCs w:val="28"/>
          <w:lang w:val="en-US" w:eastAsia="ar-SA"/>
        </w:rPr>
        <w:t xml:space="preserve">Bingley: Emerald Publishing Limited, 2018. </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iCs/>
          <w:color w:val="000000"/>
          <w:sz w:val="28"/>
          <w:szCs w:val="28"/>
          <w:lang w:val="en-US" w:eastAsia="ar-SA"/>
        </w:rPr>
        <w:t>P. 279</w:t>
      </w:r>
      <w:r w:rsidRPr="003B10E2">
        <w:rPr>
          <w:rFonts w:ascii="Times New Roman" w:eastAsia="Times New Roman" w:hAnsi="Times New Roman"/>
          <w:color w:val="000000"/>
          <w:sz w:val="28"/>
          <w:szCs w:val="28"/>
          <w:lang w:val="en-US" w:eastAsia="ar-SA"/>
        </w:rPr>
        <w:t>–</w:t>
      </w:r>
      <w:r w:rsidRPr="003B10E2">
        <w:rPr>
          <w:rFonts w:ascii="Times New Roman" w:eastAsia="Times New Roman" w:hAnsi="Times New Roman"/>
          <w:iCs/>
          <w:color w:val="000000"/>
          <w:sz w:val="28"/>
          <w:szCs w:val="28"/>
          <w:lang w:val="en-US" w:eastAsia="ar-SA"/>
        </w:rPr>
        <w:t xml:space="preserve">292. </w:t>
      </w:r>
      <w:r w:rsidRPr="003B10E2">
        <w:rPr>
          <w:rFonts w:ascii="Times New Roman" w:eastAsia="Times New Roman" w:hAnsi="Times New Roman"/>
          <w:color w:val="000000"/>
          <w:sz w:val="28"/>
          <w:szCs w:val="28"/>
          <w:lang w:val="en-US" w:eastAsia="ar-SA"/>
        </w:rPr>
        <w:t>–</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ISBN: 978-1-78756-454-1.</w:t>
      </w:r>
    </w:p>
    <w:p w14:paraId="567FE66B"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Chen, W. Macroeconomic impacts of oil prices and underlying financial shocks / W. Chen, S. Hamori, T. Kinkyo. // Journal of International Financial Markets, Institutions and Money, 2014. – Volume 29. – P.1–12. </w:t>
      </w:r>
    </w:p>
    <w:p w14:paraId="03B771FD"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Chen, X. What Drives Corporate Pension Plan Contributions: Moral Hazard or Tax Benefits? / X. Chen, T. Yu, T.  Zhang. // Financial Analysts Journal, 2013. – Volume 69. – №4. – P.</w:t>
      </w:r>
      <w:r w:rsidRPr="003B10E2">
        <w:rPr>
          <w:rFonts w:ascii="Times New Roman" w:hAnsi="Times New Roman"/>
          <w:sz w:val="28"/>
          <w:szCs w:val="28"/>
          <w:lang w:val="en-US"/>
        </w:rPr>
        <w:t xml:space="preserve"> </w:t>
      </w:r>
      <w:r w:rsidRPr="003B10E2">
        <w:rPr>
          <w:rFonts w:ascii="Times New Roman" w:eastAsia="Times New Roman" w:hAnsi="Times New Roman"/>
          <w:color w:val="000000"/>
          <w:sz w:val="28"/>
          <w:szCs w:val="28"/>
          <w:lang w:val="en-US" w:eastAsia="ar-SA"/>
        </w:rPr>
        <w:t>58–72.</w:t>
      </w:r>
    </w:p>
    <w:p w14:paraId="2F9CA598"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Chesbrough, H. To recover faster from Covid-19, open up: Managerial implications from an open innovation perspective / H. Chesbrough. // Industrial Marketing Management, 2020. – №88. – P.410–413.</w:t>
      </w:r>
    </w:p>
    <w:p w14:paraId="278971EA"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Chevallier, J. Is It Possible to Forecast the Price of Bitcoin? / J. Chevallier, D. Guеgan, S. Goutte. // Forecasting, 2021. – №3. – P.377–420. </w:t>
      </w:r>
    </w:p>
    <w:p w14:paraId="5EE3F29A"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Chimienti, M. Understanding the crypto-asset phenomenon, its risks and measurement issues / M. Chimienti, U. Kochanska, A. Pinna. // Economic Bulletin Articles, 2019. – Volume 5. </w:t>
      </w:r>
    </w:p>
    <w:p w14:paraId="69DEDA8E"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China Energy in 4 Copelouzos Group wind energy projects / Energypress [</w:t>
      </w:r>
      <w:r w:rsidRPr="003B10E2">
        <w:rPr>
          <w:rFonts w:ascii="Times New Roman" w:eastAsia="Times New Roman" w:hAnsi="Times New Roman"/>
          <w:color w:val="000000"/>
          <w:sz w:val="28"/>
          <w:szCs w:val="28"/>
          <w:lang w:eastAsia="ar-SA"/>
        </w:rPr>
        <w:t>Электронный</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ресурс</w:t>
      </w:r>
      <w:r w:rsidRPr="003B10E2">
        <w:rPr>
          <w:rFonts w:ascii="Times New Roman" w:eastAsia="Times New Roman" w:hAnsi="Times New Roman"/>
          <w:color w:val="000000"/>
          <w:sz w:val="28"/>
          <w:szCs w:val="28"/>
          <w:lang w:val="en-US" w:eastAsia="ar-SA"/>
        </w:rPr>
        <w:t xml:space="preserve">], 2019. – </w:t>
      </w:r>
      <w:r w:rsidRPr="003B10E2">
        <w:rPr>
          <w:rFonts w:ascii="Times New Roman" w:eastAsia="Times New Roman" w:hAnsi="Times New Roman"/>
          <w:color w:val="000000"/>
          <w:sz w:val="28"/>
          <w:szCs w:val="28"/>
          <w:lang w:eastAsia="ar-SA"/>
        </w:rPr>
        <w:t>Режим</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доступа</w:t>
      </w:r>
      <w:r w:rsidRPr="003B10E2">
        <w:rPr>
          <w:rFonts w:ascii="Times New Roman" w:eastAsia="Times New Roman" w:hAnsi="Times New Roman"/>
          <w:color w:val="000000"/>
          <w:sz w:val="28"/>
          <w:szCs w:val="28"/>
          <w:lang w:val="en-US" w:eastAsia="ar-SA"/>
        </w:rPr>
        <w:t>: https://energypress.eu/china-energyenters-four-copelouzos-group-wind-energy-projects/</w:t>
      </w:r>
    </w:p>
    <w:p w14:paraId="257366E9"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China takes £1.5bn stake in Barclays / The Guardian [</w:t>
      </w:r>
      <w:r w:rsidRPr="003B10E2">
        <w:rPr>
          <w:rFonts w:ascii="Times New Roman" w:eastAsia="Times New Roman" w:hAnsi="Times New Roman"/>
          <w:color w:val="000000"/>
          <w:sz w:val="28"/>
          <w:szCs w:val="28"/>
          <w:lang w:eastAsia="ar-SA"/>
        </w:rPr>
        <w:t>Электронный</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ресурс</w:t>
      </w:r>
      <w:r w:rsidRPr="003B10E2">
        <w:rPr>
          <w:rFonts w:ascii="Times New Roman" w:eastAsia="Times New Roman" w:hAnsi="Times New Roman"/>
          <w:color w:val="000000"/>
          <w:sz w:val="28"/>
          <w:szCs w:val="28"/>
          <w:lang w:val="en-US" w:eastAsia="ar-SA"/>
        </w:rPr>
        <w:t xml:space="preserve">], 2007. – </w:t>
      </w:r>
      <w:r w:rsidRPr="003B10E2">
        <w:rPr>
          <w:rFonts w:ascii="Times New Roman" w:eastAsia="Times New Roman" w:hAnsi="Times New Roman"/>
          <w:color w:val="000000"/>
          <w:sz w:val="28"/>
          <w:szCs w:val="28"/>
          <w:lang w:eastAsia="ar-SA"/>
        </w:rPr>
        <w:t>Режим</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доступа</w:t>
      </w:r>
      <w:r w:rsidRPr="003B10E2">
        <w:rPr>
          <w:rFonts w:ascii="Times New Roman" w:eastAsia="Times New Roman" w:hAnsi="Times New Roman"/>
          <w:color w:val="000000"/>
          <w:sz w:val="28"/>
          <w:szCs w:val="28"/>
          <w:lang w:val="en-US" w:eastAsia="ar-SA"/>
        </w:rPr>
        <w:t>: https://www.theguardian.com/business/2007/jul/23/china.internationalnews</w:t>
      </w:r>
    </w:p>
    <w:p w14:paraId="573FACA5"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China Three Gorges buys EDP stake for 2.7 billion euros / Reuters [</w:t>
      </w:r>
      <w:r w:rsidRPr="003B10E2">
        <w:rPr>
          <w:rFonts w:ascii="Times New Roman" w:eastAsia="Times New Roman" w:hAnsi="Times New Roman"/>
          <w:color w:val="000000"/>
          <w:sz w:val="28"/>
          <w:szCs w:val="28"/>
          <w:lang w:eastAsia="ar-SA"/>
        </w:rPr>
        <w:t>Электронный</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ресурс</w:t>
      </w:r>
      <w:r w:rsidRPr="003B10E2">
        <w:rPr>
          <w:rFonts w:ascii="Times New Roman" w:eastAsia="Times New Roman" w:hAnsi="Times New Roman"/>
          <w:color w:val="000000"/>
          <w:sz w:val="28"/>
          <w:szCs w:val="28"/>
          <w:lang w:val="en-US" w:eastAsia="ar-SA"/>
        </w:rPr>
        <w:t xml:space="preserve">], 2011. – </w:t>
      </w:r>
      <w:r w:rsidRPr="003B10E2">
        <w:rPr>
          <w:rFonts w:ascii="Times New Roman" w:eastAsia="Times New Roman" w:hAnsi="Times New Roman"/>
          <w:color w:val="000000"/>
          <w:sz w:val="28"/>
          <w:szCs w:val="28"/>
          <w:lang w:eastAsia="ar-SA"/>
        </w:rPr>
        <w:t>Режим</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доступа</w:t>
      </w:r>
      <w:r w:rsidRPr="003B10E2">
        <w:rPr>
          <w:rFonts w:ascii="Times New Roman" w:eastAsia="Times New Roman" w:hAnsi="Times New Roman"/>
          <w:color w:val="000000"/>
          <w:sz w:val="28"/>
          <w:szCs w:val="28"/>
          <w:lang w:val="en-US" w:eastAsia="ar-SA"/>
        </w:rPr>
        <w:t>: https://www.reuters.com/article/usedp-threegorges-idUSTRE7BM04V20111223</w:t>
      </w:r>
    </w:p>
    <w:p w14:paraId="40CF1207"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China’s CIC buys Blackstone’s Logicor warehouse unit for €12.25bn. /Financial Times [</w:t>
      </w:r>
      <w:r w:rsidRPr="003B10E2">
        <w:rPr>
          <w:rFonts w:ascii="Times New Roman" w:eastAsia="Times New Roman" w:hAnsi="Times New Roman"/>
          <w:color w:val="000000"/>
          <w:sz w:val="28"/>
          <w:szCs w:val="28"/>
          <w:lang w:eastAsia="ar-SA"/>
        </w:rPr>
        <w:t>Электронный</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ресурс</w:t>
      </w:r>
      <w:r w:rsidRPr="003B10E2">
        <w:rPr>
          <w:rFonts w:ascii="Times New Roman" w:eastAsia="Times New Roman" w:hAnsi="Times New Roman"/>
          <w:color w:val="000000"/>
          <w:sz w:val="28"/>
          <w:szCs w:val="28"/>
          <w:lang w:val="en-US" w:eastAsia="ar-SA"/>
        </w:rPr>
        <w:t xml:space="preserve">], 2017. – </w:t>
      </w:r>
      <w:r w:rsidRPr="003B10E2">
        <w:rPr>
          <w:rFonts w:ascii="Times New Roman" w:eastAsia="Times New Roman" w:hAnsi="Times New Roman"/>
          <w:color w:val="000000"/>
          <w:sz w:val="28"/>
          <w:szCs w:val="28"/>
          <w:lang w:eastAsia="ar-SA"/>
        </w:rPr>
        <w:t>Режим</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доступа</w:t>
      </w:r>
      <w:r w:rsidRPr="003B10E2">
        <w:rPr>
          <w:rFonts w:ascii="Times New Roman" w:eastAsia="Times New Roman" w:hAnsi="Times New Roman"/>
          <w:color w:val="000000"/>
          <w:sz w:val="28"/>
          <w:szCs w:val="28"/>
          <w:lang w:val="en-US" w:eastAsia="ar-SA"/>
        </w:rPr>
        <w:t>: https://www.ft.com/content/9d0f20d5-80a1-3ba8-809e-fe8d20a5d0e9</w:t>
      </w:r>
    </w:p>
    <w:p w14:paraId="62F37972"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China’s HNA Group to Buy Avolon for $31 a Share Doug Cameron, Maria Armental / The Wall Street Journal [</w:t>
      </w:r>
      <w:r w:rsidRPr="003B10E2">
        <w:rPr>
          <w:rFonts w:ascii="Times New Roman" w:eastAsia="Times New Roman" w:hAnsi="Times New Roman"/>
          <w:color w:val="000000"/>
          <w:sz w:val="28"/>
          <w:szCs w:val="28"/>
          <w:lang w:eastAsia="ar-SA"/>
        </w:rPr>
        <w:t>Электронный</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ресурс</w:t>
      </w:r>
      <w:r w:rsidRPr="003B10E2">
        <w:rPr>
          <w:rFonts w:ascii="Times New Roman" w:eastAsia="Times New Roman" w:hAnsi="Times New Roman"/>
          <w:color w:val="000000"/>
          <w:sz w:val="28"/>
          <w:szCs w:val="28"/>
          <w:lang w:val="en-US" w:eastAsia="ar-SA"/>
        </w:rPr>
        <w:t xml:space="preserve">], 2015. – </w:t>
      </w:r>
      <w:r w:rsidRPr="003B10E2">
        <w:rPr>
          <w:rFonts w:ascii="Times New Roman" w:eastAsia="Times New Roman" w:hAnsi="Times New Roman"/>
          <w:color w:val="000000"/>
          <w:sz w:val="28"/>
          <w:szCs w:val="28"/>
          <w:lang w:eastAsia="ar-SA"/>
        </w:rPr>
        <w:t>Режим</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доступа</w:t>
      </w:r>
      <w:r w:rsidRPr="003B10E2">
        <w:rPr>
          <w:rFonts w:ascii="Times New Roman" w:eastAsia="Times New Roman" w:hAnsi="Times New Roman"/>
          <w:color w:val="000000"/>
          <w:sz w:val="28"/>
          <w:szCs w:val="28"/>
          <w:lang w:val="en-US" w:eastAsia="ar-SA"/>
        </w:rPr>
        <w:t>: https://www.wsj.com/articles/bohai-leasing-to-acquire-avolon-for-31-a-share1441320255</w:t>
      </w:r>
    </w:p>
    <w:p w14:paraId="318701A0"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China’s Huawei picks Hungary for logistics centre / Reuters [</w:t>
      </w:r>
      <w:r w:rsidRPr="003B10E2">
        <w:rPr>
          <w:rFonts w:ascii="Times New Roman" w:eastAsia="Times New Roman" w:hAnsi="Times New Roman"/>
          <w:color w:val="000000"/>
          <w:sz w:val="28"/>
          <w:szCs w:val="28"/>
          <w:lang w:eastAsia="ar-SA"/>
        </w:rPr>
        <w:t>Электронный</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ресурс</w:t>
      </w:r>
      <w:r w:rsidRPr="003B10E2">
        <w:rPr>
          <w:rFonts w:ascii="Times New Roman" w:eastAsia="Times New Roman" w:hAnsi="Times New Roman"/>
          <w:color w:val="000000"/>
          <w:sz w:val="28"/>
          <w:szCs w:val="28"/>
          <w:lang w:val="en-US" w:eastAsia="ar-SA"/>
        </w:rPr>
        <w:t xml:space="preserve">], 2011. – </w:t>
      </w:r>
      <w:r w:rsidRPr="003B10E2">
        <w:rPr>
          <w:rFonts w:ascii="Times New Roman" w:eastAsia="Times New Roman" w:hAnsi="Times New Roman"/>
          <w:color w:val="000000"/>
          <w:sz w:val="28"/>
          <w:szCs w:val="28"/>
          <w:lang w:eastAsia="ar-SA"/>
        </w:rPr>
        <w:t>Режим</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доступа</w:t>
      </w:r>
      <w:r w:rsidRPr="003B10E2">
        <w:rPr>
          <w:rFonts w:ascii="Times New Roman" w:eastAsia="Times New Roman" w:hAnsi="Times New Roman"/>
          <w:color w:val="000000"/>
          <w:sz w:val="28"/>
          <w:szCs w:val="28"/>
          <w:lang w:val="en-US" w:eastAsia="ar-SA"/>
        </w:rPr>
        <w:t>: https://www.reuters.com/article/huawei-hungaryidUSLDE7571T420110608</w:t>
      </w:r>
    </w:p>
    <w:p w14:paraId="23563097"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China’s Midea receives U.S. green light for Kuka takeover / Reuters [</w:t>
      </w:r>
      <w:r w:rsidRPr="003B10E2">
        <w:rPr>
          <w:rFonts w:ascii="Times New Roman" w:eastAsia="Times New Roman" w:hAnsi="Times New Roman"/>
          <w:color w:val="000000"/>
          <w:sz w:val="28"/>
          <w:szCs w:val="28"/>
          <w:lang w:eastAsia="ar-SA"/>
        </w:rPr>
        <w:t>Электронный</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ресурс</w:t>
      </w:r>
      <w:r w:rsidRPr="003B10E2">
        <w:rPr>
          <w:rFonts w:ascii="Times New Roman" w:eastAsia="Times New Roman" w:hAnsi="Times New Roman"/>
          <w:color w:val="000000"/>
          <w:sz w:val="28"/>
          <w:szCs w:val="28"/>
          <w:lang w:val="en-US" w:eastAsia="ar-SA"/>
        </w:rPr>
        <w:t xml:space="preserve">], 2016. – </w:t>
      </w:r>
      <w:r w:rsidRPr="003B10E2">
        <w:rPr>
          <w:rFonts w:ascii="Times New Roman" w:eastAsia="Times New Roman" w:hAnsi="Times New Roman"/>
          <w:color w:val="000000"/>
          <w:sz w:val="28"/>
          <w:szCs w:val="28"/>
          <w:lang w:eastAsia="ar-SA"/>
        </w:rPr>
        <w:t>Режим</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доступа</w:t>
      </w:r>
      <w:r w:rsidRPr="003B10E2">
        <w:rPr>
          <w:rFonts w:ascii="Times New Roman" w:eastAsia="Times New Roman" w:hAnsi="Times New Roman"/>
          <w:color w:val="000000"/>
          <w:sz w:val="28"/>
          <w:szCs w:val="28"/>
          <w:lang w:val="en-US" w:eastAsia="ar-SA"/>
        </w:rPr>
        <w:t>: https://www.reuters.com/article/uskuka-m-a-mideamidea-group-idUSKBN14J0SP</w:t>
      </w:r>
    </w:p>
    <w:p w14:paraId="3C92E60D"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China's central bank buys into Italian banks UniCredit, Monte dei Paschi //Reuters [</w:t>
      </w:r>
      <w:r w:rsidRPr="003B10E2">
        <w:rPr>
          <w:rFonts w:ascii="Times New Roman" w:eastAsia="Times New Roman" w:hAnsi="Times New Roman"/>
          <w:color w:val="000000"/>
          <w:sz w:val="28"/>
          <w:szCs w:val="28"/>
          <w:lang w:eastAsia="ar-SA"/>
        </w:rPr>
        <w:t>Электронный</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ресурс</w:t>
      </w:r>
      <w:r w:rsidRPr="003B10E2">
        <w:rPr>
          <w:rFonts w:ascii="Times New Roman" w:eastAsia="Times New Roman" w:hAnsi="Times New Roman"/>
          <w:color w:val="000000"/>
          <w:sz w:val="28"/>
          <w:szCs w:val="28"/>
          <w:lang w:val="en-US" w:eastAsia="ar-SA"/>
        </w:rPr>
        <w:t xml:space="preserve">], 2015. – </w:t>
      </w:r>
      <w:r w:rsidRPr="003B10E2">
        <w:rPr>
          <w:rFonts w:ascii="Times New Roman" w:eastAsia="Times New Roman" w:hAnsi="Times New Roman"/>
          <w:color w:val="000000"/>
          <w:sz w:val="28"/>
          <w:szCs w:val="28"/>
          <w:lang w:eastAsia="ar-SA"/>
        </w:rPr>
        <w:t>Режим</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доступа</w:t>
      </w:r>
      <w:r w:rsidRPr="003B10E2">
        <w:rPr>
          <w:rFonts w:ascii="Times New Roman" w:eastAsia="Times New Roman" w:hAnsi="Times New Roman"/>
          <w:color w:val="000000"/>
          <w:sz w:val="28"/>
          <w:szCs w:val="28"/>
          <w:lang w:val="en-US" w:eastAsia="ar-SA"/>
        </w:rPr>
        <w:t>: https://www.reuters.com/article/unicredit-montepaschi-bankofchinaidUSI6N0Z102C20150706</w:t>
      </w:r>
    </w:p>
    <w:p w14:paraId="6A90485A"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China's CIC raising $8 billion loan for Logicor acquisition: Basis Point /Reuters [</w:t>
      </w:r>
      <w:r w:rsidRPr="003B10E2">
        <w:rPr>
          <w:rFonts w:ascii="Times New Roman" w:eastAsia="Times New Roman" w:hAnsi="Times New Roman"/>
          <w:color w:val="000000"/>
          <w:sz w:val="28"/>
          <w:szCs w:val="28"/>
          <w:lang w:eastAsia="ar-SA"/>
        </w:rPr>
        <w:t>Электронный</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ресурс</w:t>
      </w:r>
      <w:r w:rsidRPr="003B10E2">
        <w:rPr>
          <w:rFonts w:ascii="Times New Roman" w:eastAsia="Times New Roman" w:hAnsi="Times New Roman"/>
          <w:color w:val="000000"/>
          <w:sz w:val="28"/>
          <w:szCs w:val="28"/>
          <w:lang w:val="en-US" w:eastAsia="ar-SA"/>
        </w:rPr>
        <w:t xml:space="preserve">], 2017. – </w:t>
      </w:r>
      <w:r w:rsidRPr="003B10E2">
        <w:rPr>
          <w:rFonts w:ascii="Times New Roman" w:eastAsia="Times New Roman" w:hAnsi="Times New Roman"/>
          <w:color w:val="000000"/>
          <w:sz w:val="28"/>
          <w:szCs w:val="28"/>
          <w:lang w:eastAsia="ar-SA"/>
        </w:rPr>
        <w:t>Режим</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доступа</w:t>
      </w:r>
      <w:r w:rsidRPr="003B10E2">
        <w:rPr>
          <w:rFonts w:ascii="Times New Roman" w:eastAsia="Times New Roman" w:hAnsi="Times New Roman"/>
          <w:color w:val="000000"/>
          <w:sz w:val="28"/>
          <w:szCs w:val="28"/>
          <w:lang w:val="en-US" w:eastAsia="ar-SA"/>
        </w:rPr>
        <w:t>: https://www.reuters.com/article/us-china-cic-logicor/chinas-cic-raising-8-billion-loanfor-logicor-acquisition-basis-point-idUSKBN1AD1A0</w:t>
      </w:r>
    </w:p>
    <w:p w14:paraId="3C349769"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China's Cosco acquires 51 pct stake in Greece's Piraeus Port / Reuters</w:t>
      </w:r>
    </w:p>
    <w:p w14:paraId="48A17481"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China's Dalian Wanda to buy UK yacht maker and hotel / BBC [</w:t>
      </w:r>
      <w:r w:rsidRPr="003B10E2">
        <w:rPr>
          <w:rFonts w:ascii="Times New Roman" w:eastAsia="Times New Roman" w:hAnsi="Times New Roman"/>
          <w:color w:val="000000"/>
          <w:sz w:val="28"/>
          <w:szCs w:val="28"/>
          <w:lang w:eastAsia="ar-SA"/>
        </w:rPr>
        <w:t>Электронный</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ресурс</w:t>
      </w:r>
      <w:r w:rsidRPr="003B10E2">
        <w:rPr>
          <w:rFonts w:ascii="Times New Roman" w:eastAsia="Times New Roman" w:hAnsi="Times New Roman"/>
          <w:color w:val="000000"/>
          <w:sz w:val="28"/>
          <w:szCs w:val="28"/>
          <w:lang w:val="en-US" w:eastAsia="ar-SA"/>
        </w:rPr>
        <w:t xml:space="preserve">], 2013. – </w:t>
      </w:r>
      <w:r w:rsidRPr="003B10E2">
        <w:rPr>
          <w:rFonts w:ascii="Times New Roman" w:eastAsia="Times New Roman" w:hAnsi="Times New Roman"/>
          <w:color w:val="000000"/>
          <w:sz w:val="28"/>
          <w:szCs w:val="28"/>
          <w:lang w:eastAsia="ar-SA"/>
        </w:rPr>
        <w:t>Режим</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доступа</w:t>
      </w:r>
      <w:r w:rsidRPr="003B10E2">
        <w:rPr>
          <w:rFonts w:ascii="Times New Roman" w:eastAsia="Times New Roman" w:hAnsi="Times New Roman"/>
          <w:color w:val="000000"/>
          <w:sz w:val="28"/>
          <w:szCs w:val="28"/>
          <w:lang w:val="en-US" w:eastAsia="ar-SA"/>
        </w:rPr>
        <w:t>: https://www.bbc.com/news/business22963760</w:t>
      </w:r>
    </w:p>
    <w:p w14:paraId="74FF5F23"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Chinese carmakers may soon own a fifth of Daimler / Economist [</w:t>
      </w:r>
      <w:r w:rsidRPr="003B10E2">
        <w:rPr>
          <w:rFonts w:ascii="Times New Roman" w:eastAsia="Times New Roman" w:hAnsi="Times New Roman"/>
          <w:color w:val="000000"/>
          <w:sz w:val="28"/>
          <w:szCs w:val="28"/>
          <w:lang w:eastAsia="ar-SA"/>
        </w:rPr>
        <w:t>Электронный</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ресурс</w:t>
      </w:r>
      <w:r w:rsidRPr="003B10E2">
        <w:rPr>
          <w:rFonts w:ascii="Times New Roman" w:eastAsia="Times New Roman" w:hAnsi="Times New Roman"/>
          <w:color w:val="000000"/>
          <w:sz w:val="28"/>
          <w:szCs w:val="28"/>
          <w:lang w:val="en-US" w:eastAsia="ar-SA"/>
        </w:rPr>
        <w:t xml:space="preserve">], 2019. – </w:t>
      </w:r>
      <w:r w:rsidRPr="003B10E2">
        <w:rPr>
          <w:rFonts w:ascii="Times New Roman" w:eastAsia="Times New Roman" w:hAnsi="Times New Roman"/>
          <w:color w:val="000000"/>
          <w:sz w:val="28"/>
          <w:szCs w:val="28"/>
          <w:lang w:eastAsia="ar-SA"/>
        </w:rPr>
        <w:t>Режим</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доступа</w:t>
      </w:r>
      <w:r w:rsidRPr="003B10E2">
        <w:rPr>
          <w:rFonts w:ascii="Times New Roman" w:eastAsia="Times New Roman" w:hAnsi="Times New Roman"/>
          <w:color w:val="000000"/>
          <w:sz w:val="28"/>
          <w:szCs w:val="28"/>
          <w:lang w:val="en-US" w:eastAsia="ar-SA"/>
        </w:rPr>
        <w:t>: https://www.economist.com/business/2019/12/18/chinese-carmakers-may-soon-own-afifth-of-daimler</w:t>
      </w:r>
    </w:p>
    <w:p w14:paraId="03F1BF99"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Chinese Investment in Germany Plunged in Second Half, EY Says /Bloomberg [</w:t>
      </w:r>
      <w:r w:rsidRPr="003B10E2">
        <w:rPr>
          <w:rFonts w:ascii="Times New Roman" w:eastAsia="Times New Roman" w:hAnsi="Times New Roman"/>
          <w:color w:val="000000"/>
          <w:sz w:val="28"/>
          <w:szCs w:val="28"/>
          <w:lang w:eastAsia="ar-SA"/>
        </w:rPr>
        <w:t>Электронный</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ресурс</w:t>
      </w:r>
      <w:r w:rsidRPr="003B10E2">
        <w:rPr>
          <w:rFonts w:ascii="Times New Roman" w:eastAsia="Times New Roman" w:hAnsi="Times New Roman"/>
          <w:color w:val="000000"/>
          <w:sz w:val="28"/>
          <w:szCs w:val="28"/>
          <w:lang w:val="en-US" w:eastAsia="ar-SA"/>
        </w:rPr>
        <w:t xml:space="preserve">], 2018. – </w:t>
      </w:r>
      <w:r w:rsidRPr="003B10E2">
        <w:rPr>
          <w:rFonts w:ascii="Times New Roman" w:eastAsia="Times New Roman" w:hAnsi="Times New Roman"/>
          <w:color w:val="000000"/>
          <w:sz w:val="28"/>
          <w:szCs w:val="28"/>
          <w:lang w:eastAsia="ar-SA"/>
        </w:rPr>
        <w:t>Режим</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доступа</w:t>
      </w:r>
      <w:r w:rsidRPr="003B10E2">
        <w:rPr>
          <w:rFonts w:ascii="Times New Roman" w:eastAsia="Times New Roman" w:hAnsi="Times New Roman"/>
          <w:color w:val="000000"/>
          <w:sz w:val="28"/>
          <w:szCs w:val="28"/>
          <w:lang w:val="en-US" w:eastAsia="ar-SA"/>
        </w:rPr>
        <w:t>: https://www.bloomberg.com/news/articles/2018-12-27/chinese-investment-in-germanyplunged-in-second-half-ey-says</w:t>
      </w:r>
    </w:p>
    <w:p w14:paraId="6C500A0D"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Chkili, W. Instabilities in the relationships and hedging strategies between crude oil and US stock markets: do long memory and asymmetry matter? / W. Chkili, C. Aloui, D.K. Nguyen. // Journal of International Financial Markets, Institutions and Money, 2014. – Volume 33. – P.354–366. </w:t>
      </w:r>
    </w:p>
    <w:p w14:paraId="559E7AC6"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Ciaian, P. The economics of BitCoin price formation / P. Ciaian, M. Rajcaniova, D.A. Kancs. // Applied Economics, 2016. – Volume 48(19). – P.1799–1815.</w:t>
      </w:r>
    </w:p>
    <w:p w14:paraId="3BD8E70E"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Ciaian, P. Virtual Relationships: short- and long-run evidence from BitCoin and Altcoin Markets / P. Ciaian, M. Rajcaniova, D. Kancs. // Journal of International Financial Markets, Institutions and Money, 2017. – Volume 52. – P.173–195. </w:t>
      </w:r>
    </w:p>
    <w:p w14:paraId="0B24D7DC"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Coffee, Jr. J.C. The future as history: the prospects for global convergence in corporate governance and its implications / Jr. J.C. Coffee. // Northwestern Law Review, 2006. – № 93. – </w:t>
      </w:r>
      <w:r w:rsidRPr="003B10E2">
        <w:rPr>
          <w:rFonts w:ascii="Times New Roman" w:eastAsia="Times New Roman" w:hAnsi="Times New Roman"/>
          <w:color w:val="000000"/>
          <w:sz w:val="28"/>
          <w:szCs w:val="28"/>
          <w:lang w:eastAsia="ar-SA"/>
        </w:rPr>
        <w:t>Р</w:t>
      </w:r>
      <w:r w:rsidRPr="003B10E2">
        <w:rPr>
          <w:rFonts w:ascii="Times New Roman" w:eastAsia="Times New Roman" w:hAnsi="Times New Roman"/>
          <w:color w:val="000000"/>
          <w:sz w:val="28"/>
          <w:szCs w:val="28"/>
          <w:lang w:val="en-US" w:eastAsia="ar-SA"/>
        </w:rPr>
        <w:t>. 641–708.</w:t>
      </w:r>
    </w:p>
    <w:p w14:paraId="1F79C93F"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Cong, L. Decentralized Mining in Centralized Pools / L. Cong, Z. He, J. Li. // The Review of Financial Studies, 2021. – Volume 34(3). – P.1191–1235. </w:t>
      </w:r>
    </w:p>
    <w:p w14:paraId="1E2A43D1"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Cooke, P. Silicon Valley Imperialists Create New Model Villages as Smart Cities in Their Own Image / P. Cooke. // Journal of Open Innovation: Technology, Market, and Complexity, 2020. – №6. – P.2–18.</w:t>
      </w:r>
    </w:p>
    <w:p w14:paraId="567858CE"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Copeland, T. Information effects on the bid-ask spread / T. Copeland, D. Galai.  // Journal of Finance, 2003. – Volume 38. – P. 1457–1469.</w:t>
      </w:r>
    </w:p>
    <w:p w14:paraId="61F3B34C"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Corbet, S. Exploring the dynamic relationships between cryptocurrencies and other financial assets / S. Corbet, A. Meegan, C. Larkin [et al.] // Economic Letters, 2018. – Volume 165. – P.28–34. </w:t>
      </w:r>
    </w:p>
    <w:p w14:paraId="5D3249FE"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Council directive of 20 December 2005 № 85/611/EEC on the coordination of laws, regulations and administrative provisions relating to undertakings for collective investment in transferable securities (UCITS) // Official Journal, 2005. – L.375. – P.3–18.</w:t>
      </w:r>
    </w:p>
    <w:p w14:paraId="6D4D77E0"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 xml:space="preserve">Coyle, D. The Culture Code: The Secrets of Highly Successful Groups / D. Coyle. </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iCs/>
          <w:color w:val="000000"/>
          <w:sz w:val="28"/>
          <w:szCs w:val="28"/>
          <w:lang w:val="en-US" w:eastAsia="ar-SA"/>
        </w:rPr>
        <w:t xml:space="preserve">Bantam: New York, 2018. </w:t>
      </w:r>
      <w:r w:rsidRPr="003B10E2">
        <w:rPr>
          <w:rFonts w:ascii="Times New Roman" w:eastAsia="Times New Roman" w:hAnsi="Times New Roman"/>
          <w:color w:val="000000"/>
          <w:sz w:val="28"/>
          <w:szCs w:val="28"/>
          <w:lang w:val="en-US" w:eastAsia="ar-SA"/>
        </w:rPr>
        <w:t>– P.304.</w:t>
      </w:r>
      <w:r w:rsidRPr="003B10E2">
        <w:rPr>
          <w:rFonts w:ascii="Times New Roman" w:eastAsia="Times New Roman" w:hAnsi="Times New Roman"/>
          <w:iCs/>
          <w:color w:val="000000"/>
          <w:sz w:val="28"/>
          <w:szCs w:val="28"/>
          <w:lang w:val="en-US" w:eastAsia="ar-SA"/>
        </w:rPr>
        <w:t xml:space="preserve"> </w:t>
      </w:r>
    </w:p>
    <w:p w14:paraId="4FFCCE13"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it-IT" w:eastAsia="ar-SA"/>
        </w:rPr>
      </w:pPr>
      <w:r w:rsidRPr="003B10E2">
        <w:rPr>
          <w:rFonts w:ascii="Times New Roman" w:eastAsia="Times New Roman" w:hAnsi="Times New Roman"/>
          <w:color w:val="000000"/>
          <w:sz w:val="28"/>
          <w:szCs w:val="28"/>
          <w:lang w:val="fr-BE" w:eastAsia="ar-SA"/>
        </w:rPr>
        <w:t>D’Haultfoeuille</w:t>
      </w:r>
      <w:r w:rsidRPr="003B10E2">
        <w:rPr>
          <w:rFonts w:ascii="Times New Roman" w:eastAsia="Times New Roman" w:hAnsi="Times New Roman"/>
          <w:color w:val="000000"/>
          <w:sz w:val="28"/>
          <w:szCs w:val="28"/>
          <w:lang w:val="it-IT" w:eastAsia="ar-SA"/>
        </w:rPr>
        <w:t>,</w:t>
      </w:r>
      <w:r w:rsidRPr="003B10E2">
        <w:rPr>
          <w:rFonts w:ascii="Times New Roman" w:eastAsia="Times New Roman" w:hAnsi="Times New Roman"/>
          <w:color w:val="000000"/>
          <w:sz w:val="28"/>
          <w:szCs w:val="28"/>
          <w:lang w:val="fr-BE" w:eastAsia="ar-SA"/>
        </w:rPr>
        <w:t xml:space="preserve"> X. La régression quantile en pratique / X. D’Haultfoeuille</w:t>
      </w:r>
      <w:r w:rsidRPr="003B10E2">
        <w:rPr>
          <w:rFonts w:ascii="Times New Roman" w:eastAsia="Times New Roman" w:hAnsi="Times New Roman"/>
          <w:color w:val="000000"/>
          <w:sz w:val="28"/>
          <w:szCs w:val="28"/>
          <w:lang w:val="it-IT" w:eastAsia="ar-SA"/>
        </w:rPr>
        <w:t>,</w:t>
      </w:r>
      <w:r w:rsidRPr="003B10E2">
        <w:rPr>
          <w:rFonts w:ascii="Times New Roman" w:eastAsia="Times New Roman" w:hAnsi="Times New Roman"/>
          <w:color w:val="000000"/>
          <w:sz w:val="28"/>
          <w:szCs w:val="28"/>
          <w:lang w:val="fr-BE" w:eastAsia="ar-SA"/>
        </w:rPr>
        <w:t xml:space="preserve"> P. Givord. // </w:t>
      </w:r>
      <w:r w:rsidRPr="003B10E2">
        <w:rPr>
          <w:rFonts w:ascii="Times New Roman" w:eastAsia="Times New Roman" w:hAnsi="Times New Roman"/>
          <w:color w:val="000000"/>
          <w:sz w:val="28"/>
          <w:szCs w:val="28"/>
          <w:lang w:val="it-IT" w:eastAsia="ar-SA"/>
        </w:rPr>
        <w:t>Economie et Statistique, 2014. – №471. – P.85–111.</w:t>
      </w:r>
    </w:p>
    <w:p w14:paraId="307A98ED"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Dabrowski, S. Managing Incomplementarity: Implementing Social Responsibility in Companies / S. Dabrowski, F. Lottermoser. // In book: Social Responsibility and Sustainability – Springer: Cham, 2019. – P.203–219.</w:t>
      </w:r>
    </w:p>
    <w:p w14:paraId="6A4996C2"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Dae-Yong, K. Examining Bitcoin mempools Resemblance Using Jaccard Similarity Index / K. Dae-Yong, E. Meryam, J.  Hongtaek. // In 2020 21st Asia-Pacific Network Operations and Management Symposium (APNOMS). – IEEE, New York, 2020. –P. 287–290.</w:t>
      </w:r>
    </w:p>
    <w:p w14:paraId="24298870"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 xml:space="preserve">Daniali, S.M. Predicting Volatility Index According to Technical Index and Economic Indicators on the Basis of Deep Learning Algorithm / S.M. Daniali, S.E. Barykin, I.V. Kapustina [et al.] // Sustainability 2021. </w:t>
      </w:r>
      <w:r w:rsidRPr="003B10E2">
        <w:rPr>
          <w:rFonts w:ascii="Times New Roman" w:eastAsia="Times New Roman" w:hAnsi="Times New Roman"/>
          <w:color w:val="000000"/>
          <w:sz w:val="28"/>
          <w:szCs w:val="28"/>
          <w:lang w:val="en-US" w:eastAsia="ar-SA"/>
        </w:rPr>
        <w:t xml:space="preserve">– Volume </w:t>
      </w:r>
      <w:r w:rsidRPr="003B10E2">
        <w:rPr>
          <w:rFonts w:ascii="Times New Roman" w:eastAsia="Times New Roman" w:hAnsi="Times New Roman"/>
          <w:iCs/>
          <w:color w:val="000000"/>
          <w:sz w:val="28"/>
          <w:szCs w:val="28"/>
          <w:lang w:val="en-US" w:eastAsia="ar-SA"/>
        </w:rPr>
        <w:t xml:space="preserve">13. </w:t>
      </w:r>
      <w:r w:rsidRPr="003B10E2">
        <w:rPr>
          <w:rFonts w:ascii="Times New Roman" w:eastAsia="Times New Roman" w:hAnsi="Times New Roman"/>
          <w:color w:val="000000"/>
          <w:sz w:val="28"/>
          <w:szCs w:val="28"/>
          <w:lang w:val="en-US" w:eastAsia="ar-SA"/>
        </w:rPr>
        <w:t>–</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w:t>
      </w:r>
      <w:r w:rsidRPr="003B10E2">
        <w:rPr>
          <w:rFonts w:ascii="Times New Roman" w:eastAsia="Times New Roman" w:hAnsi="Times New Roman"/>
          <w:iCs/>
          <w:color w:val="000000"/>
          <w:sz w:val="28"/>
          <w:szCs w:val="28"/>
          <w:lang w:val="en-US" w:eastAsia="ar-SA"/>
        </w:rPr>
        <w:t xml:space="preserve">14011. </w:t>
      </w:r>
    </w:p>
    <w:p w14:paraId="6864031B"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Daulay, R. Realization and Addressing Analysis In Blockchain Bitcoin / R. Daulay, S. Nasution, M. Paryasto. // IOP Conference Series: Materials Science and Engineering, 2017. –  Volume 260(1).</w:t>
      </w:r>
    </w:p>
    <w:p w14:paraId="5FD81B84"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Demir, E. Does economic policy uncertainty predict the Bitcoin returns? An empirical investigation / E. Demir, G. Gozgor, C.K.M. Lau [et al.] // Finance Research Letters, 2018. – Volume 26. – P.145–149. </w:t>
      </w:r>
    </w:p>
    <w:p w14:paraId="00A488B3"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Demirguc-Kunt, A. Finance and Firm Growth / A. Demirguc-Kunt, V. L. Maksimovic // University of Maryland. – Robert H. Smith School of Business, 1998. – P.44.</w:t>
      </w:r>
    </w:p>
    <w:p w14:paraId="431CE42A"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Denisova, V. Blockchain Infrastructure and Growth of Global Power Consumption / V. Denisova, А. Mikhaylov, E. Lopatin. // International Journal of Energy Economics and Policy, 2019. – 9(4). – P.22–29. </w:t>
      </w:r>
    </w:p>
    <w:p w14:paraId="4669EE62"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 xml:space="preserve">Depren, Ö. Recent innovation in benchmark rates (BMR): evidence from influential factors on Turkish Lira Overnight Reference Interest Rate with machine learning algorithms. / Ö. Depren, M. T. Kartal, S. Kılıç Depren. // Financial Innovation, 2021. </w:t>
      </w:r>
      <w:r w:rsidRPr="003B10E2">
        <w:rPr>
          <w:rFonts w:ascii="Times New Roman" w:eastAsia="Times New Roman" w:hAnsi="Times New Roman"/>
          <w:color w:val="000000"/>
          <w:sz w:val="28"/>
          <w:szCs w:val="28"/>
          <w:lang w:val="en-US" w:eastAsia="ar-SA"/>
        </w:rPr>
        <w:t>–</w:t>
      </w:r>
      <w:r w:rsidRPr="003B10E2">
        <w:rPr>
          <w:rFonts w:ascii="Times New Roman" w:eastAsia="Times New Roman" w:hAnsi="Times New Roman"/>
          <w:iCs/>
          <w:color w:val="000000"/>
          <w:sz w:val="28"/>
          <w:szCs w:val="28"/>
          <w:lang w:val="en-US" w:eastAsia="ar-SA"/>
        </w:rPr>
        <w:t xml:space="preserve"> Volume 7(1). </w:t>
      </w:r>
      <w:r w:rsidRPr="003B10E2">
        <w:rPr>
          <w:rFonts w:ascii="Times New Roman" w:eastAsia="Times New Roman" w:hAnsi="Times New Roman"/>
          <w:color w:val="000000"/>
          <w:sz w:val="28"/>
          <w:szCs w:val="28"/>
          <w:lang w:val="en-US" w:eastAsia="ar-SA"/>
        </w:rPr>
        <w:t>– P.</w:t>
      </w:r>
      <w:r w:rsidRPr="003B10E2">
        <w:rPr>
          <w:rFonts w:ascii="Times New Roman" w:eastAsia="Times New Roman" w:hAnsi="Times New Roman"/>
          <w:iCs/>
          <w:color w:val="000000"/>
          <w:sz w:val="28"/>
          <w:szCs w:val="28"/>
          <w:lang w:val="en-US" w:eastAsia="ar-SA"/>
        </w:rPr>
        <w:t>1</w:t>
      </w:r>
      <w:r w:rsidRPr="003B10E2">
        <w:rPr>
          <w:rFonts w:ascii="Times New Roman" w:eastAsia="Times New Roman" w:hAnsi="Times New Roman"/>
          <w:color w:val="000000"/>
          <w:sz w:val="28"/>
          <w:szCs w:val="28"/>
          <w:lang w:val="en-US" w:eastAsia="ar-SA"/>
        </w:rPr>
        <w:t>–</w:t>
      </w:r>
      <w:r w:rsidRPr="003B10E2">
        <w:rPr>
          <w:rFonts w:ascii="Times New Roman" w:eastAsia="Times New Roman" w:hAnsi="Times New Roman"/>
          <w:iCs/>
          <w:color w:val="000000"/>
          <w:sz w:val="28"/>
          <w:szCs w:val="28"/>
          <w:lang w:val="en-US" w:eastAsia="ar-SA"/>
        </w:rPr>
        <w:t>20.</w:t>
      </w:r>
    </w:p>
    <w:p w14:paraId="68EB03B6"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Diaconaşu, D-E. An analysis of investors’ behavior in Bitcoin market. / D-E. Diaconaşu, S. Mehdian, O. Stoica. // PLoS One, 2022. – №17(3). </w:t>
      </w:r>
    </w:p>
    <w:p w14:paraId="1AFA3C5B"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Diaz, E.M. Oil price volatility and stock returns in the G7 economies / E.M. Diaz, J.C. Molero, F. Perez de Gracia. // Energy Economics, 2016. – Volume 54. – P.417–430. </w:t>
      </w:r>
    </w:p>
    <w:p w14:paraId="0CEA1D5E"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Ding, Z. The contagion effect of international crude oil price fluctuations on Chinese stock market investor sentiment / Z. Ding, Z. Liu, Y. Zhang, R. Long. // Applied Energy, 2017. – Volume 187. – P.27–36. </w:t>
      </w:r>
    </w:p>
    <w:p w14:paraId="0C755C5E"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Douglas, G. The impact of Solvency II regulations on life insurers’ investment behavior / G. Douglas, J. Noss, N. Vause. // Bank of England Staff Working Paper №.664, 2017. – P.30.</w:t>
      </w:r>
    </w:p>
    <w:p w14:paraId="0D6544FD"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Dowd, K. Long-Term Value at Risk. / K. Dowd, D. Blake, A. Cairns. // The Journal of Risk Finance, 2007. – Winter/Spring Issue. – P. 52–57.</w:t>
      </w:r>
    </w:p>
    <w:p w14:paraId="0114524A"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Du, L. Extreme risk spillovers between crude oil and stock markets / L. Du, Y. He. // Energy Economics, 2015. – №51. – P.455–465. </w:t>
      </w:r>
    </w:p>
    <w:p w14:paraId="03A59317"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Dvoulety, O. Development of entrepreneurial activity in the Czech Republic over the years 2005-2017 / O. Dvoulety. // Journal of Open Innovation: Technology, Market, and Complexity, 2019. – №5(3). – P.38.</w:t>
      </w:r>
    </w:p>
    <w:p w14:paraId="0208814C"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Dyhrberg, A.H. Hedging capabilities of Bitcoin. Is it the virtual gold? / A.H. Dyhrberg. // Finance Research Letters, 2016. – Volume 16. – P.139–144.</w:t>
      </w:r>
    </w:p>
    <w:p w14:paraId="1B54F877" w14:textId="77777777" w:rsidR="00F769DA" w:rsidRPr="003B10E2" w:rsidRDefault="00F769DA" w:rsidP="00034948">
      <w:pPr>
        <w:pStyle w:val="aff8"/>
        <w:numPr>
          <w:ilvl w:val="0"/>
          <w:numId w:val="17"/>
        </w:numPr>
        <w:spacing w:after="0" w:line="360" w:lineRule="auto"/>
        <w:ind w:left="0" w:firstLine="709"/>
        <w:jc w:val="both"/>
        <w:rPr>
          <w:rFonts w:ascii="Times New Roman" w:hAnsi="Times New Roman"/>
          <w:sz w:val="28"/>
          <w:szCs w:val="28"/>
          <w:lang w:val="en-US"/>
        </w:rPr>
      </w:pPr>
      <w:r w:rsidRPr="003B10E2">
        <w:rPr>
          <w:rFonts w:ascii="Times New Roman" w:hAnsi="Times New Roman"/>
          <w:sz w:val="28"/>
          <w:szCs w:val="28"/>
          <w:lang w:val="en-US"/>
        </w:rPr>
        <w:t xml:space="preserve">Dynamics and predictability in Russian financial markets / Stanislav Anatolyev [et al.]. – </w:t>
      </w:r>
      <w:r w:rsidRPr="003B10E2">
        <w:rPr>
          <w:rFonts w:ascii="Times New Roman" w:hAnsi="Times New Roman"/>
          <w:sz w:val="28"/>
          <w:szCs w:val="28"/>
        </w:rPr>
        <w:t>Москва</w:t>
      </w:r>
      <w:r w:rsidRPr="003B10E2">
        <w:rPr>
          <w:rFonts w:ascii="Times New Roman" w:hAnsi="Times New Roman"/>
          <w:sz w:val="28"/>
          <w:szCs w:val="28"/>
          <w:lang w:val="en-US"/>
        </w:rPr>
        <w:t xml:space="preserve">: </w:t>
      </w:r>
      <w:r w:rsidRPr="003B10E2">
        <w:rPr>
          <w:rFonts w:ascii="Times New Roman" w:hAnsi="Times New Roman"/>
          <w:sz w:val="28"/>
          <w:szCs w:val="28"/>
        </w:rPr>
        <w:t>Российская</w:t>
      </w:r>
      <w:r w:rsidRPr="003B10E2">
        <w:rPr>
          <w:rFonts w:ascii="Times New Roman" w:hAnsi="Times New Roman"/>
          <w:sz w:val="28"/>
          <w:szCs w:val="28"/>
          <w:lang w:val="en-US"/>
        </w:rPr>
        <w:t xml:space="preserve"> </w:t>
      </w:r>
      <w:r w:rsidRPr="003B10E2">
        <w:rPr>
          <w:rFonts w:ascii="Times New Roman" w:hAnsi="Times New Roman"/>
          <w:sz w:val="28"/>
          <w:szCs w:val="28"/>
        </w:rPr>
        <w:t>экономическая</w:t>
      </w:r>
      <w:r w:rsidRPr="003B10E2">
        <w:rPr>
          <w:rFonts w:ascii="Times New Roman" w:hAnsi="Times New Roman"/>
          <w:sz w:val="28"/>
          <w:szCs w:val="28"/>
          <w:lang w:val="en-US"/>
        </w:rPr>
        <w:t xml:space="preserve"> </w:t>
      </w:r>
      <w:r w:rsidRPr="003B10E2">
        <w:rPr>
          <w:rFonts w:ascii="Times New Roman" w:hAnsi="Times New Roman"/>
          <w:sz w:val="28"/>
          <w:szCs w:val="28"/>
        </w:rPr>
        <w:t>школа</w:t>
      </w:r>
      <w:r w:rsidRPr="003B10E2">
        <w:rPr>
          <w:rFonts w:ascii="Times New Roman" w:hAnsi="Times New Roman"/>
          <w:sz w:val="28"/>
          <w:szCs w:val="28"/>
          <w:lang w:val="en-US"/>
        </w:rPr>
        <w:t xml:space="preserve">, 2004. – 46 </w:t>
      </w:r>
      <w:r w:rsidRPr="003B10E2">
        <w:rPr>
          <w:rFonts w:ascii="Times New Roman" w:hAnsi="Times New Roman"/>
          <w:sz w:val="28"/>
          <w:szCs w:val="28"/>
        </w:rPr>
        <w:t>с</w:t>
      </w:r>
      <w:r w:rsidRPr="003B10E2">
        <w:rPr>
          <w:rFonts w:ascii="Times New Roman" w:hAnsi="Times New Roman"/>
          <w:sz w:val="28"/>
          <w:szCs w:val="28"/>
          <w:lang w:val="en-US"/>
        </w:rPr>
        <w:t xml:space="preserve">.: </w:t>
      </w:r>
      <w:r w:rsidRPr="003B10E2">
        <w:rPr>
          <w:rFonts w:ascii="Times New Roman" w:hAnsi="Times New Roman"/>
          <w:sz w:val="28"/>
          <w:szCs w:val="28"/>
        </w:rPr>
        <w:t>ил</w:t>
      </w:r>
      <w:r w:rsidRPr="003B10E2">
        <w:rPr>
          <w:rFonts w:ascii="Times New Roman" w:hAnsi="Times New Roman"/>
          <w:sz w:val="28"/>
          <w:szCs w:val="28"/>
          <w:lang w:val="en-US"/>
        </w:rPr>
        <w:t xml:space="preserve">., </w:t>
      </w:r>
      <w:r w:rsidRPr="003B10E2">
        <w:rPr>
          <w:rFonts w:ascii="Times New Roman" w:hAnsi="Times New Roman"/>
          <w:sz w:val="28"/>
          <w:szCs w:val="28"/>
        </w:rPr>
        <w:t>табл</w:t>
      </w:r>
      <w:r w:rsidRPr="003B10E2">
        <w:rPr>
          <w:rFonts w:ascii="Times New Roman" w:hAnsi="Times New Roman"/>
          <w:sz w:val="28"/>
          <w:szCs w:val="28"/>
          <w:lang w:val="en-US"/>
        </w:rPr>
        <w:t xml:space="preserve">.; 30 </w:t>
      </w:r>
      <w:r w:rsidRPr="003B10E2">
        <w:rPr>
          <w:rFonts w:ascii="Times New Roman" w:hAnsi="Times New Roman"/>
          <w:sz w:val="28"/>
          <w:szCs w:val="28"/>
        </w:rPr>
        <w:t>см</w:t>
      </w:r>
      <w:r w:rsidRPr="003B10E2">
        <w:rPr>
          <w:rFonts w:ascii="Times New Roman" w:hAnsi="Times New Roman"/>
          <w:sz w:val="28"/>
          <w:szCs w:val="28"/>
          <w:lang w:val="en-US"/>
        </w:rPr>
        <w:t>. – ISBN 5-8211-0286-3.</w:t>
      </w:r>
    </w:p>
    <w:p w14:paraId="25CCBC1C"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Egorov, A. Innovation in Developing Countries’ Risk Estimation and Management. / A. Egorov, D. Pomazkin. // In Risk Assessment and Financial Regulation in Emerging Markets' Banking. </w:t>
      </w:r>
      <w:r w:rsidRPr="003B10E2">
        <w:rPr>
          <w:rFonts w:ascii="Times New Roman" w:hAnsi="Times New Roman"/>
          <w:sz w:val="28"/>
          <w:szCs w:val="28"/>
          <w:lang w:val="en-US"/>
        </w:rPr>
        <w:t xml:space="preserve">– </w:t>
      </w:r>
      <w:r w:rsidRPr="003B10E2">
        <w:rPr>
          <w:rFonts w:ascii="Times New Roman" w:eastAsia="Times New Roman" w:hAnsi="Times New Roman"/>
          <w:color w:val="000000"/>
          <w:sz w:val="28"/>
          <w:szCs w:val="28"/>
          <w:lang w:val="en-US" w:eastAsia="ar-SA"/>
        </w:rPr>
        <w:t xml:space="preserve">Springer, Cham, 2021. </w:t>
      </w:r>
      <w:r w:rsidRPr="003B10E2">
        <w:rPr>
          <w:rFonts w:ascii="Times New Roman" w:hAnsi="Times New Roman"/>
          <w:sz w:val="28"/>
          <w:szCs w:val="28"/>
          <w:lang w:val="en-US"/>
        </w:rPr>
        <w:t xml:space="preserve">– </w:t>
      </w:r>
      <w:r w:rsidRPr="003B10E2">
        <w:rPr>
          <w:rFonts w:ascii="Times New Roman" w:eastAsia="Times New Roman" w:hAnsi="Times New Roman"/>
          <w:color w:val="000000"/>
          <w:sz w:val="28"/>
          <w:szCs w:val="28"/>
          <w:lang w:val="en-US" w:eastAsia="ar-SA"/>
        </w:rPr>
        <w:t>P. 343</w:t>
      </w:r>
      <w:r w:rsidRPr="003B10E2">
        <w:rPr>
          <w:rFonts w:ascii="Times New Roman" w:hAnsi="Times New Roman"/>
          <w:sz w:val="28"/>
          <w:szCs w:val="28"/>
          <w:lang w:val="en-US"/>
        </w:rPr>
        <w:t>–</w:t>
      </w:r>
      <w:r w:rsidRPr="003B10E2">
        <w:rPr>
          <w:rFonts w:ascii="Times New Roman" w:eastAsia="Times New Roman" w:hAnsi="Times New Roman"/>
          <w:color w:val="000000"/>
          <w:sz w:val="28"/>
          <w:szCs w:val="28"/>
          <w:lang w:val="en-US" w:eastAsia="ar-SA"/>
        </w:rPr>
        <w:t>354.</w:t>
      </w:r>
    </w:p>
    <w:p w14:paraId="3A595324"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 xml:space="preserve">Eich, F. Low for long: what does this mean for defined-benefit pensions in the UK? / F. Eich, J. Saleheen. // Bank Underground blog, 2017. </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sz w:val="28"/>
          <w:szCs w:val="28"/>
          <w:lang w:val="en-US" w:eastAsia="ar-SA"/>
        </w:rPr>
        <w:t xml:space="preserve">URL.: </w:t>
      </w:r>
      <w:hyperlink r:id="rId142" w:history="1">
        <w:r w:rsidRPr="003B10E2">
          <w:rPr>
            <w:rStyle w:val="af"/>
            <w:rFonts w:ascii="Times New Roman" w:eastAsia="Times New Roman" w:hAnsi="Times New Roman"/>
            <w:color w:val="auto"/>
            <w:sz w:val="28"/>
            <w:szCs w:val="28"/>
            <w:u w:val="none"/>
            <w:lang w:val="en-US" w:eastAsia="ar-SA"/>
          </w:rPr>
          <w:t>https://bankunderground.co.uk/2017/03/02/low-for-long-whatdoes-this-mean-for-defined-benefit-pensions-in-the-uk/</w:t>
        </w:r>
      </w:hyperlink>
      <w:r w:rsidRPr="003B10E2">
        <w:rPr>
          <w:rFonts w:ascii="Times New Roman" w:eastAsia="Times New Roman" w:hAnsi="Times New Roman"/>
          <w:sz w:val="28"/>
          <w:szCs w:val="28"/>
          <w:lang w:val="en-US" w:eastAsia="ar-SA"/>
        </w:rPr>
        <w:t xml:space="preserve"> (</w:t>
      </w:r>
      <w:r w:rsidRPr="003B10E2">
        <w:rPr>
          <w:rFonts w:ascii="Times New Roman" w:eastAsia="Times New Roman" w:hAnsi="Times New Roman"/>
          <w:sz w:val="28"/>
          <w:szCs w:val="28"/>
          <w:lang w:eastAsia="ar-SA"/>
        </w:rPr>
        <w:t>дата</w:t>
      </w:r>
      <w:r w:rsidRPr="003B10E2">
        <w:rPr>
          <w:rFonts w:ascii="Times New Roman" w:eastAsia="Times New Roman" w:hAnsi="Times New Roman"/>
          <w:sz w:val="28"/>
          <w:szCs w:val="28"/>
          <w:lang w:val="en-US" w:eastAsia="ar-SA"/>
        </w:rPr>
        <w:t xml:space="preserve"> </w:t>
      </w:r>
      <w:r w:rsidRPr="003B10E2">
        <w:rPr>
          <w:rFonts w:ascii="Times New Roman" w:eastAsia="Times New Roman" w:hAnsi="Times New Roman"/>
          <w:sz w:val="28"/>
          <w:szCs w:val="28"/>
          <w:lang w:eastAsia="ar-SA"/>
        </w:rPr>
        <w:t>обращения</w:t>
      </w:r>
      <w:r w:rsidRPr="003B10E2">
        <w:rPr>
          <w:rFonts w:ascii="Times New Roman" w:eastAsia="Times New Roman" w:hAnsi="Times New Roman"/>
          <w:sz w:val="28"/>
          <w:szCs w:val="28"/>
          <w:lang w:val="en-US" w:eastAsia="ar-SA"/>
        </w:rPr>
        <w:t xml:space="preserve"> 05.04.2022). – </w:t>
      </w:r>
      <w:r w:rsidRPr="003B10E2">
        <w:rPr>
          <w:rFonts w:ascii="Times New Roman" w:eastAsia="Times New Roman" w:hAnsi="Times New Roman"/>
          <w:sz w:val="28"/>
          <w:szCs w:val="28"/>
          <w:lang w:eastAsia="ar-SA"/>
        </w:rPr>
        <w:t>Текст</w:t>
      </w:r>
      <w:r w:rsidRPr="003B10E2">
        <w:rPr>
          <w:rFonts w:ascii="Times New Roman" w:eastAsia="Times New Roman" w:hAnsi="Times New Roman"/>
          <w:sz w:val="28"/>
          <w:szCs w:val="28"/>
          <w:lang w:val="en-US" w:eastAsia="ar-SA"/>
        </w:rPr>
        <w:t xml:space="preserve">: </w:t>
      </w:r>
      <w:r w:rsidRPr="003B10E2">
        <w:rPr>
          <w:rFonts w:ascii="Times New Roman" w:eastAsia="Times New Roman" w:hAnsi="Times New Roman"/>
          <w:sz w:val="28"/>
          <w:szCs w:val="28"/>
          <w:lang w:eastAsia="ar-SA"/>
        </w:rPr>
        <w:t>электронный</w:t>
      </w:r>
      <w:r w:rsidRPr="003B10E2">
        <w:rPr>
          <w:rFonts w:ascii="Times New Roman" w:eastAsia="Times New Roman" w:hAnsi="Times New Roman"/>
          <w:sz w:val="28"/>
          <w:szCs w:val="28"/>
          <w:lang w:val="en-US" w:eastAsia="ar-SA"/>
        </w:rPr>
        <w:t>.</w:t>
      </w:r>
    </w:p>
    <w:p w14:paraId="0FD7652C"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Eisl, A. Caveat Emptor: Does Bitcoin Improve Portfolio Diversification? / A. Eisl, S.M. Gasser, K. Weinmayer. // SSRN Electronic Journal, 2015. </w:t>
      </w:r>
      <w:r w:rsidRPr="003B10E2">
        <w:rPr>
          <w:rFonts w:ascii="Times New Roman" w:hAnsi="Times New Roman"/>
          <w:sz w:val="28"/>
          <w:szCs w:val="28"/>
          <w:lang w:val="en-US"/>
        </w:rPr>
        <w:t xml:space="preserve">– </w:t>
      </w:r>
      <w:r w:rsidRPr="003B10E2">
        <w:rPr>
          <w:rFonts w:ascii="Times New Roman" w:eastAsia="Times New Roman" w:hAnsi="Times New Roman"/>
          <w:color w:val="000000"/>
          <w:sz w:val="28"/>
          <w:szCs w:val="28"/>
          <w:lang w:val="en-US" w:eastAsia="ar-SA"/>
        </w:rPr>
        <w:t>P.21.</w:t>
      </w:r>
    </w:p>
    <w:p w14:paraId="5550FB56"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Elsayed, A. The Effect Of COVID-19 Spread On Egyptian Stock Market Sectors / A. Elsayed, M.A. Elrhim. // SSRN Electronic Journal, 2020. </w:t>
      </w:r>
      <w:r w:rsidRPr="003B10E2">
        <w:rPr>
          <w:rFonts w:ascii="Times New Roman" w:hAnsi="Times New Roman"/>
          <w:sz w:val="28"/>
          <w:szCs w:val="28"/>
          <w:lang w:val="en-US"/>
        </w:rPr>
        <w:t xml:space="preserve">– </w:t>
      </w:r>
      <w:r w:rsidRPr="003B10E2">
        <w:rPr>
          <w:rFonts w:ascii="Times New Roman" w:eastAsia="Times New Roman" w:hAnsi="Times New Roman"/>
          <w:color w:val="000000"/>
          <w:sz w:val="28"/>
          <w:szCs w:val="28"/>
          <w:lang w:val="en-US" w:eastAsia="ar-SA"/>
        </w:rPr>
        <w:t>P.16.</w:t>
      </w:r>
    </w:p>
    <w:p w14:paraId="1EC6EE7B"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Engle, R.F. Multivariate simultaneous generalized ARCH / R.F. Engle, K.F. Kroner. // Econometric Theory, 1995. – Volume 11(1).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122–150. </w:t>
      </w:r>
    </w:p>
    <w:p w14:paraId="50B7AF29"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Fama, E.F. Efficient Capital Markets: II / E.F. Fama. //Journal of Finance. 1991. – Volume 46. – Issue 5. – P.1575–1617.</w:t>
      </w:r>
    </w:p>
    <w:p w14:paraId="31C7A6DD" w14:textId="77777777" w:rsidR="00F769DA" w:rsidRPr="003B10E2" w:rsidRDefault="00F769DA" w:rsidP="00034948">
      <w:pPr>
        <w:pStyle w:val="aff8"/>
        <w:numPr>
          <w:ilvl w:val="0"/>
          <w:numId w:val="17"/>
        </w:numPr>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Fama, E.F. Foundations of Finance / E.F. Fama. – New York: Basic Books, Inc., Publishers, 1976. – P.395. – ISBN-10: 0465024998.</w:t>
      </w:r>
    </w:p>
    <w:p w14:paraId="5359467F"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Fama, E.F. The Behavior of Stock-Market Price / E.F. Fama. // Journal of Business, 1985. – Volume 38. – Issue 1. – P. 34–105.</w:t>
      </w:r>
    </w:p>
    <w:p w14:paraId="22F26AA7"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Fan, M. The impact of factor price changes and technological progress on the energy intensity of China’s industries:  Kalman filter-based econometric method / M. Fan, H.  Zheng. // Structural Change and Economic Dynamics, 2019. – Volume 49.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340–353.</w:t>
      </w:r>
    </w:p>
    <w:p w14:paraId="48F24D74"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 xml:space="preserve">Fang, X. The Effects of Individual Investors’ Attention on Stock Returns: Evidence from the ChiNext Market / X. Fang, Y. Jiang, Z.  Qian. // Emerging Markets Finance and Trade, 2014. – №50. – P.158–168. </w:t>
      </w:r>
    </w:p>
    <w:p w14:paraId="12922B3E"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Farmania, A. Transformation of CRM Activities into e-CRM: The Generating e-Loyalty and Open Innovation / A. Farmania, R.D. Elsyah, M.A. Tuori. // Journal of Open Innovation Technology Market and Complexity, 2021. </w:t>
      </w:r>
      <w:r w:rsidRPr="003B10E2">
        <w:rPr>
          <w:rFonts w:ascii="Times New Roman" w:eastAsia="Times New Roman" w:hAnsi="Times New Roman"/>
          <w:iCs/>
          <w:color w:val="000000"/>
          <w:sz w:val="28"/>
          <w:szCs w:val="28"/>
          <w:lang w:val="en-US" w:eastAsia="ar-SA"/>
        </w:rPr>
        <w:t>– №</w:t>
      </w:r>
      <w:r w:rsidRPr="003B10E2">
        <w:rPr>
          <w:rFonts w:ascii="Times New Roman" w:eastAsia="Times New Roman" w:hAnsi="Times New Roman"/>
          <w:color w:val="000000"/>
          <w:sz w:val="28"/>
          <w:szCs w:val="28"/>
          <w:lang w:val="en-US" w:eastAsia="ar-SA"/>
        </w:rPr>
        <w:t xml:space="preserve">7(2).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20.</w:t>
      </w:r>
    </w:p>
    <w:p w14:paraId="0C91A3AC"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Feng, X. A method to multi-attribute decision-making based on interval-valued q-rung dual hesitant linguistic Maclaurin symmetric mean operators / X. Feng, X. Shang, Y. Xu [et al.] // Complex &amp; Intelligent Systems, 2020.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28.</w:t>
      </w:r>
    </w:p>
    <w:p w14:paraId="4A40AF29"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 xml:space="preserve">Fernadez, A. Capital Control Measures: A New Dataset. / A. Fernadez, M.W. Klein, A. Rebucci </w:t>
      </w:r>
      <w:r w:rsidRPr="003B10E2">
        <w:rPr>
          <w:rFonts w:ascii="Times New Roman" w:eastAsia="Times New Roman" w:hAnsi="Times New Roman"/>
          <w:color w:val="000000"/>
          <w:sz w:val="28"/>
          <w:szCs w:val="28"/>
          <w:lang w:val="en-US" w:eastAsia="ar-SA"/>
        </w:rPr>
        <w:t>[et al.]</w:t>
      </w:r>
      <w:r w:rsidRPr="003B10E2">
        <w:rPr>
          <w:rFonts w:ascii="Times New Roman" w:eastAsia="Times New Roman" w:hAnsi="Times New Roman"/>
          <w:iCs/>
          <w:color w:val="000000"/>
          <w:sz w:val="28"/>
          <w:szCs w:val="28"/>
          <w:lang w:val="en-US" w:eastAsia="ar-SA"/>
        </w:rPr>
        <w:t xml:space="preserve"> // NBER Working Paper №20970, 2015. – P.38. </w:t>
      </w:r>
    </w:p>
    <w:p w14:paraId="2E8CA225"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Fernandes, N. Economic effects of coronavirus outbreak (COVID-19) on the world economy / N.  Fernandes. // IESE Business School. Working Paper №WP-1240-E, 2020. </w:t>
      </w:r>
      <w:r w:rsidRPr="003B10E2">
        <w:rPr>
          <w:rFonts w:ascii="Times New Roman" w:eastAsia="Times New Roman" w:hAnsi="Times New Roman"/>
          <w:iCs/>
          <w:color w:val="000000"/>
          <w:sz w:val="28"/>
          <w:szCs w:val="28"/>
          <w:lang w:val="en-US" w:eastAsia="ar-SA"/>
        </w:rPr>
        <w:t>– P.33.</w:t>
      </w:r>
    </w:p>
    <w:p w14:paraId="64352EA5"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Financial Structure and Economic Growth: A Cross-Country </w:t>
      </w:r>
      <w:r w:rsidRPr="003B10E2">
        <w:rPr>
          <w:rFonts w:ascii="Times New Roman" w:eastAsia="Times New Roman" w:hAnsi="Times New Roman"/>
          <w:color w:val="000000"/>
          <w:sz w:val="28"/>
          <w:szCs w:val="28"/>
          <w:lang w:eastAsia="ar-SA"/>
        </w:rPr>
        <w:t>С</w:t>
      </w:r>
      <w:r w:rsidRPr="003B10E2">
        <w:rPr>
          <w:rFonts w:ascii="Times New Roman" w:eastAsia="Times New Roman" w:hAnsi="Times New Roman"/>
          <w:color w:val="000000"/>
          <w:sz w:val="28"/>
          <w:szCs w:val="28"/>
          <w:lang w:val="en-US" w:eastAsia="ar-SA"/>
        </w:rPr>
        <w:t xml:space="preserve">omparison of Banks, Markets, and Development / Ed. by A. Demirguc-Kunt, R. Levine.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Cambridge-Massachusetts, London-England: The MIT Press, 2007.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436.</w:t>
      </w:r>
    </w:p>
    <w:p w14:paraId="674B5B89"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Fornari, F. Financial Volatility and Economic Activity / F. Fornari, A. Mele. // LSE Research Online Documents on Economics, 2009.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60.</w:t>
      </w:r>
    </w:p>
    <w:p w14:paraId="510390AD"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Fornari, F. Predicting Recession Probabilities with Financial Variables over Multiple Horizons / F. Fornari, W. Lemke. // Working paper series №1255, 2010.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62.</w:t>
      </w:r>
    </w:p>
    <w:p w14:paraId="10D22AFF"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Foroni, C. Explaining the time-varying effects of oil market shocks on US stock returns / C. Foroni, P. Guerin, M. Marcellino. // Economics Letter, 2017.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№155.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84–88. </w:t>
      </w:r>
    </w:p>
    <w:p w14:paraId="69C82C8F"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Frankel, J. Are Leading Indicators of Financial» Crises for Assessing Country Vulnerability? Evidence from the 2008-09 Global Crisis. / J. Frankel, G. Saravelos. // NBER Working Paper №16047, 2010.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2</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48.</w:t>
      </w:r>
    </w:p>
    <w:p w14:paraId="3F62656E"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Fredman A.J. How mutual funds work / A.J. Fredman R. Wiles.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New York Institute of Finance, 2007. </w:t>
      </w:r>
      <w:r w:rsidRPr="003B10E2">
        <w:rPr>
          <w:rFonts w:ascii="Times New Roman" w:eastAsia="Times New Roman" w:hAnsi="Times New Roman"/>
          <w:iCs/>
          <w:color w:val="000000"/>
          <w:sz w:val="28"/>
          <w:szCs w:val="28"/>
          <w:lang w:val="en-US" w:eastAsia="ar-SA"/>
        </w:rPr>
        <w:t>– P.300. – ISBN-10: 0130125016.</w:t>
      </w:r>
    </w:p>
    <w:p w14:paraId="3CDA13FD" w14:textId="77777777" w:rsidR="00F769DA" w:rsidRPr="003B10E2" w:rsidRDefault="00F769DA" w:rsidP="00034948">
      <w:pPr>
        <w:pStyle w:val="aff8"/>
        <w:numPr>
          <w:ilvl w:val="0"/>
          <w:numId w:val="17"/>
        </w:numPr>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Fredman, A.J. Investing in Closed-End-Funds: Finding Value and Building Wealth. / A. J. Fredman, G.C. Scott. // New York Institute of Finance, 2006.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512.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ISBN-10: 0135034914.</w:t>
      </w:r>
    </w:p>
    <w:p w14:paraId="153DA163"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Froot, K. Style Investing and Institutional Investors K. Froot, T. Melvyn. Journal of Financial and Quantitative Analysis, Cambridge University Press, 2008.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43(4).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 883</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906.</w:t>
      </w:r>
    </w:p>
    <w:p w14:paraId="78650996"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Fry, J. Quantifying the sustainability of Bitcoin and Blockchain / J. Fry, J.-P. Serbera. // Journal of Enterprise Information Management, 2020.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№33(6).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 1379</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1394. </w:t>
      </w:r>
    </w:p>
    <w:p w14:paraId="572DA94A"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Galvani, V. Does style investing uniformly affect correlations in small and large markets? / V. Galvani. // Heliyon, 2020.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№6(9).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 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8. </w:t>
      </w:r>
    </w:p>
    <w:p w14:paraId="0DC46802"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Garcia, D. The digital traces of bubbles: feedback cycles between socio-economic signals in the Bitcoin economy / D. Garcia, C. Tessone, P. Mavrodiev [et al.] // Journal of the Royal Society Interface, 2014. </w:t>
      </w:r>
      <w:r w:rsidRPr="003B10E2">
        <w:rPr>
          <w:rFonts w:ascii="Times New Roman" w:eastAsia="Times New Roman" w:hAnsi="Times New Roman"/>
          <w:iCs/>
          <w:color w:val="000000"/>
          <w:sz w:val="28"/>
          <w:szCs w:val="28"/>
          <w:lang w:val="en-US" w:eastAsia="ar-SA"/>
        </w:rPr>
        <w:t>– №</w:t>
      </w:r>
      <w:r w:rsidRPr="003B10E2">
        <w:rPr>
          <w:rFonts w:ascii="Times New Roman" w:eastAsia="Times New Roman" w:hAnsi="Times New Roman"/>
          <w:color w:val="000000"/>
          <w:sz w:val="28"/>
          <w:szCs w:val="28"/>
          <w:lang w:val="en-US" w:eastAsia="ar-SA"/>
        </w:rPr>
        <w:t xml:space="preserve">11(99).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8.</w:t>
      </w:r>
    </w:p>
    <w:p w14:paraId="42D6CC53"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Garcia-Sanchez, I.-M. Corporate social responsibility during the COVID-19 pandemic / I.-M. Garcia-Sanchez, A. Garcia-Sanchez. // Journal of Open Innovation: Technology, Market, and Complexity, 2020. </w:t>
      </w:r>
      <w:r w:rsidRPr="003B10E2">
        <w:rPr>
          <w:rFonts w:ascii="Times New Roman" w:eastAsia="Times New Roman" w:hAnsi="Times New Roman"/>
          <w:iCs/>
          <w:color w:val="000000"/>
          <w:sz w:val="28"/>
          <w:szCs w:val="28"/>
          <w:lang w:val="en-US" w:eastAsia="ar-SA"/>
        </w:rPr>
        <w:t>– №</w:t>
      </w:r>
      <w:r w:rsidRPr="003B10E2">
        <w:rPr>
          <w:rFonts w:ascii="Times New Roman" w:eastAsia="Times New Roman" w:hAnsi="Times New Roman"/>
          <w:color w:val="000000"/>
          <w:sz w:val="28"/>
          <w:szCs w:val="28"/>
          <w:lang w:val="en-US" w:eastAsia="ar-SA"/>
        </w:rPr>
        <w:t xml:space="preserve">6(4).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126.</w:t>
      </w:r>
    </w:p>
    <w:p w14:paraId="45695D73"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Gawer, A. Bridging differing perspectives on technological platforms: Toward an integrative framework / A. Gawer. // Research Policy, 2014.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№43(7).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1239</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1249.</w:t>
      </w:r>
    </w:p>
    <w:p w14:paraId="7632E1AF"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Germann, F. The chief marketing officer matters! / F. Germann, P. Ebbes, R. Grewal. // Journal of Marketing, 2015.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№79(3).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1–22.</w:t>
      </w:r>
    </w:p>
    <w:p w14:paraId="1908FFC5"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Ghenai, C. Sustainability indicators for renewable energy systems using multi-criteria decision-making model and extended SWARA/ARAS hybrid method / C. Ghenai, M. Albawab, M. Bettayeb. // Renewable Energy, 2020.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№146.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580</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597.</w:t>
      </w:r>
    </w:p>
    <w:p w14:paraId="0948F286"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Ghosh, A. Regulating Capital Flows in Both Ends: Does It Work? / A. Ghosh, M.S. Qureshi, N. Sugawara. // IMF Work Paper, 2014. – №14. – P.1–45.</w:t>
      </w:r>
    </w:p>
    <w:p w14:paraId="4E8CBCDF"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Gopikumar, V. Financial strength information and institutional investor demand: Evidence from India. / V. Gopikumar, S. Nair, S. Sreevathsava, V. Raja Sreedharan. // Cogent Economics &amp; Finance, 2019.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7.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Issue 1. </w:t>
      </w:r>
    </w:p>
    <w:p w14:paraId="083687B7"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Gradojevic, N. Volatility cascades in cryptocurrency trading / N. Gradojevic, I. Tsiakas. // Journal of Empirical Finance, 2021.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№62.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252</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265. </w:t>
      </w:r>
    </w:p>
    <w:p w14:paraId="2F011CA5"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color w:val="000000"/>
          <w:sz w:val="28"/>
          <w:szCs w:val="28"/>
          <w:lang w:val="en-US" w:eastAsia="ar-SA"/>
        </w:rPr>
        <w:t xml:space="preserve">Greenwald, </w:t>
      </w:r>
      <w:r w:rsidRPr="003B10E2">
        <w:rPr>
          <w:rFonts w:ascii="Times New Roman" w:eastAsia="Times New Roman" w:hAnsi="Times New Roman"/>
          <w:color w:val="000000"/>
          <w:sz w:val="28"/>
          <w:szCs w:val="28"/>
          <w:lang w:eastAsia="ar-SA"/>
        </w:rPr>
        <w:t>В</w:t>
      </w:r>
      <w:r w:rsidRPr="003B10E2">
        <w:rPr>
          <w:rFonts w:ascii="Times New Roman" w:eastAsia="Times New Roman" w:hAnsi="Times New Roman"/>
          <w:color w:val="000000"/>
          <w:sz w:val="28"/>
          <w:szCs w:val="28"/>
          <w:lang w:val="en-US" w:eastAsia="ar-SA"/>
        </w:rPr>
        <w:t xml:space="preserve">. Financial Markets Imperfections and Business Cycles / </w:t>
      </w:r>
      <w:r w:rsidRPr="003B10E2">
        <w:rPr>
          <w:rFonts w:ascii="Times New Roman" w:eastAsia="Times New Roman" w:hAnsi="Times New Roman"/>
          <w:color w:val="000000"/>
          <w:sz w:val="28"/>
          <w:szCs w:val="28"/>
          <w:lang w:eastAsia="ar-SA"/>
        </w:rPr>
        <w:t>В</w:t>
      </w:r>
      <w:r w:rsidRPr="003B10E2">
        <w:rPr>
          <w:rFonts w:ascii="Times New Roman" w:eastAsia="Times New Roman" w:hAnsi="Times New Roman"/>
          <w:color w:val="000000"/>
          <w:sz w:val="28"/>
          <w:szCs w:val="28"/>
          <w:lang w:val="en-US" w:eastAsia="ar-SA"/>
        </w:rPr>
        <w:t xml:space="preserve">. Greenwald, J.  Stiglitz. // The Quarterly Journal of Economics, 1993.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108. </w:t>
      </w:r>
      <w:r w:rsidRPr="003B10E2">
        <w:rPr>
          <w:rFonts w:ascii="Times New Roman" w:eastAsia="Times New Roman" w:hAnsi="Times New Roman"/>
          <w:iCs/>
          <w:color w:val="000000"/>
          <w:sz w:val="28"/>
          <w:szCs w:val="28"/>
          <w:lang w:val="en-US" w:eastAsia="ar-SA"/>
        </w:rPr>
        <w:t>– P. 77–114.</w:t>
      </w:r>
    </w:p>
    <w:p w14:paraId="58B4C360"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Grossman, J. On the Impossibility of Informationally Efficient Market / J. Grossman, J. Stiglitz. // American Economic Review, 1980.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70.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 3.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393–408.</w:t>
      </w:r>
    </w:p>
    <w:p w14:paraId="29B8271F"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Grossman, S. On the Efficiency of Competitive Stock Markets Where Trades Have Diverse Information / J. Grossman. // Journal of Finance, 2008.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31.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Issue 2.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573–585.</w:t>
      </w:r>
    </w:p>
    <w:p w14:paraId="18C1A3A9"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Gurley, J. Financial Aspects of Economic Development / J. Gurley, E. Show. // American Economic Review, 1955.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45.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iCs/>
          <w:sz w:val="28"/>
          <w:szCs w:val="28"/>
          <w:lang w:val="en-US" w:eastAsia="ar-SA"/>
        </w:rPr>
        <w:t>515</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iCs/>
          <w:sz w:val="28"/>
          <w:szCs w:val="28"/>
          <w:lang w:val="en-US" w:eastAsia="ar-SA"/>
        </w:rPr>
        <w:t>538.</w:t>
      </w:r>
    </w:p>
    <w:p w14:paraId="57B0443D"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Hall, B. Financial Patenting in Europe / B. Hall, G. Thoma, S. Torrisi. // European Management Review, 2009.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№6.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45–63.</w:t>
      </w:r>
    </w:p>
    <w:p w14:paraId="2036BAB1"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Hansen, B. Testing for two-regime threshold cointegration in vector error-correction models / B. Hansen, B. Seo. // Journal of Econometrics, 2002. </w:t>
      </w:r>
      <w:r w:rsidRPr="003B10E2">
        <w:rPr>
          <w:rFonts w:ascii="Times New Roman" w:eastAsia="Times New Roman" w:hAnsi="Times New Roman"/>
          <w:iCs/>
          <w:color w:val="000000"/>
          <w:sz w:val="28"/>
          <w:szCs w:val="28"/>
          <w:lang w:val="en-US" w:eastAsia="ar-SA"/>
        </w:rPr>
        <w:t>– №</w:t>
      </w:r>
      <w:r w:rsidRPr="003B10E2">
        <w:rPr>
          <w:rFonts w:ascii="Times New Roman" w:eastAsia="Times New Roman" w:hAnsi="Times New Roman"/>
          <w:color w:val="000000"/>
          <w:sz w:val="28"/>
          <w:szCs w:val="28"/>
          <w:lang w:val="en-US" w:eastAsia="ar-SA"/>
        </w:rPr>
        <w:t xml:space="preserve">110.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293</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318. </w:t>
      </w:r>
    </w:p>
    <w:p w14:paraId="6EA4ECAB"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Hasanat, M.W. The Impact of Coronavirus (Covid-19) on E-Business in Malaysia / M.W. Hasanat, A. Hoque, F.A. Shikha [et al.] // Asian Journal of Multidisciplinary Studies, 2020. </w:t>
      </w:r>
      <w:r w:rsidRPr="003B10E2">
        <w:rPr>
          <w:rFonts w:ascii="Times New Roman" w:eastAsia="Times New Roman" w:hAnsi="Times New Roman"/>
          <w:iCs/>
          <w:color w:val="000000"/>
          <w:sz w:val="28"/>
          <w:szCs w:val="28"/>
          <w:lang w:val="en-US" w:eastAsia="ar-SA"/>
        </w:rPr>
        <w:t>– №</w:t>
      </w:r>
      <w:r w:rsidRPr="003B10E2">
        <w:rPr>
          <w:rFonts w:ascii="Times New Roman" w:eastAsia="Times New Roman" w:hAnsi="Times New Roman"/>
          <w:color w:val="000000"/>
          <w:sz w:val="28"/>
          <w:szCs w:val="28"/>
          <w:lang w:val="en-US" w:eastAsia="ar-SA"/>
        </w:rPr>
        <w:t xml:space="preserve">3(1).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85</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90. </w:t>
      </w:r>
    </w:p>
    <w:p w14:paraId="48184A31"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Haugom, E. Forecasting volatility of the US oil market / E. Haugom, H. Langeland, P. Molnar [et al.] // Journal of Banking &amp; Finance, 2014.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47.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1–14. </w:t>
      </w:r>
    </w:p>
    <w:p w14:paraId="66E30D32"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Hermawati, A. Satisfaction, HR, and Open Innovation in Tourism Sector / A. Hermawati, N. Nurwati, S. Suhana [et al.] // Journal of Open Innovation: Technology, Market, and Complexity, 2020.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6(4).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182. </w:t>
      </w:r>
    </w:p>
    <w:p w14:paraId="2F7E1760"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Herrera, H. The Welfare Implications of Non-Patentable Financial Innovations / H. Herrera, E. Schroth. // FAME Research Paper № 82, 2001.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P.43.</w:t>
      </w:r>
    </w:p>
    <w:p w14:paraId="13537A0C"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Hisata, Y. Research Toward the Practical Application of Liquidity Risk Evaluation Methods</w:t>
      </w:r>
      <w:r w:rsidRPr="003B10E2">
        <w:rPr>
          <w:rFonts w:ascii="Times New Roman" w:hAnsi="Times New Roman"/>
          <w:sz w:val="28"/>
          <w:szCs w:val="28"/>
          <w:lang w:val="en-US"/>
        </w:rPr>
        <w:t xml:space="preserve"> </w:t>
      </w:r>
      <w:r w:rsidRPr="003B10E2">
        <w:rPr>
          <w:rFonts w:ascii="Times New Roman" w:eastAsia="Times New Roman" w:hAnsi="Times New Roman"/>
          <w:color w:val="000000"/>
          <w:sz w:val="28"/>
          <w:szCs w:val="28"/>
          <w:lang w:val="en-US" w:eastAsia="ar-SA"/>
        </w:rPr>
        <w:t xml:space="preserve">/ Y. Hisata, Y. Yamai. // Monetary and Economic Studies. Institute for Monetary and Economic Studies, Bank of Japan, 2000.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18(2).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P. 83</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127. </w:t>
      </w:r>
    </w:p>
    <w:p w14:paraId="047DCC5F"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Hsu, C-C. Asymmetric effect of style comovement on momentum / C-C. Hsu, M-L. Chen. // Finance Research Letters, Elsevier, 2019.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31.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P.146</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154.</w:t>
      </w:r>
    </w:p>
    <w:p w14:paraId="6915F9DA" w14:textId="77777777" w:rsidR="00F769DA" w:rsidRPr="003B10E2" w:rsidRDefault="00F769DA" w:rsidP="00034948">
      <w:pPr>
        <w:widowControl w:val="0"/>
        <w:autoSpaceDE w:val="0"/>
        <w:spacing w:after="0" w:line="360" w:lineRule="auto"/>
        <w:ind w:firstLine="709"/>
        <w:jc w:val="both"/>
        <w:rPr>
          <w:rFonts w:ascii="Times New Roman" w:eastAsia="Times New Roman" w:hAnsi="Times New Roman"/>
          <w:color w:val="000000"/>
          <w:sz w:val="28"/>
          <w:szCs w:val="28"/>
          <w:lang w:eastAsia="ar-SA"/>
        </w:rPr>
      </w:pPr>
      <w:r w:rsidRPr="003B10E2">
        <w:rPr>
          <w:rFonts w:ascii="Times New Roman" w:eastAsia="Times New Roman" w:hAnsi="Times New Roman"/>
          <w:color w:val="000000"/>
          <w:sz w:val="28"/>
          <w:szCs w:val="28"/>
          <w:lang w:val="en-US" w:eastAsia="ar-SA"/>
        </w:rPr>
        <w:t>https</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color w:val="000000"/>
          <w:sz w:val="28"/>
          <w:szCs w:val="28"/>
          <w:lang w:val="en-US" w:eastAsia="ar-SA"/>
        </w:rPr>
        <w:t>www</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color w:val="000000"/>
          <w:sz w:val="28"/>
          <w:szCs w:val="28"/>
          <w:lang w:val="en-US" w:eastAsia="ar-SA"/>
        </w:rPr>
        <w:t>yidaiyilu</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color w:val="000000"/>
          <w:sz w:val="28"/>
          <w:szCs w:val="28"/>
          <w:lang w:val="en-US" w:eastAsia="ar-SA"/>
        </w:rPr>
        <w:t>gov</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color w:val="000000"/>
          <w:sz w:val="28"/>
          <w:szCs w:val="28"/>
          <w:lang w:val="en-US" w:eastAsia="ar-SA"/>
        </w:rPr>
        <w:t>cn</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color w:val="000000"/>
          <w:sz w:val="28"/>
          <w:szCs w:val="28"/>
          <w:lang w:val="en-US" w:eastAsia="ar-SA"/>
        </w:rPr>
        <w:t>xwzx</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color w:val="000000"/>
          <w:sz w:val="28"/>
          <w:szCs w:val="28"/>
          <w:lang w:val="en-US" w:eastAsia="ar-SA"/>
        </w:rPr>
        <w:t>roll</w:t>
      </w:r>
      <w:r w:rsidRPr="003B10E2">
        <w:rPr>
          <w:rFonts w:ascii="Times New Roman" w:eastAsia="Times New Roman" w:hAnsi="Times New Roman"/>
          <w:color w:val="000000"/>
          <w:sz w:val="28"/>
          <w:szCs w:val="28"/>
          <w:lang w:eastAsia="ar-SA"/>
        </w:rPr>
        <w:t>/77298.</w:t>
      </w:r>
      <w:r w:rsidRPr="003B10E2">
        <w:rPr>
          <w:rFonts w:ascii="Times New Roman" w:eastAsia="Times New Roman" w:hAnsi="Times New Roman"/>
          <w:color w:val="000000"/>
          <w:sz w:val="28"/>
          <w:szCs w:val="28"/>
          <w:lang w:val="en-US" w:eastAsia="ar-SA"/>
        </w:rPr>
        <w:t>htm</w:t>
      </w:r>
      <w:r w:rsidRPr="003B10E2">
        <w:rPr>
          <w:rFonts w:ascii="Times New Roman" w:eastAsia="Times New Roman" w:hAnsi="Times New Roman"/>
          <w:color w:val="000000"/>
          <w:sz w:val="28"/>
          <w:szCs w:val="28"/>
          <w:lang w:eastAsia="ar-SA"/>
        </w:rPr>
        <w:t>/ (дата обращения 13.03.2021).</w:t>
      </w:r>
    </w:p>
    <w:p w14:paraId="0B1F19E2"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Huberman, G. Monopoly without a Monopolist: An Economic Analysis of the Bitcoin Payment System / G. Huberman, J. Leshno, C. Moallemi. // The Review of Economic Studies, 2021. </w:t>
      </w:r>
      <w:r w:rsidRPr="003B10E2">
        <w:rPr>
          <w:rFonts w:ascii="Times New Roman" w:eastAsia="Times New Roman" w:hAnsi="Times New Roman"/>
          <w:iCs/>
          <w:color w:val="000000"/>
          <w:sz w:val="28"/>
          <w:szCs w:val="28"/>
          <w:lang w:val="en-US" w:eastAsia="ar-SA"/>
        </w:rPr>
        <w:t>– №</w:t>
      </w:r>
      <w:r w:rsidRPr="003B10E2">
        <w:rPr>
          <w:rFonts w:ascii="Times New Roman" w:eastAsia="Times New Roman" w:hAnsi="Times New Roman"/>
          <w:color w:val="000000"/>
          <w:sz w:val="28"/>
          <w:szCs w:val="28"/>
          <w:lang w:val="en-US" w:eastAsia="ar-SA"/>
        </w:rPr>
        <w:t xml:space="preserve">88(6).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3011–3040.</w:t>
      </w:r>
    </w:p>
    <w:p w14:paraId="4330A5FA"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Huynh, A.N.Q. Energy Consumption and Bitcoin Market / A.N.Q. Huynh, D. Duong, T. Burggraf [et al.] // Asia-Pacific Financial Markets, Springer. Japanese Association of Financial Economics and Engineering, 2021.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Volume 29(1).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 79</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93.</w:t>
      </w:r>
    </w:p>
    <w:p w14:paraId="3C5C4E79"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Hyvarinen, A. Independent Component Analysis / A. Hyvarinen, J. Karhunen, E. Oja.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John willey &amp; sons. Inc., New York, 2001. </w:t>
      </w:r>
      <w:r w:rsidRPr="003B10E2">
        <w:rPr>
          <w:rFonts w:ascii="Times New Roman" w:eastAsia="Times New Roman" w:hAnsi="Times New Roman"/>
          <w:iCs/>
          <w:color w:val="000000"/>
          <w:sz w:val="28"/>
          <w:szCs w:val="28"/>
          <w:lang w:val="en-US" w:eastAsia="ar-SA"/>
        </w:rPr>
        <w:t>– P.504.</w:t>
      </w:r>
    </w:p>
    <w:p w14:paraId="3C3B4BF4"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Iansiti, M. Strategy as ecology / M. Iansiti, R. Levien. // Harvard Business Review, 2004.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82(3).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68</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78.</w:t>
      </w:r>
    </w:p>
    <w:p w14:paraId="49DD9ADE"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International Accounting Standard (IAS) 32. Financial Instruments: Disclosure and Presentation // International Accounting Standards. London: International Accounting Standards Committee, 2009.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703–756.</w:t>
      </w:r>
    </w:p>
    <w:p w14:paraId="558B1E93"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 xml:space="preserve">Ivanov, I. Digitalization as a driver of innovation for industrial enterprises / I. Ivanov, T. Lukyanova, L. Orlova. // In IOP Conference Series: Materials Science and Engineering, 2020. – Volume 753. – №8. – P. </w:t>
      </w:r>
    </w:p>
    <w:p w14:paraId="5520C4C5"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Jacobides, M.G. Towards a theory of ecosystems / M. G. Jacobides, C. Cennamo, A. Gawer. // Strategic Management Journal, 2018. </w:t>
      </w:r>
      <w:r w:rsidRPr="003B10E2">
        <w:rPr>
          <w:rFonts w:ascii="Times New Roman" w:eastAsia="Times New Roman" w:hAnsi="Times New Roman"/>
          <w:iCs/>
          <w:color w:val="000000"/>
          <w:sz w:val="28"/>
          <w:szCs w:val="28"/>
          <w:lang w:val="en-US" w:eastAsia="ar-SA"/>
        </w:rPr>
        <w:t>– №</w:t>
      </w:r>
      <w:r w:rsidRPr="003B10E2">
        <w:rPr>
          <w:rFonts w:ascii="Times New Roman" w:eastAsia="Times New Roman" w:hAnsi="Times New Roman"/>
          <w:color w:val="000000"/>
          <w:sz w:val="28"/>
          <w:szCs w:val="28"/>
          <w:lang w:val="en-US" w:eastAsia="ar-SA"/>
        </w:rPr>
        <w:t xml:space="preserve">39(8).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2255</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2276.</w:t>
      </w:r>
    </w:p>
    <w:p w14:paraId="65298B76"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Jacobs, G. Cryptocurrencies and the Challenge of Global Governance / G.  Jacobs. // Cadmus Journal, 2018.</w:t>
      </w:r>
      <w:r w:rsidRPr="003B10E2">
        <w:rPr>
          <w:rFonts w:ascii="Times New Roman" w:eastAsia="Times New Roman" w:hAnsi="Times New Roman"/>
          <w:iCs/>
          <w:color w:val="000000"/>
          <w:sz w:val="28"/>
          <w:szCs w:val="28"/>
          <w:lang w:val="en-US" w:eastAsia="ar-SA"/>
        </w:rPr>
        <w:t xml:space="preserve"> – Volume</w:t>
      </w:r>
      <w:r w:rsidRPr="003B10E2">
        <w:rPr>
          <w:rFonts w:ascii="Times New Roman" w:eastAsia="Times New Roman" w:hAnsi="Times New Roman"/>
          <w:color w:val="000000"/>
          <w:sz w:val="28"/>
          <w:szCs w:val="28"/>
          <w:lang w:val="en-US" w:eastAsia="ar-SA"/>
        </w:rPr>
        <w:t xml:space="preserve"> 3(4).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109</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123. </w:t>
      </w:r>
    </w:p>
    <w:p w14:paraId="05D81C2A"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Jaimovich, N. Behavioral Theories of the Business Cycle / N. Jaimovich, S. Rebelo. // Journal of the European Economic Association, MIT Press, 2007.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Volume 5(2-3).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 361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368.</w:t>
      </w:r>
    </w:p>
    <w:p w14:paraId="4EBD391F"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Jammazi, R. Time-varying causality between crude oil and stock markets: what can we learn from a multiscale perspective? / R. Jammazi, R. Ferrer, F. Jareno [et al.] // International Review of Economics &amp; Finance, 2017.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49.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453–483. </w:t>
      </w:r>
    </w:p>
    <w:p w14:paraId="4C452723"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Jarrow, R. The Liquidity Discount / R. Jarrow, A. Subramanian.  // Mathematical Finance, 2005.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11.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 3.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447–473.</w:t>
      </w:r>
    </w:p>
    <w:p w14:paraId="13FB517E"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Jensen, M. Some Anomalous Evidence Regarding Market Efficiency / M.  Jensen. // Journal of Financial Economics, 1978.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Volume 6.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Issue 2</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3.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iCs/>
          <w:color w:val="000000"/>
          <w:sz w:val="28"/>
          <w:szCs w:val="28"/>
          <w:lang w:val="en-US" w:eastAsia="ar-SA"/>
        </w:rPr>
        <w:t>P.</w:t>
      </w:r>
      <w:r w:rsidRPr="003B10E2">
        <w:rPr>
          <w:rFonts w:ascii="Times New Roman" w:eastAsia="Times New Roman" w:hAnsi="Times New Roman"/>
          <w:color w:val="000000"/>
          <w:sz w:val="28"/>
          <w:szCs w:val="28"/>
          <w:lang w:val="en-US" w:eastAsia="ar-SA"/>
        </w:rPr>
        <w:t>95</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101.</w:t>
      </w:r>
    </w:p>
    <w:p w14:paraId="2B721834"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Jensen, M. Theory of Firm Managerial Behavior, Agency Costs and Ownership Structure / M. Jensen, W. Meckling. // Journal of Financial Economics, 1976.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Volume 3.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Issue 4.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P.305</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360.</w:t>
      </w:r>
    </w:p>
    <w:p w14:paraId="53175D07"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Jermann, U. Financial Innovations and Macroeconomic Volatility / U. Jermann, V. Quadrini. // NBER Working Paper № 12038, 2006.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P.44.</w:t>
      </w:r>
    </w:p>
    <w:p w14:paraId="4258C317"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Ji, Q. Dynamic network of implied volatility transmission among US equities, strategic commodities, and BRICS equities / Q. Ji, E. Bouri, D. Roubaud. // International Review of Financial Analysis, 2018.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Volume 57.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1–12. </w:t>
      </w:r>
    </w:p>
    <w:p w14:paraId="62411242"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Ji, Q. Modelling the joint dynamics of oil prices and investor fear gauge / Q. Ji, Y. Fan. // Research in International Business and Finance, 2016.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37.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242–251. </w:t>
      </w:r>
    </w:p>
    <w:p w14:paraId="75666410"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Jiang, Y. Time-varying long-term memory in Bitcoin market / Jiang Y., Nie H., Ruan W. // Finance Research Letters, 2018.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25.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280</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284. </w:t>
      </w:r>
    </w:p>
    <w:p w14:paraId="74199DD7"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Jin, J. The hedging effectiveness of global sectors in emerging and developed stock markets / J. Jin, L. Han, L. Wu [et al.] // Research in International Business and Finance, 2020.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66.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92–117. </w:t>
      </w:r>
    </w:p>
    <w:p w14:paraId="15C92DD4"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Jin, L. Do a firm’s equity returns reflect the risk of its pension plan? / L. Jin, R.C. Merton, Z. Bodie. // Journal of Financial Economics, 2006.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Volume 81.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26.</w:t>
      </w:r>
    </w:p>
    <w:p w14:paraId="61EFE712"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Joo, Y.C. Oil prices and stock markets: does the effect of uncertainty change over time? / Y.C. Joo, S.Y. Park. // Energy Economics, 2017.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Volume 61.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42–51. </w:t>
      </w:r>
    </w:p>
    <w:p w14:paraId="4B807B33"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Jotikasthira, P. Asset Fire Sales and Purchases and the International Transmission of Funding Shocks / P. Jotikasthira, C. Lundblad, T. Ramadorai. // CEPR Discussion Papers №7595, 2009.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36.</w:t>
      </w:r>
    </w:p>
    <w:p w14:paraId="1B032F51"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Kahneman, D. Prospect Theory: an Analysis of Decision under Risk / D. Kahneman, A. Tversky. // Econometrica,1979.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47(2).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Issue 2. </w:t>
      </w:r>
      <w:r w:rsidRPr="003B10E2">
        <w:rPr>
          <w:rFonts w:ascii="Times New Roman" w:eastAsia="Times New Roman" w:hAnsi="Times New Roman"/>
          <w:iCs/>
          <w:color w:val="000000"/>
          <w:sz w:val="28"/>
          <w:szCs w:val="28"/>
          <w:lang w:val="en-US" w:eastAsia="ar-SA"/>
        </w:rPr>
        <w:t>– P. </w:t>
      </w:r>
      <w:r w:rsidRPr="003B10E2">
        <w:rPr>
          <w:rFonts w:ascii="Times New Roman" w:eastAsia="Times New Roman" w:hAnsi="Times New Roman"/>
          <w:color w:val="000000"/>
          <w:sz w:val="28"/>
          <w:szCs w:val="28"/>
          <w:lang w:val="en-US" w:eastAsia="ar-SA"/>
        </w:rPr>
        <w:t>263</w:t>
      </w:r>
      <w:r w:rsidRPr="003B10E2">
        <w:rPr>
          <w:rFonts w:ascii="Times New Roman" w:eastAsia="Times New Roman" w:hAnsi="Times New Roman"/>
          <w:iCs/>
          <w:color w:val="000000"/>
          <w:sz w:val="28"/>
          <w:szCs w:val="28"/>
          <w:lang w:val="en-US" w:eastAsia="ar-SA"/>
        </w:rPr>
        <w:t>–2</w:t>
      </w:r>
      <w:r w:rsidRPr="003B10E2">
        <w:rPr>
          <w:rFonts w:ascii="Times New Roman" w:eastAsia="Times New Roman" w:hAnsi="Times New Roman"/>
          <w:color w:val="000000"/>
          <w:sz w:val="28"/>
          <w:szCs w:val="28"/>
          <w:lang w:val="en-US" w:eastAsia="ar-SA"/>
        </w:rPr>
        <w:t>91.</w:t>
      </w:r>
    </w:p>
    <w:p w14:paraId="643AFD75"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Kalman, R.E. A new approach to linear filtering and prediction problems. Transactions of the ASME / R.E. Kalman. // Journal of Basic Engineering, 1960.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Volume 82.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35–45.</w:t>
      </w:r>
    </w:p>
    <w:p w14:paraId="461A52D6"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Kannan, P.K. Digital marketing: a framework, review and research agenda / P.K. Kannan. // International Journal of Research in Marketing, 2017.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34(1).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22–45.</w:t>
      </w:r>
    </w:p>
    <w:p w14:paraId="7AE8B3B4"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Kapoor, R. Coordinating and competing in ecosystems: How organizational forms shape new technology investments / R. Kapoor, J.M. Lee. // Strategic Management Journal, 2013.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34(3).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274</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296.</w:t>
      </w:r>
    </w:p>
    <w:p w14:paraId="4C430A09"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Kapoor, R. Ecosystems: broadening the locus of value creation / R. Kapoor. // Journal of Organization Design, 2018.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7(1).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Issue1.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16.</w:t>
      </w:r>
    </w:p>
    <w:p w14:paraId="42E4C8AC"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Kapoor, R. Sustaining superior performance in business ecosystems: Evidence from application software developers in the iOS and Android smartphone ecosystems / R. Kapoor, S. Agarwal. // Organization Science, 2017.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28(3).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531–551.</w:t>
      </w:r>
    </w:p>
    <w:p w14:paraId="5DF33A4F"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Karataeva, G. Cryptocurrency as an alternative investment tool / G. Karataeva, N. Sinyavsky. // Interactive Science, 2019.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5(39).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56</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58. </w:t>
      </w:r>
    </w:p>
    <w:p w14:paraId="5710E202"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Kashif, M. Managing and implementing change successfully with respect to COVID-19: A way forward / M. Kashif, M. U. Asif, A. Ali, M. Asad [et al.] // PEOPLE: International Journal of Social Sciences, 2020.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6(2).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609</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624. </w:t>
      </w:r>
    </w:p>
    <w:p w14:paraId="3DBB437D"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 xml:space="preserve">Kenda, K. Streaming Data Fusion for the Internet of Things / K. Kenda, B. Kažič, E. Novak, D. Mladenić. // Sensors, 2019. – P.27. </w:t>
      </w:r>
    </w:p>
    <w:p w14:paraId="5418E74E"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Kendall, M.G. The Analysis of Economic Time Series / M.G. Kendall. // In book The Random Character of Stock Market Prieces.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Cambridge: MIT Press, 1967. </w:t>
      </w:r>
      <w:r w:rsidRPr="003B10E2">
        <w:rPr>
          <w:rFonts w:ascii="Times New Roman" w:eastAsia="Times New Roman" w:hAnsi="Times New Roman"/>
          <w:iCs/>
          <w:color w:val="000000"/>
          <w:sz w:val="28"/>
          <w:szCs w:val="28"/>
          <w:lang w:val="en-US" w:eastAsia="ar-SA"/>
        </w:rPr>
        <w:t>– P.536.</w:t>
      </w:r>
    </w:p>
    <w:p w14:paraId="5A6E6D75"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Keršuliene, V. Selection of rational dispute resolution method by applying new step</w:t>
      </w:r>
      <w:r w:rsidRPr="003B10E2">
        <w:rPr>
          <w:rFonts w:ascii="Cambria Math" w:eastAsia="Times New Roman" w:hAnsi="Cambria Math" w:cs="Cambria Math"/>
          <w:iCs/>
          <w:color w:val="000000"/>
          <w:sz w:val="28"/>
          <w:szCs w:val="28"/>
          <w:lang w:val="en-US" w:eastAsia="ar-SA"/>
        </w:rPr>
        <w:t>‐</w:t>
      </w:r>
      <w:r w:rsidRPr="003B10E2">
        <w:rPr>
          <w:rFonts w:ascii="Times New Roman" w:eastAsia="Times New Roman" w:hAnsi="Times New Roman"/>
          <w:iCs/>
          <w:color w:val="000000"/>
          <w:sz w:val="28"/>
          <w:szCs w:val="28"/>
          <w:lang w:val="en-US" w:eastAsia="ar-SA"/>
        </w:rPr>
        <w:t>wise weight assessment ratio analysis (SWARA) / V. Keršuliene, E.K. Zavadskas, Z. Turskis. // Journal of business economics and management, 2010. – Volume 11(2). – P.243–258.</w:t>
      </w:r>
    </w:p>
    <w:p w14:paraId="5969FE57"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Key, T.M. Upstream social marketing strategy: an integrated marketing communications approach / T.M. Key, A.J. Czaplewski. // Business Horizons, 2017.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60(3).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325–333.</w:t>
      </w:r>
    </w:p>
    <w:p w14:paraId="524F2B77"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Kher, R. Blockchain, Bitcoin, and ICOs: a review and research agenda / R. Kher, S. Terjesen, C. Liu. // Small Business Economics, 2021.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Volume 56.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Issue 4.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№22.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iCs/>
          <w:color w:val="000000"/>
          <w:sz w:val="28"/>
          <w:szCs w:val="28"/>
          <w:lang w:val="en-US" w:eastAsia="ar-SA"/>
        </w:rPr>
        <w:t>P.</w:t>
      </w:r>
      <w:r w:rsidRPr="003B10E2">
        <w:rPr>
          <w:rFonts w:ascii="Times New Roman" w:eastAsia="Times New Roman" w:hAnsi="Times New Roman"/>
          <w:color w:val="000000"/>
          <w:sz w:val="28"/>
          <w:szCs w:val="28"/>
          <w:lang w:val="en-US" w:eastAsia="ar-SA"/>
        </w:rPr>
        <w:t>1699</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1720.</w:t>
      </w:r>
    </w:p>
    <w:p w14:paraId="42436898"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Khraisha, T. Can we have a general theory of financial innovation processes? / T. Khraisha, K. Arthur. // A conceptual review. Financial Innovation, 2018. –</w:t>
      </w:r>
      <w:r w:rsidRPr="003B10E2">
        <w:rPr>
          <w:rFonts w:ascii="Times New Roman" w:eastAsia="Times New Roman" w:hAnsi="Times New Roman"/>
          <w:color w:val="000000"/>
          <w:sz w:val="28"/>
          <w:szCs w:val="28"/>
          <w:lang w:val="en-US" w:eastAsia="ar-SA"/>
        </w:rPr>
        <w:t xml:space="preserve"> Volume</w:t>
      </w:r>
      <w:r w:rsidRPr="003B10E2">
        <w:rPr>
          <w:rFonts w:ascii="Times New Roman" w:eastAsia="Times New Roman" w:hAnsi="Times New Roman"/>
          <w:iCs/>
          <w:color w:val="000000"/>
          <w:sz w:val="28"/>
          <w:szCs w:val="28"/>
          <w:lang w:val="en-US" w:eastAsia="ar-SA"/>
        </w:rPr>
        <w:t xml:space="preserve"> 4(1). – P.1–27.</w:t>
      </w:r>
    </w:p>
    <w:p w14:paraId="2F106C6E"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Khushboo, B. Macroeconomic variables and their impact on exchange rate fluctuations: ARDL bound testing approach / B. Khushboo, N. Syeedun. // International Journal of Scientific &amp; Technology Research, 2019.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Volume 8(12).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449–469.</w:t>
      </w:r>
    </w:p>
    <w:p w14:paraId="241C904E"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Kindleberger, C. Manias, Panics, and, Crashes. A History of Financial Crises / C. Kindleberger, R. Aliber.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Wiley, 2005.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5th ed.</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 P.355.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ISBN-10: 0471467146.  </w:t>
      </w:r>
    </w:p>
    <w:p w14:paraId="76D8B9BA" w14:textId="77777777" w:rsidR="00F769DA" w:rsidRPr="003B10E2" w:rsidRDefault="00F769DA" w:rsidP="00034948">
      <w:pPr>
        <w:pStyle w:val="aff8"/>
        <w:numPr>
          <w:ilvl w:val="0"/>
          <w:numId w:val="17"/>
        </w:numPr>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color w:val="000000"/>
          <w:sz w:val="28"/>
          <w:szCs w:val="28"/>
          <w:lang w:val="en-US" w:eastAsia="ar-SA"/>
        </w:rPr>
        <w:t xml:space="preserve">Knoop, T. Recessions and Depressions: Understanding Business Cycles / T. Knoop. </w:t>
      </w:r>
      <w:r w:rsidRPr="003B10E2">
        <w:rPr>
          <w:rFonts w:ascii="Times New Roman" w:eastAsia="Times New Roman" w:hAnsi="Times New Roman"/>
          <w:iCs/>
          <w:color w:val="000000"/>
          <w:sz w:val="28"/>
          <w:szCs w:val="28"/>
          <w:lang w:val="en-US" w:eastAsia="ar-SA"/>
        </w:rPr>
        <w:t>– Praeger, 2004. – P.312. – ISBN-10: 0313361711.</w:t>
      </w:r>
    </w:p>
    <w:p w14:paraId="735A1A04"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Koenker, R. Inference on the quantile regression process / R. Koenker, Z. Xiao. // Econometrica, 2002.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70(4).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1583</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1612.</w:t>
      </w:r>
    </w:p>
    <w:p w14:paraId="62A4F89F"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Koenker, R. Quantile regression / R. Koenker, K.F. Hallock. // Journal of Economic Theory, 2001.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Volume 15.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143–156.</w:t>
      </w:r>
    </w:p>
    <w:p w14:paraId="6DE2DEA0"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it-IT" w:eastAsia="ar-SA"/>
        </w:rPr>
      </w:pPr>
      <w:r w:rsidRPr="003B10E2">
        <w:rPr>
          <w:rFonts w:ascii="Times New Roman" w:eastAsia="Times New Roman" w:hAnsi="Times New Roman"/>
          <w:color w:val="000000"/>
          <w:sz w:val="28"/>
          <w:szCs w:val="28"/>
          <w:lang w:val="it-IT" w:eastAsia="ar-SA"/>
        </w:rPr>
        <w:t xml:space="preserve">Koenker, R. Regression quantiles / R. Koenker, G.J. Bassett. // Econometrica, 1978. </w:t>
      </w:r>
      <w:r w:rsidRPr="003B10E2">
        <w:rPr>
          <w:rFonts w:ascii="Times New Roman" w:eastAsia="Times New Roman" w:hAnsi="Times New Roman"/>
          <w:iCs/>
          <w:color w:val="000000"/>
          <w:sz w:val="28"/>
          <w:szCs w:val="28"/>
          <w:lang w:val="it-IT" w:eastAsia="ar-SA"/>
        </w:rPr>
        <w:t>–</w:t>
      </w:r>
      <w:r w:rsidRPr="003B10E2">
        <w:rPr>
          <w:rFonts w:ascii="Times New Roman" w:eastAsia="Times New Roman" w:hAnsi="Times New Roman"/>
          <w:color w:val="000000"/>
          <w:sz w:val="28"/>
          <w:szCs w:val="28"/>
          <w:lang w:val="it-IT" w:eastAsia="ar-SA"/>
        </w:rPr>
        <w:t xml:space="preserve"> Volume 46. </w:t>
      </w:r>
      <w:r w:rsidRPr="003B10E2">
        <w:rPr>
          <w:rFonts w:ascii="Times New Roman" w:eastAsia="Times New Roman" w:hAnsi="Times New Roman"/>
          <w:iCs/>
          <w:color w:val="000000"/>
          <w:sz w:val="28"/>
          <w:szCs w:val="28"/>
          <w:lang w:val="it-IT" w:eastAsia="ar-SA"/>
        </w:rPr>
        <w:t>– P.</w:t>
      </w:r>
      <w:r w:rsidRPr="003B10E2">
        <w:rPr>
          <w:rFonts w:ascii="Times New Roman" w:eastAsia="Times New Roman" w:hAnsi="Times New Roman"/>
          <w:color w:val="000000"/>
          <w:sz w:val="28"/>
          <w:szCs w:val="28"/>
          <w:lang w:val="it-IT" w:eastAsia="ar-SA"/>
        </w:rPr>
        <w:t>33–50.</w:t>
      </w:r>
    </w:p>
    <w:p w14:paraId="33838B6C"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Koop, G. On the evolution of the monetary policy transmission mechanism / G. Koop, R. Leon-Gonzalez, R.W. Strachan. // Journal of Economic Dynamics and Control, 2009.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33(4).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997–1017.</w:t>
      </w:r>
    </w:p>
    <w:p w14:paraId="58888C45"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Kottas, A. Bayesian semiparametric median regression modeling / A. Kottas, A.E. Gelfand. // Journal of the American Statistical Association, 2001.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96.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1458–1468. </w:t>
      </w:r>
    </w:p>
    <w:p w14:paraId="097A0B56"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Kou, G. Fintech investments in European banks: a hybrid IT2 fuzzy multidimensional decision-making approach / G. Kou, O. Akdeniz, H. Dinçer [et al.] // Financial Innovation, 2021.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7.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 39.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P.21. </w:t>
      </w:r>
    </w:p>
    <w:p w14:paraId="2A1194AC"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Kou, G. Inventive problem-solving map of innovative carbon emission strategies for solar energy-based transportation investment projects / G. Kou, S. Yüksel, H. Dinçer. // Applied Energy, 2022.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311.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13.</w:t>
      </w:r>
    </w:p>
    <w:p w14:paraId="7F814753"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Kristoufek, L. Bitcoin meets Google Trends and Wikipedia: Quantifying the relationship between phenomena of the Internet era / L. Kristoufek. // Scientific Reports, 2013.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№3.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7.</w:t>
      </w:r>
    </w:p>
    <w:p w14:paraId="1D9A27E0"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Krugman, P. Innovating Our Way to Financial Crisis / P.  Krugman // The New York Times.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3rd December 2007. </w:t>
      </w:r>
    </w:p>
    <w:p w14:paraId="3DF8856E"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Kuttner, K. Equity Prices as Leading Indicators: the Asian Experience / K. Kuttner. // BIS Paper, 2008.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№39. </w:t>
      </w:r>
    </w:p>
    <w:p w14:paraId="0223AAA0"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fr-BE" w:eastAsia="ar-SA"/>
        </w:rPr>
        <w:t>La Porta</w:t>
      </w:r>
      <w:r w:rsidRPr="003B10E2">
        <w:rPr>
          <w:rFonts w:ascii="Times New Roman" w:eastAsia="Times New Roman" w:hAnsi="Times New Roman"/>
          <w:color w:val="000000"/>
          <w:sz w:val="28"/>
          <w:szCs w:val="28"/>
          <w:lang w:val="en-US" w:eastAsia="ar-SA"/>
        </w:rPr>
        <w:t>,</w:t>
      </w:r>
      <w:r w:rsidRPr="003B10E2">
        <w:rPr>
          <w:rFonts w:ascii="Times New Roman" w:eastAsia="Times New Roman" w:hAnsi="Times New Roman"/>
          <w:color w:val="000000"/>
          <w:sz w:val="28"/>
          <w:szCs w:val="28"/>
          <w:lang w:val="fr-BE" w:eastAsia="ar-SA"/>
        </w:rPr>
        <w:t xml:space="preserve"> R. </w:t>
      </w:r>
      <w:r w:rsidRPr="003B10E2">
        <w:rPr>
          <w:rFonts w:ascii="Times New Roman" w:eastAsia="Times New Roman" w:hAnsi="Times New Roman"/>
          <w:color w:val="000000"/>
          <w:sz w:val="28"/>
          <w:szCs w:val="28"/>
          <w:lang w:val="en-US" w:eastAsia="ar-SA"/>
        </w:rPr>
        <w:t xml:space="preserve">Investor protection corporate governance / </w:t>
      </w:r>
      <w:r w:rsidRPr="003B10E2">
        <w:rPr>
          <w:rFonts w:ascii="Times New Roman" w:eastAsia="Times New Roman" w:hAnsi="Times New Roman"/>
          <w:color w:val="000000"/>
          <w:sz w:val="28"/>
          <w:szCs w:val="28"/>
          <w:lang w:val="fr-BE" w:eastAsia="ar-SA"/>
        </w:rPr>
        <w:t>R.</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val="fr-BE" w:eastAsia="ar-SA"/>
        </w:rPr>
        <w:t>La Porta</w:t>
      </w:r>
      <w:r w:rsidRPr="003B10E2">
        <w:rPr>
          <w:rFonts w:ascii="Times New Roman" w:eastAsia="Times New Roman" w:hAnsi="Times New Roman"/>
          <w:color w:val="000000"/>
          <w:sz w:val="28"/>
          <w:szCs w:val="28"/>
          <w:lang w:val="en-US" w:eastAsia="ar-SA"/>
        </w:rPr>
        <w:t>,</w:t>
      </w:r>
      <w:r w:rsidRPr="003B10E2">
        <w:rPr>
          <w:rFonts w:ascii="Times New Roman" w:eastAsia="Times New Roman" w:hAnsi="Times New Roman"/>
          <w:color w:val="000000"/>
          <w:sz w:val="28"/>
          <w:szCs w:val="28"/>
          <w:lang w:val="fr-BE" w:eastAsia="ar-SA"/>
        </w:rPr>
        <w:t xml:space="preserve"> F.</w:t>
      </w:r>
      <w:r w:rsidRPr="003B10E2">
        <w:rPr>
          <w:rFonts w:ascii="Times New Roman" w:eastAsia="Times New Roman" w:hAnsi="Times New Roman"/>
          <w:color w:val="000000"/>
          <w:sz w:val="28"/>
          <w:szCs w:val="28"/>
          <w:lang w:val="en-US" w:eastAsia="ar-SA"/>
        </w:rPr>
        <w:t> </w:t>
      </w:r>
      <w:r w:rsidRPr="003B10E2">
        <w:rPr>
          <w:rFonts w:ascii="Times New Roman" w:eastAsia="Times New Roman" w:hAnsi="Times New Roman"/>
          <w:color w:val="000000"/>
          <w:sz w:val="28"/>
          <w:szCs w:val="28"/>
          <w:lang w:val="fr-BE" w:eastAsia="ar-SA"/>
        </w:rPr>
        <w:t>Lopez-de-Silanes</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val="fr-BE" w:eastAsia="ar-SA"/>
        </w:rPr>
        <w:t>A. Shleifer</w:t>
      </w:r>
      <w:r w:rsidRPr="003B10E2">
        <w:rPr>
          <w:rFonts w:ascii="Times New Roman" w:eastAsia="Times New Roman" w:hAnsi="Times New Roman"/>
          <w:color w:val="000000"/>
          <w:sz w:val="28"/>
          <w:szCs w:val="28"/>
          <w:lang w:val="en-US" w:eastAsia="ar-SA"/>
        </w:rPr>
        <w:t>,</w:t>
      </w:r>
      <w:r w:rsidRPr="003B10E2">
        <w:rPr>
          <w:rFonts w:ascii="Times New Roman" w:eastAsia="Times New Roman" w:hAnsi="Times New Roman"/>
          <w:color w:val="000000"/>
          <w:sz w:val="28"/>
          <w:szCs w:val="28"/>
          <w:lang w:val="fr-BE" w:eastAsia="ar-SA"/>
        </w:rPr>
        <w:t xml:space="preserve"> R</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val="fr-BE" w:eastAsia="ar-SA"/>
        </w:rPr>
        <w:t>Vishny.</w:t>
      </w:r>
      <w:r w:rsidRPr="003B10E2">
        <w:rPr>
          <w:rFonts w:ascii="Times New Roman" w:eastAsia="Times New Roman" w:hAnsi="Times New Roman"/>
          <w:color w:val="000000"/>
          <w:sz w:val="28"/>
          <w:szCs w:val="28"/>
          <w:lang w:val="en-US" w:eastAsia="ar-SA"/>
        </w:rPr>
        <w:t xml:space="preserve"> // Journal of Financial Economics, 2008.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№58.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3–27.</w:t>
      </w:r>
    </w:p>
    <w:p w14:paraId="2D55718D"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Lawrence, C. Liquidity, Dynamic Hedging and Value at Risk / C. Lawrence, G. Robinson. // Risk Management for Financial Institutions, 2007.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63–72.</w:t>
      </w:r>
    </w:p>
    <w:p w14:paraId="41F1F542"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Lee, M. How to Respond to the Fourth Industrial Revolution, or the Second Information Technology Revolution? Dynamic New Combinations between Technology, Market, and Society through Open Innovation / M. Lee, J.J. Yun, A. Pyka [et al.] // Journal of Open Innovation: Technology, Market, and Complexity, 2018. </w:t>
      </w:r>
      <w:r w:rsidRPr="003B10E2">
        <w:rPr>
          <w:rFonts w:ascii="Times New Roman" w:eastAsia="Times New Roman" w:hAnsi="Times New Roman"/>
          <w:iCs/>
          <w:color w:val="000000"/>
          <w:sz w:val="28"/>
          <w:szCs w:val="28"/>
          <w:lang w:val="en-US" w:eastAsia="ar-SA"/>
        </w:rPr>
        <w:t>– №</w:t>
      </w:r>
      <w:r w:rsidRPr="003B10E2">
        <w:rPr>
          <w:rFonts w:ascii="Times New Roman" w:eastAsia="Times New Roman" w:hAnsi="Times New Roman"/>
          <w:color w:val="000000"/>
          <w:sz w:val="28"/>
          <w:szCs w:val="28"/>
          <w:lang w:val="en-US" w:eastAsia="ar-SA"/>
        </w:rPr>
        <w:t xml:space="preserve">4.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P.21.</w:t>
      </w:r>
    </w:p>
    <w:p w14:paraId="7A5AB6F2"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color w:val="000000"/>
          <w:sz w:val="28"/>
          <w:szCs w:val="28"/>
          <w:lang w:val="en-US" w:eastAsia="ar-SA"/>
        </w:rPr>
        <w:t xml:space="preserve">Levenson, A. Do Firms Get the Financing They Want? Measuring Gredit Rationing Experienced by Small? Businesses in the US / A. Levenson, K. Willard. // Small Business Economics, 2000.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14. </w:t>
      </w:r>
      <w:r w:rsidRPr="003B10E2">
        <w:rPr>
          <w:rFonts w:ascii="Times New Roman" w:eastAsia="Times New Roman" w:hAnsi="Times New Roman"/>
          <w:iCs/>
          <w:color w:val="000000"/>
          <w:sz w:val="28"/>
          <w:szCs w:val="28"/>
          <w:lang w:val="en-US" w:eastAsia="ar-SA"/>
        </w:rPr>
        <w:t>– Issue 2. – P.83–94.</w:t>
      </w:r>
    </w:p>
    <w:p w14:paraId="0529572E"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Li, L. A Study on the Challenges and Countermeasures of Blockchain Industry and Technology Development-Guangdong Province as an Example / L. Li, T. Wang. // In International Conference on Blockchain and Trustworthy Systems Springer, Singapore, 2021. – P. 601–613.</w:t>
      </w:r>
    </w:p>
    <w:p w14:paraId="1E023D87"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 xml:space="preserve">Li, Y. Consensus reaching process in large-scale group decision making based on bounded confidence and social network </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iCs/>
          <w:color w:val="000000"/>
          <w:sz w:val="28"/>
          <w:szCs w:val="28"/>
          <w:lang w:val="en-US" w:eastAsia="ar-SA"/>
        </w:rPr>
        <w:t>Y. Li, G. Kou, G. Li, Y.</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iCs/>
          <w:color w:val="000000"/>
          <w:sz w:val="28"/>
          <w:szCs w:val="28"/>
          <w:lang w:val="en-US" w:eastAsia="ar-SA"/>
        </w:rPr>
        <w:t xml:space="preserve">Peng. </w:t>
      </w:r>
      <w:r w:rsidRPr="003B10E2">
        <w:rPr>
          <w:rFonts w:ascii="Times New Roman" w:eastAsia="Times New Roman" w:hAnsi="Times New Roman"/>
          <w:color w:val="000000"/>
          <w:sz w:val="28"/>
          <w:szCs w:val="28"/>
          <w:lang w:val="en-US" w:eastAsia="ar-SA"/>
        </w:rPr>
        <w:t>//</w:t>
      </w:r>
      <w:r w:rsidRPr="003B10E2">
        <w:rPr>
          <w:rFonts w:ascii="Times New Roman" w:eastAsia="Times New Roman" w:hAnsi="Times New Roman"/>
          <w:iCs/>
          <w:color w:val="000000"/>
          <w:sz w:val="28"/>
          <w:szCs w:val="28"/>
          <w:lang w:val="en-US" w:eastAsia="ar-SA"/>
        </w:rPr>
        <w:t xml:space="preserve"> European Journal of Operational Research, 2022. – Volume 303. – Issue 2. – P.790–802.</w:t>
      </w:r>
    </w:p>
    <w:p w14:paraId="56FF3843"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Lisin, A. Biofuel Energy in the Post-oil Era / A. Lisin. // International Journal of Energy Economics and Policy, 2020.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10(2).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194-199. </w:t>
      </w:r>
    </w:p>
    <w:p w14:paraId="181E427A"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Lisin, A. Prospects and Challenges of Energy Cooperation between Russia and South Korea / A. Lisin. // International Journal of Energy Economics and Policy, 2020.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10(3).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130–135.</w:t>
      </w:r>
    </w:p>
    <w:p w14:paraId="5BE8F785"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Lisin, A. Renewable Energy Transition: Evidence from Spillover Effects in Exchange-Traded Funds / A. Lisin. // International Journal of Energy Economics and Policy, 2021.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11(3).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6. </w:t>
      </w:r>
    </w:p>
    <w:p w14:paraId="136C81CF"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Liu, F. Use of social network information to enhance collaborative filtering performance / F. Liu, H.J. Lee. // Expert systems with applications, 2010.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37(7).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4772-4778.</w:t>
      </w:r>
    </w:p>
    <w:p w14:paraId="44BCA988"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 xml:space="preserve">Liu, G.-C. The nexus between insurance activity and economic growth: A bootstrap rolling window approach </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iCs/>
          <w:color w:val="000000"/>
          <w:sz w:val="28"/>
          <w:szCs w:val="28"/>
          <w:lang w:val="en-US" w:eastAsia="ar-SA"/>
        </w:rPr>
        <w:t xml:space="preserve">G.-C. Liu, C.-C. Lee. </w:t>
      </w:r>
      <w:r w:rsidRPr="003B10E2">
        <w:rPr>
          <w:rFonts w:ascii="Times New Roman" w:eastAsia="Times New Roman" w:hAnsi="Times New Roman"/>
          <w:color w:val="000000"/>
          <w:sz w:val="28"/>
          <w:szCs w:val="28"/>
          <w:lang w:val="en-US" w:eastAsia="ar-SA"/>
        </w:rPr>
        <w:t>//</w:t>
      </w:r>
      <w:r w:rsidRPr="003B10E2">
        <w:rPr>
          <w:rFonts w:ascii="Times New Roman" w:eastAsia="Times New Roman" w:hAnsi="Times New Roman"/>
          <w:iCs/>
          <w:color w:val="000000"/>
          <w:sz w:val="28"/>
          <w:szCs w:val="28"/>
          <w:lang w:val="en-US" w:eastAsia="ar-SA"/>
        </w:rPr>
        <w:t xml:space="preserve"> International Review of Economics &amp; Finance, 2016. – Volume 43. – P.299–319.</w:t>
      </w:r>
    </w:p>
    <w:p w14:paraId="14C09D40"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Liu, W. Consensus-based multidimensional due diligence of fintech-enhanced green energy investment projects / W. Liu, Y. Sun, S. Yüksel [et al.] // Financial Innovation, 2021.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7(1).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31.</w:t>
      </w:r>
    </w:p>
    <w:p w14:paraId="3C5D67BB"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Liu, Y. Risks and Returns of Cryptocurrency / Y. Liu, A. Tsyvinski. // The Review of Financial Studies, 2021.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34(6).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2689–2727. </w:t>
      </w:r>
    </w:p>
    <w:p w14:paraId="666155B6"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Lo, A.W. Stock Market Price Do Not Follow Random Walks: Evidence from a Simple Specification Test / A.W. Lo, A.C. MacKinlay. // The Review of Financial Studies. 2008.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iCs/>
          <w:color w:val="000000"/>
          <w:sz w:val="28"/>
          <w:szCs w:val="28"/>
          <w:lang w:val="en-US" w:eastAsia="ar-SA"/>
        </w:rPr>
        <w:t xml:space="preserve">Volume </w:t>
      </w:r>
      <w:r w:rsidRPr="003B10E2">
        <w:rPr>
          <w:rFonts w:ascii="Times New Roman" w:eastAsia="Times New Roman" w:hAnsi="Times New Roman"/>
          <w:color w:val="000000"/>
          <w:sz w:val="28"/>
          <w:szCs w:val="28"/>
          <w:lang w:val="en-US" w:eastAsia="ar-SA"/>
        </w:rPr>
        <w:t xml:space="preserve">1.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 1.</w:t>
      </w:r>
      <w:r w:rsidRPr="003B10E2">
        <w:rPr>
          <w:rFonts w:ascii="Times New Roman" w:eastAsia="Times New Roman" w:hAnsi="Times New Roman"/>
          <w:iCs/>
          <w:color w:val="000000"/>
          <w:sz w:val="28"/>
          <w:szCs w:val="28"/>
          <w:lang w:val="en-US" w:eastAsia="ar-SA"/>
        </w:rPr>
        <w:t xml:space="preserve"> – P.</w:t>
      </w:r>
      <w:r w:rsidRPr="003B10E2">
        <w:rPr>
          <w:rFonts w:ascii="Times New Roman" w:eastAsia="Times New Roman" w:hAnsi="Times New Roman"/>
          <w:color w:val="000000"/>
          <w:sz w:val="28"/>
          <w:szCs w:val="28"/>
          <w:lang w:val="en-US" w:eastAsia="ar-SA"/>
        </w:rPr>
        <w:t>41–66.</w:t>
      </w:r>
    </w:p>
    <w:p w14:paraId="3F220CB8"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Lukin, A. The US–China Trade War and China's Strategic Future / A. Lukin // Survival, 2019.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61.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№1.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23-50.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ISSN: 0039-6338.</w:t>
      </w:r>
    </w:p>
    <w:p w14:paraId="184ED460"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Lum, K. Spatial quantile multiple regression using the asymmetric Laplace process / K. Lum, A. Gelfand. // Bayesian Analysis, 2012.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iCs/>
          <w:color w:val="000000"/>
          <w:sz w:val="28"/>
          <w:szCs w:val="28"/>
          <w:lang w:val="en-US" w:eastAsia="ar-SA"/>
        </w:rPr>
        <w:t xml:space="preserve">Volume </w:t>
      </w:r>
      <w:r w:rsidRPr="003B10E2">
        <w:rPr>
          <w:rFonts w:ascii="Times New Roman" w:eastAsia="Times New Roman" w:hAnsi="Times New Roman"/>
          <w:color w:val="000000"/>
          <w:sz w:val="28"/>
          <w:szCs w:val="28"/>
          <w:lang w:val="en-US" w:eastAsia="ar-SA"/>
        </w:rPr>
        <w:t xml:space="preserve">7.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1–24.</w:t>
      </w:r>
    </w:p>
    <w:p w14:paraId="23361F13"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Luo, S. Preventing DDoS Attacks on Bitcoin Memory Pool by the Dynamic Fee Threshold Mechanism / S. Luo, Y. Sang, M. Song [et al.] // In International Conference on Parallel and Distributed Computing: Applications and Technologies.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Springer, Cham: 2020.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172</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184. </w:t>
      </w:r>
    </w:p>
    <w:p w14:paraId="6E52D838"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Lütkepohl, H. Applied Time Series Econometrics / H. Lütkepohl, M. Krätzig.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Cambridge: Cambridge University Press, 2014.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P.323.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ISBN: 052183919X.</w:t>
      </w:r>
    </w:p>
    <w:p w14:paraId="7B3DBEA5"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MacKinlay, A.C. Event Studies in Economics and Finance / A.C. MacKinlay. // Journal of Economic Literature, 1997.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35(1).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13</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39. </w:t>
      </w:r>
    </w:p>
    <w:p w14:paraId="0AC7CC23"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Maghyereh, A.I. The directional volatility connectedness between crude oil and equity markets: new evidence from implied volatility indexes / A.I. Maghyereh, B. Awartani, E. Bouri. // Energy Economics, 2016. </w:t>
      </w:r>
      <w:r w:rsidRPr="003B10E2">
        <w:rPr>
          <w:rFonts w:ascii="Times New Roman" w:eastAsia="Times New Roman" w:hAnsi="Times New Roman"/>
          <w:iCs/>
          <w:color w:val="000000"/>
          <w:sz w:val="28"/>
          <w:szCs w:val="28"/>
          <w:lang w:val="en-US" w:eastAsia="ar-SA"/>
        </w:rPr>
        <w:t>– Volume</w:t>
      </w:r>
      <w:r w:rsidRPr="003B10E2">
        <w:rPr>
          <w:rFonts w:ascii="Times New Roman" w:eastAsia="Times New Roman" w:hAnsi="Times New Roman"/>
          <w:color w:val="000000"/>
          <w:sz w:val="28"/>
          <w:szCs w:val="28"/>
          <w:lang w:val="en-US" w:eastAsia="ar-SA"/>
        </w:rPr>
        <w:t xml:space="preserve"> 57.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78–93. </w:t>
      </w:r>
    </w:p>
    <w:p w14:paraId="2DEF087F"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Malkiel B.G. Passive Investment Strategies and Efficient Markets / B.G. Malkiel. // European Financial Management, 2007.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9.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 1.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1–10.</w:t>
      </w:r>
    </w:p>
    <w:p w14:paraId="4625C94D" w14:textId="77777777" w:rsidR="00F769DA" w:rsidRPr="003B10E2" w:rsidRDefault="00F769DA" w:rsidP="00034948">
      <w:pPr>
        <w:pStyle w:val="aff8"/>
        <w:numPr>
          <w:ilvl w:val="0"/>
          <w:numId w:val="17"/>
        </w:numPr>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Malkiel, B.G. A Random Walk Down Wall Street: the </w:t>
      </w:r>
      <w:r w:rsidR="00755FF9" w:rsidRPr="003B10E2">
        <w:rPr>
          <w:rFonts w:ascii="Times New Roman" w:eastAsia="Times New Roman" w:hAnsi="Times New Roman"/>
          <w:color w:val="000000"/>
          <w:sz w:val="28"/>
          <w:szCs w:val="28"/>
          <w:lang w:val="en-US" w:eastAsia="ar-SA"/>
        </w:rPr>
        <w:t>time-tested</w:t>
      </w:r>
      <w:r w:rsidRPr="003B10E2">
        <w:rPr>
          <w:rFonts w:ascii="Times New Roman" w:eastAsia="Times New Roman" w:hAnsi="Times New Roman"/>
          <w:color w:val="000000"/>
          <w:sz w:val="28"/>
          <w:szCs w:val="28"/>
          <w:lang w:val="en-US" w:eastAsia="ar-SA"/>
        </w:rPr>
        <w:t xml:space="preserve"> strategy for successful investing completely revised and updated / B.G. Malkiel. // New York, London: W.W. Norton &amp; Company, 2006.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464.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ISBN-10: ‎0393330338</w:t>
      </w:r>
    </w:p>
    <w:p w14:paraId="32A86EA8"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Mallikarjuna, B. Visualizing Bitcoin Using Big Data: Mempool Visualization, Visualization, Peer Visualization, Attack Visual Analysis, High-Resolution Visualization of Bitcoin Systems, Effectiveness / B. Mallikarjuna, T.V. Ramana, S. Kallam [et al.] // In Blockchain, Big Data and Machine Learning, CRC Press, 2020.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155</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176. </w:t>
      </w:r>
    </w:p>
    <w:p w14:paraId="02A9FB27"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Manel, Y. Dynamic connectedness between stock markets in the presence of the COVID-19 pandemic: Does economic policy uncertainty matter? / Y. Manel, M. Khaled, A. A. Noomen. // Financial Innovation, 2021. </w:t>
      </w:r>
      <w:r w:rsidRPr="003B10E2">
        <w:rPr>
          <w:rFonts w:ascii="Times New Roman" w:eastAsia="Times New Roman" w:hAnsi="Times New Roman"/>
          <w:iCs/>
          <w:color w:val="000000"/>
          <w:sz w:val="28"/>
          <w:szCs w:val="28"/>
          <w:lang w:val="en-US" w:eastAsia="ar-SA"/>
        </w:rPr>
        <w:t>– Volume</w:t>
      </w:r>
      <w:r w:rsidRPr="003B10E2">
        <w:rPr>
          <w:rFonts w:ascii="Times New Roman" w:eastAsia="Times New Roman" w:hAnsi="Times New Roman"/>
          <w:color w:val="000000"/>
          <w:sz w:val="28"/>
          <w:szCs w:val="28"/>
          <w:lang w:val="en-US" w:eastAsia="ar-SA"/>
        </w:rPr>
        <w:t xml:space="preserve"> 7.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Issue 1.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27.</w:t>
      </w:r>
    </w:p>
    <w:p w14:paraId="4E14ABA8"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Mankiw, N.G. The Allocation of Credit and Financial Collapse / N. G. Mankiw. // Quarterly Journal of Economics, 1986.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101.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 №3.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455</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470. </w:t>
      </w:r>
    </w:p>
    <w:p w14:paraId="0A0A377C"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Marcellino, M. A comparison of direct and iterated multistep AR methods for forecasting macroeconomic time series / M. Marcellino, J. H. Stock, M. W. Watson. // Journal of Econometrics, 2006.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135(1–2).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499–526.</w:t>
      </w:r>
    </w:p>
    <w:p w14:paraId="44FF464C"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Mark, K.L. Multi-dimensional complex-valued Gabor wavelet networks / K.L. Mark, P. Peng, K.F.C. Yiu [et al.] // Mathematical and Computer Modelling, 2013.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iCs/>
          <w:color w:val="000000"/>
          <w:sz w:val="28"/>
          <w:szCs w:val="28"/>
          <w:lang w:val="en-US" w:eastAsia="ar-SA"/>
        </w:rPr>
        <w:t xml:space="preserve">Volume </w:t>
      </w:r>
      <w:r w:rsidRPr="003B10E2">
        <w:rPr>
          <w:rFonts w:ascii="Times New Roman" w:eastAsia="Times New Roman" w:hAnsi="Times New Roman"/>
          <w:color w:val="000000"/>
          <w:sz w:val="28"/>
          <w:szCs w:val="28"/>
          <w:lang w:val="en-US" w:eastAsia="ar-SA"/>
        </w:rPr>
        <w:t xml:space="preserve">58.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1755</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1768.</w:t>
      </w:r>
    </w:p>
    <w:p w14:paraId="10389892"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Markowitz, H. Portfolio Selection / H. Markowitz. // The Journal of Finance, 1952.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7.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Issue 1.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77</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91.</w:t>
      </w:r>
    </w:p>
    <w:p w14:paraId="6641CD0A"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Marmora, P. Currency substitution in the shadow economy: International panel evidence using local Bitcoin trade volume / P. Marmora. // Economics Letters, 2021.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№205, 109926.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 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6.</w:t>
      </w:r>
    </w:p>
    <w:p w14:paraId="0563D4B9"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Marqués, A.I. Ranking-based MCDM models in financial management applications: analysis and emerging challenges / A.I. Marqués, V. García, J.S. Sánchez. // Progress in Artificial Intelligence, 2020.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№9.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171–193. </w:t>
      </w:r>
    </w:p>
    <w:p w14:paraId="61E479BF"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McCarthy, M. The Market Reaction to Trump's Trade War / M. McCarthy. // Honors Theses and Capstones, 2019.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№447.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47.</w:t>
      </w:r>
    </w:p>
    <w:p w14:paraId="151F8B9A"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McCrary, S.A.  How to create and manage a hedge fund: a professional’s guide / S.A.  McCrary.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John Wiley &amp; Sons, Inc., Hoboken, New Jersey, 2008.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P.384.</w:t>
      </w:r>
    </w:p>
    <w:p w14:paraId="763B460B"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McCrow, T. Schumpeter's Business Cycles as Business History / T. McCrow. // Business History Review, 2006.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Volume 80.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Issue 2.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P.231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261. </w:t>
      </w:r>
    </w:p>
    <w:p w14:paraId="5AFB0F8D"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Meng, Y. A hybrid heterogeneous Pythagorean fuzzy group decision modelling for crowdfunding development process pathways of fintech-based clean energy investment projects / Y. Meng, H. Wu, W. Zhao, W. Chen [et al.] // Financial Innovation, 2021.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7(1).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34.</w:t>
      </w:r>
    </w:p>
    <w:p w14:paraId="6C90824A"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Merton, R. A simple model of capital market equilibrium with incomplete information / R. Merton. // Journal of Finance, 2007.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№42.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483–510.</w:t>
      </w:r>
    </w:p>
    <w:p w14:paraId="7EE34A90"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Merton, R. On the pricing of corporate debt. The risk structure of interest rates / R. Merton. // Journal of Finance, 1974.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№29.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449</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470.</w:t>
      </w:r>
    </w:p>
    <w:p w14:paraId="70B075EA"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Meynkhard, A. Energy Efficient Development Model for Regions of the Russian Federation: Evidence of Crypto Mining / A. Meynkhard. // International Journal of Energy Economics and Policy, 2019.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9(4).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16</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21. </w:t>
      </w:r>
    </w:p>
    <w:p w14:paraId="3CA878BC"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Meynkhard, A. Fair market value of bitcoin: halving effect / A. Meynkhard. // Investment Management and Financial Innovations, 2019.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Volume 16(4).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72</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85. </w:t>
      </w:r>
    </w:p>
    <w:p w14:paraId="262C9F56"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Mikhaylov, A. Integrated decision recommendation system using iteration-enhanced collaborative filtering, golden cut bipolar for analyzing the risk-based oil market spillovers / A. Mikhaylov, I.M. Bhatti, H. Dinçer [et al.] // Computational Economics, 2022.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10.</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 ISSN: 0927-7099.</w:t>
      </w:r>
    </w:p>
    <w:p w14:paraId="18E97452"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Mikhaylov, A. Oil and Gas Budget Revenues in Russia after Crisis in 2015 / A. Mikhaylov. // International Journal of Energy Economics and Policy, 2019.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9.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Issue 2.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375</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380. </w:t>
      </w:r>
    </w:p>
    <w:p w14:paraId="4F202B9B"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Mikhaylov, A. Volatility spillover effect between stock and exchange rate in oil exporting countries / A. Mikhaylov. // International Journal of Energy Economics and Policy, 2018.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8.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Issue 3.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321–326. </w:t>
      </w:r>
    </w:p>
    <w:p w14:paraId="2035AD88"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Miller, M. Financial Innovation: The Last Twenty Years and the Next / M. Miller. // Journal of Financial and Quantitative Analysis, 1986.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21.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Issue 4. </w:t>
      </w:r>
      <w:r w:rsidRPr="003B10E2">
        <w:rPr>
          <w:rFonts w:ascii="Times New Roman" w:eastAsia="Times New Roman" w:hAnsi="Times New Roman"/>
          <w:iCs/>
          <w:color w:val="000000"/>
          <w:sz w:val="28"/>
          <w:szCs w:val="28"/>
          <w:lang w:val="en-US" w:eastAsia="ar-SA"/>
        </w:rPr>
        <w:t>– P. </w:t>
      </w:r>
      <w:r w:rsidRPr="003B10E2">
        <w:rPr>
          <w:rFonts w:ascii="Times New Roman" w:eastAsia="Times New Roman" w:hAnsi="Times New Roman"/>
          <w:color w:val="000000"/>
          <w:sz w:val="28"/>
          <w:szCs w:val="28"/>
          <w:lang w:val="en-US" w:eastAsia="ar-SA"/>
        </w:rPr>
        <w:t>459</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471.</w:t>
      </w:r>
    </w:p>
    <w:p w14:paraId="464EF42D"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Minsky, H.P. The Financial Instability Hypothesis / H.P. Minsky. // The Jerome Levy Economics Institute of Bard College. Working Paper № 74, 1999.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10.</w:t>
      </w:r>
    </w:p>
    <w:p w14:paraId="5DFA3DE9" w14:textId="77777777" w:rsidR="00F769DA" w:rsidRPr="003B10E2" w:rsidRDefault="00F769DA" w:rsidP="00034948">
      <w:pPr>
        <w:pStyle w:val="aff8"/>
        <w:numPr>
          <w:ilvl w:val="0"/>
          <w:numId w:val="17"/>
        </w:numPr>
        <w:spacing w:after="0" w:line="360" w:lineRule="auto"/>
        <w:ind w:left="0" w:firstLine="709"/>
        <w:jc w:val="both"/>
        <w:rPr>
          <w:rFonts w:ascii="Times New Roman" w:hAnsi="Times New Roman"/>
          <w:sz w:val="28"/>
          <w:szCs w:val="28"/>
          <w:lang w:val="en-US"/>
        </w:rPr>
      </w:pPr>
      <w:r w:rsidRPr="003B10E2">
        <w:rPr>
          <w:rFonts w:ascii="Times New Roman" w:hAnsi="Times New Roman"/>
          <w:sz w:val="28"/>
          <w:szCs w:val="28"/>
          <w:lang w:val="en-US"/>
        </w:rPr>
        <w:t>Minton, B.A. The impact of cash flow volatility on discretionary investment and the costs of debt and equity financing / B. A. Minton, C. Schrand. // Journal of Financial Economics, 1990. – Volume 54. – Issue 3. – P.423–460.</w:t>
      </w:r>
    </w:p>
    <w:p w14:paraId="6425EC22"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Mišić, J. Performance of Bitcoin network with synchronizing nodes and a mix of regular and compact blocks / J. Mišić, V. B. Mišić, X. Chang. // IEEE Transactions on Network Science and Engineering, 2020. </w:t>
      </w:r>
      <w:r w:rsidRPr="003B10E2">
        <w:rPr>
          <w:rFonts w:ascii="Times New Roman" w:hAnsi="Times New Roman"/>
          <w:sz w:val="28"/>
          <w:szCs w:val="28"/>
          <w:lang w:val="en-US"/>
        </w:rPr>
        <w:t xml:space="preserve">– </w:t>
      </w:r>
      <w:r w:rsidRPr="003B10E2">
        <w:rPr>
          <w:rFonts w:ascii="Times New Roman" w:eastAsia="Times New Roman" w:hAnsi="Times New Roman"/>
          <w:color w:val="000000"/>
          <w:sz w:val="28"/>
          <w:szCs w:val="28"/>
          <w:lang w:val="en-US" w:eastAsia="ar-SA"/>
        </w:rPr>
        <w:t xml:space="preserve">Volume 7(4).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3135</w:t>
      </w:r>
      <w:r w:rsidRPr="003B10E2">
        <w:rPr>
          <w:rFonts w:ascii="Times New Roman" w:hAnsi="Times New Roman"/>
          <w:sz w:val="28"/>
          <w:szCs w:val="28"/>
          <w:lang w:val="en-US"/>
        </w:rPr>
        <w:t>–</w:t>
      </w:r>
      <w:r w:rsidRPr="003B10E2">
        <w:rPr>
          <w:rFonts w:ascii="Times New Roman" w:eastAsia="Times New Roman" w:hAnsi="Times New Roman"/>
          <w:color w:val="000000"/>
          <w:sz w:val="28"/>
          <w:szCs w:val="28"/>
          <w:lang w:val="en-US" w:eastAsia="ar-SA"/>
        </w:rPr>
        <w:t>3147.</w:t>
      </w:r>
    </w:p>
    <w:p w14:paraId="1DE0C20D"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Moorman, C. Organizing for marketing excellence / C. Moorman, G.S. Day. // Journal of Marketing, 2016. </w:t>
      </w:r>
      <w:r w:rsidRPr="003B10E2">
        <w:rPr>
          <w:rFonts w:ascii="Times New Roman" w:hAnsi="Times New Roman"/>
          <w:sz w:val="28"/>
          <w:szCs w:val="28"/>
          <w:lang w:val="en-US"/>
        </w:rPr>
        <w:t xml:space="preserve">– </w:t>
      </w:r>
      <w:r w:rsidRPr="003B10E2">
        <w:rPr>
          <w:rFonts w:ascii="Times New Roman" w:eastAsia="Times New Roman" w:hAnsi="Times New Roman"/>
          <w:color w:val="000000"/>
          <w:sz w:val="28"/>
          <w:szCs w:val="28"/>
          <w:lang w:val="en-US" w:eastAsia="ar-SA"/>
        </w:rPr>
        <w:t xml:space="preserve">Volume 80(6).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6–35.</w:t>
      </w:r>
    </w:p>
    <w:p w14:paraId="52811D33"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Mork, K.A. Macroeconomic responses to oil price increases and decreases in seven OECD countries / K.A. Mork, Ø. Olsen, H.T. Mysen. // Energy Journal, 1994.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Volume 15(4).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19–35.</w:t>
      </w:r>
    </w:p>
    <w:p w14:paraId="3E4A1B5F"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Murphy, P.J. Firm culture and performance: intensity’s effects and limits / P.J. Murphy, R.A. Cooke, Y. Lopez. // Management Decision, 2013. – Volume 51. – P.661–679. – ISSN: 0025-1747.</w:t>
      </w:r>
    </w:p>
    <w:p w14:paraId="3C08F04A"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Nadal, R. Time-varying impacts of demand and supply oil shocks on correlations between crude oil prices and stock markets indices / R. Nadal, A. Szklo, A. Lucena. // Research in International Business and Finance, 2017.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42.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1011–1020. </w:t>
      </w:r>
    </w:p>
    <w:p w14:paraId="3DF72C7C"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Naifar, N. Nonlinear analysis among crude oil prices, stock markets’ return and macroeconomic variables / N. Naifar, M.S. Al Dohaiman. // International Review of Economics &amp; Finance, 2013.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27.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416–431.</w:t>
      </w:r>
    </w:p>
    <w:p w14:paraId="4E727693"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Nakajima, J. Bayesian analysis of time-varying parameter vector autoregressive model for the Japanese economy and monetary policy / J. Nakajima, M. Kasuya, T. Watanabe. // Journal of the Japanese and International Economies, 2011.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Volume 25(3).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225–245.</w:t>
      </w:r>
    </w:p>
    <w:p w14:paraId="183BC3F7"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Nakhate, S. B. The Effect of Coronavirus on E Commerce / S. B. Nakhate, N. Jain. // Studies in Indian Place Names, 2020.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40(68).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516</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518.</w:t>
      </w:r>
    </w:p>
    <w:p w14:paraId="47D9970C"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Nezami, M. Shareholder wealth implications of software firms’ transition to cloud computing: a marketing perspective / M. Nezami, K. R. Tuli, S. Dutta. // Journal of the Academy of Marketing Science, 2022. – Volume 50(3). – P.</w:t>
      </w:r>
      <w:r w:rsidRPr="003B10E2">
        <w:rPr>
          <w:rFonts w:ascii="Times New Roman" w:hAnsi="Times New Roman"/>
          <w:sz w:val="28"/>
          <w:szCs w:val="28"/>
          <w:lang w:val="en-US"/>
        </w:rPr>
        <w:t xml:space="preserve"> </w:t>
      </w:r>
      <w:r w:rsidRPr="003B10E2">
        <w:rPr>
          <w:rFonts w:ascii="Times New Roman" w:eastAsia="Times New Roman" w:hAnsi="Times New Roman"/>
          <w:iCs/>
          <w:color w:val="000000"/>
          <w:sz w:val="28"/>
          <w:szCs w:val="28"/>
          <w:lang w:val="en-US" w:eastAsia="ar-SA"/>
        </w:rPr>
        <w:t>538–562.</w:t>
      </w:r>
    </w:p>
    <w:p w14:paraId="018489AB"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 xml:space="preserve">Niftiyev, I. The De-industrialization Process In Azerbaijan: Dutch Disease Syndrome Revisited / I. Niftiyev. // Proceedings of the 4th Central European PhD Workshop on Technological Change and Development. University of Szeged, Doctoral School in Economics, Szeged, 2020. – P.357–396. </w:t>
      </w:r>
    </w:p>
    <w:p w14:paraId="54A22496"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 xml:space="preserve">Niftiyev, I. University of Szeged Dutch Disease Effects in the Azerbaijan Economy: Results of Multivariate Linear Ordinary Least Squares (OLS) Estimations / I. Niftiyev. // HSE Economic Journal, 2021. – Volume 25. – №2. – P.309–346. </w:t>
      </w:r>
    </w:p>
    <w:p w14:paraId="6B626290"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O’Mahony, S. From proprietary to collective governance: How do platform participation strategies evolve? / S. O’Mahony, R. Karp. // Strategic Management Journal, 2022.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43.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Issue 3.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P.530</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562.</w:t>
      </w:r>
    </w:p>
    <w:p w14:paraId="386C0BF9"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Oberfield, E. A Theory of Input-Output Architecture / E. Oberfield. // Econometrica, 2018.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86(2).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 559</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589. </w:t>
      </w:r>
    </w:p>
    <w:p w14:paraId="24142B65"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 xml:space="preserve">Obstfeld, M. Does the Current Account Still Matter? / M. Obstfeld. // American Economic Review, American Economic Association, 2012. – </w:t>
      </w:r>
      <w:r w:rsidRPr="003B10E2">
        <w:rPr>
          <w:rFonts w:ascii="Times New Roman" w:eastAsia="Times New Roman" w:hAnsi="Times New Roman"/>
          <w:color w:val="000000"/>
          <w:sz w:val="28"/>
          <w:szCs w:val="28"/>
          <w:lang w:val="en-US" w:eastAsia="ar-SA"/>
        </w:rPr>
        <w:t xml:space="preserve">Volume </w:t>
      </w:r>
      <w:r w:rsidRPr="003B10E2">
        <w:rPr>
          <w:rFonts w:ascii="Times New Roman" w:eastAsia="Times New Roman" w:hAnsi="Times New Roman"/>
          <w:iCs/>
          <w:color w:val="000000"/>
          <w:sz w:val="28"/>
          <w:szCs w:val="28"/>
          <w:lang w:val="en-US" w:eastAsia="ar-SA"/>
        </w:rPr>
        <w:t>102(3). – P.</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iCs/>
          <w:color w:val="000000"/>
          <w:sz w:val="28"/>
          <w:szCs w:val="28"/>
          <w:lang w:val="en-US" w:eastAsia="ar-SA"/>
        </w:rPr>
        <w:t>1–23.</w:t>
      </w:r>
    </w:p>
    <w:p w14:paraId="34D196A9"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 xml:space="preserve">Obstfeld, M. International Monetary Relations: Taking Finance Seriously / M. Obstfeld, A. Taylor.  // Journal of Economic Perspectives. American Economic Association, 2017. – Volume 31(3). – P.3–28. </w:t>
      </w:r>
    </w:p>
    <w:p w14:paraId="678DAA7B"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Omote, K. Bitcoin and Blockchain Technology / K. Omote, M. Yano. // Blockchain and Crypto Currency, 2020.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129</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136. </w:t>
      </w:r>
    </w:p>
    <w:p w14:paraId="40D22FC3"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 xml:space="preserve">Oxford dictionary. OUP Oxford. </w:t>
      </w:r>
      <w:r w:rsidRPr="003B10E2">
        <w:rPr>
          <w:rFonts w:ascii="Times New Roman" w:eastAsia="Times New Roman" w:hAnsi="Times New Roman"/>
          <w:iCs/>
          <w:sz w:val="28"/>
          <w:szCs w:val="28"/>
          <w:lang w:val="en-US" w:eastAsia="ar-SA"/>
        </w:rPr>
        <w:t xml:space="preserve">– </w:t>
      </w:r>
      <w:r w:rsidRPr="003B10E2">
        <w:rPr>
          <w:rFonts w:ascii="Times New Roman" w:eastAsia="Times New Roman" w:hAnsi="Times New Roman"/>
          <w:sz w:val="28"/>
          <w:szCs w:val="28"/>
          <w:lang w:val="en-US" w:eastAsia="ar-SA"/>
        </w:rPr>
        <w:t xml:space="preserve">3 ed. </w:t>
      </w:r>
      <w:r w:rsidRPr="003B10E2">
        <w:rPr>
          <w:rFonts w:ascii="Times New Roman" w:eastAsia="Times New Roman" w:hAnsi="Times New Roman"/>
          <w:iCs/>
          <w:sz w:val="28"/>
          <w:szCs w:val="28"/>
          <w:lang w:val="en-US" w:eastAsia="ar-SA"/>
        </w:rPr>
        <w:t>– 2010. –</w:t>
      </w:r>
      <w:r w:rsidRPr="003B10E2">
        <w:rPr>
          <w:rFonts w:ascii="Times New Roman" w:eastAsia="Times New Roman" w:hAnsi="Times New Roman"/>
          <w:sz w:val="28"/>
          <w:szCs w:val="28"/>
          <w:lang w:val="en-US" w:eastAsia="ar-SA"/>
        </w:rPr>
        <w:t xml:space="preserve"> URL: https://en.oxforddictionaries.com/definition/structure (</w:t>
      </w:r>
      <w:r w:rsidRPr="003B10E2">
        <w:rPr>
          <w:rFonts w:ascii="Times New Roman" w:eastAsia="Times New Roman" w:hAnsi="Times New Roman"/>
          <w:sz w:val="28"/>
          <w:szCs w:val="28"/>
          <w:lang w:eastAsia="ar-SA"/>
        </w:rPr>
        <w:t>дата</w:t>
      </w:r>
      <w:r w:rsidRPr="003B10E2">
        <w:rPr>
          <w:rFonts w:ascii="Times New Roman" w:eastAsia="Times New Roman" w:hAnsi="Times New Roman"/>
          <w:sz w:val="28"/>
          <w:szCs w:val="28"/>
          <w:lang w:val="en-US" w:eastAsia="ar-SA"/>
        </w:rPr>
        <w:t xml:space="preserve"> </w:t>
      </w:r>
      <w:r w:rsidRPr="003B10E2">
        <w:rPr>
          <w:rFonts w:ascii="Times New Roman" w:eastAsia="Times New Roman" w:hAnsi="Times New Roman"/>
          <w:sz w:val="28"/>
          <w:szCs w:val="28"/>
          <w:lang w:eastAsia="ar-SA"/>
        </w:rPr>
        <w:t>обращения</w:t>
      </w:r>
      <w:r w:rsidRPr="003B10E2">
        <w:rPr>
          <w:rFonts w:ascii="Times New Roman" w:eastAsia="Times New Roman" w:hAnsi="Times New Roman"/>
          <w:sz w:val="28"/>
          <w:szCs w:val="28"/>
          <w:lang w:val="en-US" w:eastAsia="ar-SA"/>
        </w:rPr>
        <w:t xml:space="preserve">: 05.05.2022). </w:t>
      </w:r>
      <w:r w:rsidRPr="003B10E2">
        <w:rPr>
          <w:rFonts w:ascii="Times New Roman" w:eastAsia="Times New Roman" w:hAnsi="Times New Roman"/>
          <w:iCs/>
          <w:sz w:val="28"/>
          <w:szCs w:val="28"/>
          <w:lang w:val="en-US" w:eastAsia="ar-SA"/>
        </w:rPr>
        <w:t>–</w:t>
      </w:r>
      <w:r w:rsidRPr="003B10E2">
        <w:rPr>
          <w:rFonts w:ascii="Times New Roman" w:eastAsia="Times New Roman" w:hAnsi="Times New Roman"/>
          <w:sz w:val="28"/>
          <w:szCs w:val="28"/>
          <w:lang w:val="en-US" w:eastAsia="ar-SA"/>
        </w:rPr>
        <w:t xml:space="preserve"> </w:t>
      </w:r>
      <w:r w:rsidRPr="003B10E2">
        <w:rPr>
          <w:rFonts w:ascii="Times New Roman" w:eastAsia="Times New Roman" w:hAnsi="Times New Roman"/>
          <w:sz w:val="28"/>
          <w:szCs w:val="28"/>
          <w:lang w:eastAsia="ar-SA"/>
        </w:rPr>
        <w:t>Текст</w:t>
      </w:r>
      <w:r w:rsidRPr="003B10E2">
        <w:rPr>
          <w:rFonts w:ascii="Times New Roman" w:eastAsia="Times New Roman" w:hAnsi="Times New Roman"/>
          <w:sz w:val="28"/>
          <w:szCs w:val="28"/>
          <w:lang w:val="en-US" w:eastAsia="ar-SA"/>
        </w:rPr>
        <w:t xml:space="preserve">: </w:t>
      </w:r>
      <w:r w:rsidRPr="003B10E2">
        <w:rPr>
          <w:rFonts w:ascii="Times New Roman" w:eastAsia="Times New Roman" w:hAnsi="Times New Roman"/>
          <w:sz w:val="28"/>
          <w:szCs w:val="28"/>
          <w:lang w:eastAsia="ar-SA"/>
        </w:rPr>
        <w:t>электронный</w:t>
      </w:r>
      <w:r w:rsidRPr="003B10E2">
        <w:rPr>
          <w:rFonts w:ascii="Times New Roman" w:eastAsia="Times New Roman" w:hAnsi="Times New Roman"/>
          <w:sz w:val="28"/>
          <w:szCs w:val="28"/>
          <w:lang w:val="en-US" w:eastAsia="ar-SA"/>
        </w:rPr>
        <w:t>.</w:t>
      </w:r>
    </w:p>
    <w:p w14:paraId="5A7F2813"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iCs/>
          <w:color w:val="FF0000"/>
          <w:sz w:val="28"/>
          <w:szCs w:val="28"/>
          <w:lang w:val="en-US" w:eastAsia="ar-SA"/>
        </w:rPr>
        <w:t xml:space="preserve"> </w:t>
      </w:r>
      <w:r w:rsidRPr="003B10E2">
        <w:rPr>
          <w:rFonts w:ascii="Times New Roman" w:eastAsia="Times New Roman" w:hAnsi="Times New Roman"/>
          <w:iCs/>
          <w:sz w:val="28"/>
          <w:szCs w:val="28"/>
          <w:lang w:val="en-US" w:eastAsia="ar-SA"/>
        </w:rPr>
        <w:t xml:space="preserve">Oxford Economics. Global macro data. – 2022. – URL: </w:t>
      </w:r>
      <w:hyperlink r:id="rId143" w:history="1">
        <w:r w:rsidRPr="003B10E2">
          <w:rPr>
            <w:rStyle w:val="af"/>
            <w:rFonts w:ascii="Times New Roman" w:eastAsia="Times New Roman" w:hAnsi="Times New Roman"/>
            <w:iCs/>
            <w:color w:val="auto"/>
            <w:sz w:val="28"/>
            <w:szCs w:val="28"/>
            <w:u w:val="none"/>
            <w:lang w:val="en-US" w:eastAsia="ar-SA"/>
          </w:rPr>
          <w:t>https://www.oxfordeconomics.com/data-sets</w:t>
        </w:r>
      </w:hyperlink>
      <w:r w:rsidRPr="003B10E2">
        <w:rPr>
          <w:rFonts w:ascii="Times New Roman" w:eastAsia="Times New Roman" w:hAnsi="Times New Roman"/>
          <w:iCs/>
          <w:sz w:val="28"/>
          <w:szCs w:val="28"/>
          <w:lang w:val="en-US" w:eastAsia="ar-SA"/>
        </w:rPr>
        <w:t xml:space="preserve"> </w:t>
      </w:r>
      <w:r w:rsidRPr="003B10E2">
        <w:rPr>
          <w:rFonts w:ascii="Times New Roman" w:eastAsia="Times New Roman" w:hAnsi="Times New Roman"/>
          <w:sz w:val="28"/>
          <w:szCs w:val="28"/>
          <w:lang w:val="en-US" w:eastAsia="ar-SA"/>
        </w:rPr>
        <w:t>(</w:t>
      </w:r>
      <w:r w:rsidRPr="003B10E2">
        <w:rPr>
          <w:rFonts w:ascii="Times New Roman" w:eastAsia="Times New Roman" w:hAnsi="Times New Roman"/>
          <w:sz w:val="28"/>
          <w:szCs w:val="28"/>
          <w:lang w:eastAsia="ar-SA"/>
        </w:rPr>
        <w:t>дата</w:t>
      </w:r>
      <w:r w:rsidRPr="003B10E2">
        <w:rPr>
          <w:rFonts w:ascii="Times New Roman" w:eastAsia="Times New Roman" w:hAnsi="Times New Roman"/>
          <w:sz w:val="28"/>
          <w:szCs w:val="28"/>
          <w:lang w:val="en-US" w:eastAsia="ar-SA"/>
        </w:rPr>
        <w:t xml:space="preserve"> </w:t>
      </w:r>
      <w:r w:rsidRPr="003B10E2">
        <w:rPr>
          <w:rFonts w:ascii="Times New Roman" w:eastAsia="Times New Roman" w:hAnsi="Times New Roman"/>
          <w:sz w:val="28"/>
          <w:szCs w:val="28"/>
          <w:lang w:eastAsia="ar-SA"/>
        </w:rPr>
        <w:t>обращения</w:t>
      </w:r>
      <w:r w:rsidRPr="003B10E2">
        <w:rPr>
          <w:rFonts w:ascii="Times New Roman" w:eastAsia="Times New Roman" w:hAnsi="Times New Roman"/>
          <w:sz w:val="28"/>
          <w:szCs w:val="28"/>
          <w:lang w:val="en-US" w:eastAsia="ar-SA"/>
        </w:rPr>
        <w:t xml:space="preserve">: 12.05.2022). </w:t>
      </w:r>
      <w:r w:rsidRPr="003B10E2">
        <w:rPr>
          <w:rFonts w:ascii="Times New Roman" w:eastAsia="Times New Roman" w:hAnsi="Times New Roman"/>
          <w:iCs/>
          <w:sz w:val="28"/>
          <w:szCs w:val="28"/>
          <w:lang w:val="en-US" w:eastAsia="ar-SA"/>
        </w:rPr>
        <w:t>–</w:t>
      </w:r>
      <w:r w:rsidRPr="003B10E2">
        <w:rPr>
          <w:rFonts w:ascii="Times New Roman" w:eastAsia="Times New Roman" w:hAnsi="Times New Roman"/>
          <w:sz w:val="28"/>
          <w:szCs w:val="28"/>
          <w:lang w:val="en-US" w:eastAsia="ar-SA"/>
        </w:rPr>
        <w:t xml:space="preserve"> </w:t>
      </w:r>
      <w:r w:rsidRPr="003B10E2">
        <w:rPr>
          <w:rFonts w:ascii="Times New Roman" w:eastAsia="Times New Roman" w:hAnsi="Times New Roman"/>
          <w:sz w:val="28"/>
          <w:szCs w:val="28"/>
          <w:lang w:eastAsia="ar-SA"/>
        </w:rPr>
        <w:t>Текст</w:t>
      </w:r>
      <w:r w:rsidRPr="003B10E2">
        <w:rPr>
          <w:rFonts w:ascii="Times New Roman" w:eastAsia="Times New Roman" w:hAnsi="Times New Roman"/>
          <w:sz w:val="28"/>
          <w:szCs w:val="28"/>
          <w:lang w:val="en-US" w:eastAsia="ar-SA"/>
        </w:rPr>
        <w:t xml:space="preserve">: </w:t>
      </w:r>
      <w:r w:rsidRPr="003B10E2">
        <w:rPr>
          <w:rFonts w:ascii="Times New Roman" w:eastAsia="Times New Roman" w:hAnsi="Times New Roman"/>
          <w:sz w:val="28"/>
          <w:szCs w:val="28"/>
          <w:lang w:eastAsia="ar-SA"/>
        </w:rPr>
        <w:t>электронный</w:t>
      </w:r>
      <w:r w:rsidRPr="003B10E2">
        <w:rPr>
          <w:rFonts w:ascii="Times New Roman" w:eastAsia="Times New Roman" w:hAnsi="Times New Roman"/>
          <w:sz w:val="28"/>
          <w:szCs w:val="28"/>
          <w:lang w:val="en-US" w:eastAsia="ar-SA"/>
        </w:rPr>
        <w:t>.</w:t>
      </w:r>
    </w:p>
    <w:p w14:paraId="5B3151BE"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Ozgur, O. Machiine learning approach to drivers of bank lending: evidence from an emerging economy / O. Ozgur, E.T. Karagol, F.C. Ozbugday. // Financial Innovation, 2021.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7(20).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1–29. </w:t>
      </w:r>
    </w:p>
    <w:p w14:paraId="0E19D4FF"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Pagnotta, E. Decentralizing Money: Bitcoin Prices and Blockchain Security / E. Pagnotta. // Review of Financial Studies, 2022.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Volume 35.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Issue 2.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P.866–907.</w:t>
      </w:r>
    </w:p>
    <w:p w14:paraId="100CEE7E"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 xml:space="preserve">Pan, W-F. Measuring Economic Uncertainty in China / W-F. Pan, X. Wang, S. Wang. // Emerging Markets Finance and Trade, 2022. – </w:t>
      </w:r>
      <w:r w:rsidRPr="003B10E2">
        <w:rPr>
          <w:rFonts w:ascii="Times New Roman" w:eastAsia="Times New Roman" w:hAnsi="Times New Roman"/>
          <w:color w:val="000000"/>
          <w:sz w:val="28"/>
          <w:szCs w:val="28"/>
          <w:lang w:val="en-US" w:eastAsia="ar-SA"/>
        </w:rPr>
        <w:t>Volume</w:t>
      </w:r>
      <w:r w:rsidRPr="003B10E2">
        <w:rPr>
          <w:rFonts w:ascii="Times New Roman" w:eastAsia="Times New Roman" w:hAnsi="Times New Roman"/>
          <w:iCs/>
          <w:color w:val="000000"/>
          <w:sz w:val="28"/>
          <w:szCs w:val="28"/>
          <w:lang w:val="en-US" w:eastAsia="ar-SA"/>
        </w:rPr>
        <w:t xml:space="preserve"> 58. – Issue 5. – P.1359–1389.</w:t>
      </w:r>
    </w:p>
    <w:p w14:paraId="5B25FF8F"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Pandey, A. Factors Affecting Consumer's Online Shopping Buying Behavior / A. Pandey, J. Parmar. // In Proceedings of 10th International Conference on Digital Strategies for Organizational Success, 2019.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P.8.</w:t>
      </w:r>
    </w:p>
    <w:p w14:paraId="5BC9FC18"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Parino, F. Analysis of the Bitcoin blockchain: socio-economic factors behind the adoption / F. Parino, M.G. Beiro, L. Gauvin. // EPJ Data Science, 2018.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№7(38).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P. 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23.</w:t>
      </w:r>
    </w:p>
    <w:p w14:paraId="6ED91B2E"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Park, H. Digital innovation adoption and its economic impact focused on path analysis at national level / H. Park, S.O. Choi. // Journal of Open Innovation: Technology, Market, and Complexity, 2019.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5.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Issue 3.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 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21.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ISSN 2199-8531.</w:t>
      </w:r>
    </w:p>
    <w:p w14:paraId="19F49439"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Park, J. Oil price shocks and stock markets in the U.S. and 13 European countries / J. Park, R.A. Ratti. // Energy Economics, 2008.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30(5).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2587–2608. </w:t>
      </w:r>
    </w:p>
    <w:p w14:paraId="56E70062"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Peng, Y. Analysing financial contagion and asymmetric market dependence with volatility indices via copulas / Y. Peng, W.L. Ng. // Annals of Finance, 2012.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8.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Issue 1.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49</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74.</w:t>
      </w:r>
    </w:p>
    <w:p w14:paraId="770699D9"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 xml:space="preserve">Perez, C. Finance and Technical'Change: A Neo-Schumpeterian Perspective / C. Perez. // CERF Working Paper № 14, 2004. </w:t>
      </w:r>
      <w:r w:rsidRPr="003B10E2">
        <w:rPr>
          <w:rFonts w:ascii="Times New Roman" w:eastAsia="Times New Roman" w:hAnsi="Times New Roman"/>
          <w:iCs/>
          <w:sz w:val="28"/>
          <w:szCs w:val="28"/>
          <w:lang w:val="en-US" w:eastAsia="ar-SA"/>
        </w:rPr>
        <w:t>– P.1–23.</w:t>
      </w:r>
    </w:p>
    <w:p w14:paraId="53490966"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Petrick, M. A Microeconometric Analysis of Credit Rationing in the Polish farm sector / M. Petrick. // European Review of Agricultural Economics, 2004.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Volume 31.</w:t>
      </w:r>
    </w:p>
    <w:p w14:paraId="33FA79BA"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FF0000"/>
          <w:sz w:val="28"/>
          <w:szCs w:val="28"/>
          <w:lang w:val="en-US" w:eastAsia="ar-SA"/>
        </w:rPr>
      </w:pPr>
      <w:r w:rsidRPr="003B10E2">
        <w:rPr>
          <w:rFonts w:ascii="Times New Roman" w:eastAsia="Times New Roman" w:hAnsi="Times New Roman"/>
          <w:sz w:val="28"/>
          <w:szCs w:val="28"/>
          <w:lang w:val="en-US" w:eastAsia="ar-SA"/>
        </w:rPr>
        <w:t>Petrick, M. Farm Investment, Credit Rationing, and Public Credit Policy in Poland: A Microeconometric Analysis / M. Petrick. // LAMO Discussion Paper № 14872, 2002.</w:t>
      </w:r>
      <w:r w:rsidRPr="003B10E2">
        <w:rPr>
          <w:rFonts w:ascii="Times New Roman" w:eastAsia="Times New Roman" w:hAnsi="Times New Roman"/>
          <w:iCs/>
          <w:sz w:val="28"/>
          <w:szCs w:val="28"/>
          <w:lang w:val="en-US" w:eastAsia="ar-SA"/>
        </w:rPr>
        <w:t xml:space="preserve"> – P.1–14.</w:t>
      </w:r>
    </w:p>
    <w:p w14:paraId="2B1CAF16"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Pinar, A. A q-rung orthopair fuzzy multi-criteria group decision making method for supplier selection based on a novel distance measure / A. Pinar, F.E. Boran. // International Journal of Machine Learning and Cybernetics, 2020.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11.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P.1749–1780.</w:t>
      </w:r>
    </w:p>
    <w:p w14:paraId="0675A2A8"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Plosser, C. Money and Business Cycles: A Real Business Interpretation / C. Plosser. // From Monetary Policy on the 75th Anniversary of the Federal Reserve System, edited by Michael T. Belongia.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Norwell, MA: Kluwer Academic Publishers, 1990.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 245</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274.</w:t>
      </w:r>
    </w:p>
    <w:p w14:paraId="69EDBB54"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Polyzos, S. Economic stimulus through bank regulation: government responses to the COVID-19 crisis / S. Polyzos, A. Samitas, I.  Kampouris. // Journal of International Financial Markets, Institutions and Money, 2021.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75.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P.52.</w:t>
      </w:r>
    </w:p>
    <w:p w14:paraId="60387D79"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Poon, J. The role of skills in Islamic financial innovation: Evidence from Bahrain and Malaysia / J. Poon, Y.W. Chow, M. Ewers, R. Ramli. // Journal of Open Innovation: Technology, Market, and Complexity, 2020.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6(3).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P.47. </w:t>
      </w:r>
    </w:p>
    <w:p w14:paraId="723283BD"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Portes A. (2011). Social capital: Its origins and application in modern sociology Zhongguo jiaoyu huangpishu (Yellow Book on Education in China). Hubei Jiaoyu Chubanshe. 367 p.</w:t>
      </w:r>
    </w:p>
    <w:p w14:paraId="16F4E25F"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Povolna, L. Innovation strategy in small and medium size enterprises (SMEs) in the context of growth and recession indicators / L. Povolna. // Journal of Open Innovation: Technology, Market, and Complexity, 2019.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5(2).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P.32.</w:t>
      </w:r>
    </w:p>
    <w:p w14:paraId="4B9D21F7"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Primiceri, G.E. Time varying structural vector autoregressions and monetary policy / G.E. Primiceri. // The Review of Economic Studies, 2005.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72(3).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821–852.</w:t>
      </w:r>
    </w:p>
    <w:p w14:paraId="662CD732"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Qian M. The role of the Russian language in the professional training of specialists for the implementation of the Belt and Road Initiative / N. Romanenko, M. Qian, P. Weiqiao // Journal of Language and Linguistic Studies. – 2021. – T.17. – № 2. – C.1359-1378.</w:t>
      </w:r>
    </w:p>
    <w:p w14:paraId="61488A87"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Rajan, M.P. Kalman filter and financial time series analysis / M.P. Rajan, J. Mathew. // In book: Eco-friendly Computing and Communication Systems.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Berlin: Springer, 2012.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P.339</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351.</w:t>
      </w:r>
    </w:p>
    <w:p w14:paraId="36F7566D"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Ramey, G. Cross-Country Evidence on the Link between Volatility and Growth / G. Ramey, V. Ramey. // American Economic Review, 1995.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Volume 85.</w:t>
      </w:r>
      <w:r w:rsidRPr="003B10E2">
        <w:rPr>
          <w:rFonts w:ascii="Times New Roman" w:eastAsia="Times New Roman" w:hAnsi="Times New Roman"/>
          <w:iCs/>
          <w:color w:val="000000"/>
          <w:sz w:val="28"/>
          <w:szCs w:val="28"/>
          <w:lang w:val="en-US" w:eastAsia="ar-SA"/>
        </w:rPr>
        <w:t xml:space="preserve"> – Issue 5. – P. 1138–1151.</w:t>
      </w:r>
    </w:p>
    <w:p w14:paraId="49BB7754"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Rani, P. Hesitant fuzzy SWARA-complex proportional assessment approach for sustainable supplier selection (HF-SWARA-COPRAS) / P. Rani, A.R. Mishra, R. Krishankumar [et al.] // Symmetry, 2020.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№12(7).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19.</w:t>
      </w:r>
    </w:p>
    <w:p w14:paraId="37DDA24A"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Rauh, J.D. Investment and financing constraints: Evidence from the funding of corporate pension plans / J.D. Rauh. // The Journal of Finance, 2006.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61.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33</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71.</w:t>
      </w:r>
    </w:p>
    <w:p w14:paraId="4CA7C361"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Rauh, J.D. Risk shifting versus risk management: Investment policy in corporate pension plans / J.D. Rauh. // Review of Financial Studies, 2009. Volume 22(7).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2687</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2733.</w:t>
      </w:r>
    </w:p>
    <w:p w14:paraId="5AFF398D"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Rea, J. Mutual Fund Shareholder Activity During U.S. Stock Market Cycles, 1944–95 / J. Rea, R. Marcis. // Perspective, 2006.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2.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 2.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16.</w:t>
      </w:r>
    </w:p>
    <w:p w14:paraId="0C4FC3D9"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Rebelo, S. Real Business Cycle Models: Past, Present and Future // Scandinavian Journal of Economics, 2005.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107(2).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P.217</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238.</w:t>
      </w:r>
    </w:p>
    <w:p w14:paraId="6B190557"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Reboredo, J.C. Wavelet-based evidence of the impact of oil prices on stock returns / J.C. Reboredo, M.A. Rivera-Castro. // International Review of Economics &amp; Finance, 2014.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29.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145–176. </w:t>
      </w:r>
    </w:p>
    <w:p w14:paraId="39EECC92"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Reinhart, C. Banking Crises: An Equal Opportunity Menace / C. Reinhart, K. Rogoff. // Journal of Banking &amp; Finance, Elsevier, 2008.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37(11).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 4557</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4573.</w:t>
      </w:r>
    </w:p>
    <w:p w14:paraId="192AE185"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Rockinger, M. The evolution of stock markets in Central and Eastern Europe / M. Rockinger, G. Urga.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Москва: Рос</w:t>
      </w:r>
      <w:r w:rsidRPr="003B10E2">
        <w:rPr>
          <w:rFonts w:ascii="Times New Roman" w:eastAsia="Times New Roman" w:hAnsi="Times New Roman"/>
          <w:color w:val="000000"/>
          <w:sz w:val="28"/>
          <w:szCs w:val="28"/>
          <w:lang w:eastAsia="ar-SA"/>
        </w:rPr>
        <w:t>ийская</w:t>
      </w:r>
      <w:r w:rsidRPr="003B10E2">
        <w:rPr>
          <w:rFonts w:ascii="Times New Roman" w:eastAsia="Times New Roman" w:hAnsi="Times New Roman"/>
          <w:color w:val="000000"/>
          <w:sz w:val="28"/>
          <w:szCs w:val="28"/>
          <w:lang w:val="en-US" w:eastAsia="ar-SA"/>
        </w:rPr>
        <w:t xml:space="preserve"> эконо</w:t>
      </w:r>
      <w:r w:rsidRPr="003B10E2">
        <w:rPr>
          <w:rFonts w:ascii="Times New Roman" w:eastAsia="Times New Roman" w:hAnsi="Times New Roman"/>
          <w:color w:val="000000"/>
          <w:sz w:val="28"/>
          <w:szCs w:val="28"/>
          <w:lang w:eastAsia="ar-SA"/>
        </w:rPr>
        <w:t>мическая</w:t>
      </w:r>
      <w:r w:rsidRPr="003B10E2">
        <w:rPr>
          <w:rFonts w:ascii="Times New Roman" w:eastAsia="Times New Roman" w:hAnsi="Times New Roman"/>
          <w:color w:val="000000"/>
          <w:sz w:val="28"/>
          <w:szCs w:val="28"/>
          <w:lang w:val="en-US" w:eastAsia="ar-SA"/>
        </w:rPr>
        <w:t xml:space="preserve"> школа, 2000. – 26 с.: ил.; 21 см.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(Working paper / New econ. school; 2000/018).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ISBN 5-8211-0105-0.</w:t>
      </w:r>
    </w:p>
    <w:p w14:paraId="1D1A750C"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Romer, C. Does monetary policy matter? A New Test in the Spirit of Friedman and Schwartz / C. Romer, D. Romer. // NBER Working Paper № 2966, 1989.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42.</w:t>
      </w:r>
    </w:p>
    <w:p w14:paraId="1B091D03"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Rotemberg, J. Liquidity Needs in Economies with Interconnected Financial Obligations / J. Rotemberg. // Journal of Money, Credit &amp; Banking, 2011.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43.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№1.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 81–108.</w:t>
      </w:r>
    </w:p>
    <w:p w14:paraId="47AAB2CA" w14:textId="77777777" w:rsidR="00F769DA" w:rsidRPr="003B10E2" w:rsidRDefault="00F769DA" w:rsidP="00034948">
      <w:pPr>
        <w:pStyle w:val="aff8"/>
        <w:numPr>
          <w:ilvl w:val="0"/>
          <w:numId w:val="17"/>
        </w:numPr>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Roubini, N. Crisis Economics. A Crash Course in the Future of Finance / N. Roubini, S. Mihm. // Penguin Press, 2010.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P.359.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ISBN-10: ‎014311963X.</w:t>
      </w:r>
    </w:p>
    <w:p w14:paraId="7A99B9C9"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Roy, A.S. Forecasting of Indian Stock Market Using Rough Set and Fuzzy-Rough Set Based Models / A.S. Roy, N. Chatterjee. // IETE Technical Review, 2021.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Volume 39.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9.</w:t>
      </w:r>
    </w:p>
    <w:p w14:paraId="76793C04"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Roy, S. Liquidity Adjustment in VaR Model: Evidence from the Indian Debt Market / S. Roy. // Reserve Bank of India Occasional Papers, 2004.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Volume 25.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№1.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P.1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16.</w:t>
      </w:r>
    </w:p>
    <w:p w14:paraId="24006A27"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Sadorsky, P. Oil price shocks and stock market activity / P. Sadorsky. // Energy Economics, 1999.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21(5).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449–469. </w:t>
      </w:r>
    </w:p>
    <w:p w14:paraId="3EF52805"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Saiedi, E. Global drivers of cryptocurrency infrastructure adoption / E. Saiedi, A. Broström, F. Ruiz. // Small Business Economocs, 2020.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57.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353–406.</w:t>
      </w:r>
    </w:p>
    <w:p w14:paraId="5E0D1717"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Samaha, S.A. The role of culture in international relationship marketing / S.A. Samaha, J.T. Beck, R.W. Palmatier. // Journal of Marketing, 2014.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78(5).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78–98.</w:t>
      </w:r>
    </w:p>
    <w:p w14:paraId="373BADF0"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Sarkodie, S.A. Trade volume affects bitcoin energy consumption and carbon footprint / S.A. Sarkodie, M.Y. Ahmed, T. Leirvik. // Finance Research Letters, 2022.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48.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102977.</w:t>
      </w:r>
    </w:p>
    <w:p w14:paraId="078CAF33"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Sarwar, S. Volatility spillovers and hedging: evidence from Asian oil-importing countries / S. Sarwar, R. Khalfaoui, R. Waheed [et al.] // Resources Policy, 2019.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61.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479–488.</w:t>
      </w:r>
    </w:p>
    <w:p w14:paraId="3B29F74B"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Sebastiao, H. Forecasting and trading cryptocurrencies with machine learning under changing market conditions / H. Sebastiao, P. Godinho. // Journal of Financial Innovation, 2021.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7(3).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1–30. </w:t>
      </w:r>
    </w:p>
    <w:p w14:paraId="5400C1D3"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Shahzad, S.J.H. Extreme dependence and risk spillovers between oil and Islamic stock markets / S.J.H. Shahzad, W. Mensi, S. Hammoudeh [et al.] // Emerging Markets Review, 2018.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34.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42–63. </w:t>
      </w:r>
    </w:p>
    <w:p w14:paraId="3C18A3BA"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Shaikh, I. The implied volatility index: is «investor fear gauge» or «forward-looking»? / I. Shaikh, P. Padhi. // Borsa Istanbul Review, 2015.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15(1).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44–52. </w:t>
      </w:r>
    </w:p>
    <w:p w14:paraId="184DFBE0"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Shaikh, Z.A. Forecasting Stock Prices of Companies Producing Solar Panels Using Machine Learning Methods / Z.A. Shaikh, A. Kraikin, A. Mikhaylov [et al.] // Complexity, 2022.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Volume 6.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9.</w:t>
      </w:r>
    </w:p>
    <w:p w14:paraId="02C48A09"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Sharpe, W. A simplified model for portfolio analysis / W. Sharpe. // Management Science, 1963,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9.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277–93.</w:t>
      </w:r>
    </w:p>
    <w:p w14:paraId="48F01D96"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Sharpe, W. Capital asset prices with and without negative holdings / W. Sharpe. // Journal of Finance, 1991.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46.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489–509 </w:t>
      </w:r>
    </w:p>
    <w:p w14:paraId="3EABE4AD"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Sharpe, W. Capital asset prices: A theory of market equilibrium under conditions of risk / W. Sharpe. // Journal of Finance, 1964.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19.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425–42.</w:t>
      </w:r>
    </w:p>
    <w:p w14:paraId="6370A1E1"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Sharpe, W. Corporate Pension Funding Policy / W. Sharpe. // Journal of Financial Economics, 1976.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Volume 3.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183</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93.</w:t>
      </w:r>
    </w:p>
    <w:p w14:paraId="72FF1731"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Shea, P.E. War and Default / P. E. Shea, P. Poast. // Journal of Conflict Resolution, 2018.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62(9).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1876–1904. </w:t>
      </w:r>
    </w:p>
    <w:p w14:paraId="3F29A691"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Shen W. (2018). Transnational research training: Chinese visiting doctoral students overseas and their host supervisors. Higher Education Quarterly. No. 72(3). Pp. 224-236.</w:t>
      </w:r>
    </w:p>
    <w:p w14:paraId="3BE7D494"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Shimomura, K. Competition Among the Big and the Small / K. Shimomura, J-F. Thisse. // ECORE Discussion Paper № 75, 2009.</w:t>
      </w:r>
    </w:p>
    <w:p w14:paraId="47D30BAE"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Shin, Y. Modelling asymmetric cointegration and dynamic multipliers in a nonlinear ardl framework / Y. Shin, B. Yu, M. Greenwood-Nimmo. // In Festschrift in Honor of Peter Schmidt, Springer, 2014.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281–314. </w:t>
      </w:r>
    </w:p>
    <w:p w14:paraId="0673EADB"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Shiryaev, A.N. Statistics of Random Processes. / A.N. Shiryaev, R.S. Liptser.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Berlin, Heidelberg, New York: Springer-Verlag, 2003.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2 ed.</w:t>
      </w:r>
      <w:r w:rsidRPr="003B10E2">
        <w:rPr>
          <w:rFonts w:ascii="Times New Roman" w:eastAsia="Times New Roman" w:hAnsi="Times New Roman"/>
          <w:iCs/>
          <w:color w:val="000000"/>
          <w:sz w:val="28"/>
          <w:szCs w:val="28"/>
          <w:lang w:val="en-US" w:eastAsia="ar-SA"/>
        </w:rPr>
        <w:t xml:space="preserve"> – P.417.</w:t>
      </w:r>
    </w:p>
    <w:p w14:paraId="28058277"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color w:val="000000"/>
          <w:sz w:val="28"/>
          <w:szCs w:val="28"/>
          <w:lang w:val="en-US" w:eastAsia="ar-SA"/>
        </w:rPr>
        <w:t xml:space="preserve">Shleifer, A. Liquidation Values and Debt Capacity: A Market Equilibrium Approach / A. Shleifer, R. Vishny. // Journal of Finance, 1992.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Volume 47(4).</w:t>
      </w:r>
      <w:r w:rsidRPr="003B10E2">
        <w:rPr>
          <w:rFonts w:ascii="Times New Roman" w:eastAsia="Times New Roman" w:hAnsi="Times New Roman"/>
          <w:iCs/>
          <w:color w:val="000000"/>
          <w:sz w:val="28"/>
          <w:szCs w:val="28"/>
          <w:lang w:val="en-US" w:eastAsia="ar-SA"/>
        </w:rPr>
        <w:t xml:space="preserve"> – 1343–1366.</w:t>
      </w:r>
    </w:p>
    <w:p w14:paraId="766ADDD4" w14:textId="77777777" w:rsidR="00F769DA" w:rsidRPr="003B10E2" w:rsidRDefault="00F769DA" w:rsidP="00034948">
      <w:pPr>
        <w:pStyle w:val="aff8"/>
        <w:numPr>
          <w:ilvl w:val="0"/>
          <w:numId w:val="17"/>
        </w:numPr>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Shleifer, A. The Limits of Arbitrage / A. Shleifer, R. Vishny. // Journal of Finance, 1997.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Volume 52.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Issue 1.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P.35</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55.</w:t>
      </w:r>
    </w:p>
    <w:p w14:paraId="7CCCFC9B"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Shu, X. Dannye sovremennoy istorii obrazovaniya Kitaya / X. Shu // Data from the modern history of China’s education. – T. 1. – Vol. 1. Beijing, People’s Education Publ., 1961. – 1121p. (in Chinese </w:t>
      </w:r>
      <w:r w:rsidRPr="003B10E2">
        <w:rPr>
          <w:rFonts w:ascii="MS Mincho" w:eastAsia="MS Mincho" w:hAnsi="MS Mincho" w:cs="MS Mincho" w:hint="eastAsia"/>
          <w:color w:val="000000"/>
          <w:sz w:val="28"/>
          <w:szCs w:val="28"/>
          <w:lang w:val="en-US" w:eastAsia="ar-SA"/>
        </w:rPr>
        <w:t>舒新城</w:t>
      </w:r>
      <w:r w:rsidRPr="003B10E2">
        <w:rPr>
          <w:rFonts w:ascii="Times New Roman" w:eastAsia="Times New Roman" w:hAnsi="Times New Roman"/>
          <w:color w:val="000000"/>
          <w:sz w:val="28"/>
          <w:szCs w:val="28"/>
          <w:lang w:val="en-US" w:eastAsia="ar-SA"/>
        </w:rPr>
        <w:t xml:space="preserve">. </w:t>
      </w:r>
      <w:r w:rsidRPr="003B10E2">
        <w:rPr>
          <w:rFonts w:ascii="MS Mincho" w:eastAsia="MS Mincho" w:hAnsi="MS Mincho" w:cs="MS Mincho" w:hint="eastAsia"/>
          <w:color w:val="000000"/>
          <w:sz w:val="28"/>
          <w:szCs w:val="28"/>
          <w:lang w:val="en-US" w:eastAsia="ar-SA"/>
        </w:rPr>
        <w:t>中国近代教育史</w:t>
      </w:r>
      <w:r w:rsidRPr="003B10E2">
        <w:rPr>
          <w:rFonts w:ascii="SimSun" w:eastAsia="SimSun" w:hAnsi="SimSun" w:cs="SimSun" w:hint="eastAsia"/>
          <w:color w:val="000000"/>
          <w:sz w:val="28"/>
          <w:szCs w:val="28"/>
          <w:lang w:val="en-US" w:eastAsia="ar-SA"/>
        </w:rPr>
        <w:t>资料</w:t>
      </w:r>
      <w:r w:rsidRPr="003B10E2">
        <w:rPr>
          <w:rFonts w:ascii="Times New Roman" w:eastAsia="Times New Roman" w:hAnsi="Times New Roman"/>
          <w:color w:val="000000"/>
          <w:sz w:val="28"/>
          <w:szCs w:val="28"/>
          <w:lang w:val="en-US" w:eastAsia="ar-SA"/>
        </w:rPr>
        <w:t xml:space="preserve"> (</w:t>
      </w:r>
      <w:r w:rsidRPr="003B10E2">
        <w:rPr>
          <w:rFonts w:ascii="MS Mincho" w:eastAsia="MS Mincho" w:hAnsi="MS Mincho" w:cs="MS Mincho" w:hint="eastAsia"/>
          <w:color w:val="000000"/>
          <w:sz w:val="28"/>
          <w:szCs w:val="28"/>
          <w:lang w:val="en-US" w:eastAsia="ar-SA"/>
        </w:rPr>
        <w:t>中册</w:t>
      </w:r>
      <w:r w:rsidRPr="003B10E2">
        <w:rPr>
          <w:rFonts w:ascii="Times New Roman" w:eastAsia="Times New Roman" w:hAnsi="Times New Roman"/>
          <w:color w:val="000000"/>
          <w:sz w:val="28"/>
          <w:szCs w:val="28"/>
          <w:lang w:val="en-US" w:eastAsia="ar-SA"/>
        </w:rPr>
        <w:t xml:space="preserve">). </w:t>
      </w:r>
      <w:r w:rsidRPr="003B10E2">
        <w:rPr>
          <w:rFonts w:ascii="MS Mincho" w:eastAsia="MS Mincho" w:hAnsi="MS Mincho" w:cs="MS Mincho" w:hint="eastAsia"/>
          <w:color w:val="000000"/>
          <w:sz w:val="28"/>
          <w:szCs w:val="28"/>
          <w:lang w:val="en-US" w:eastAsia="ar-SA"/>
        </w:rPr>
        <w:t>北京</w:t>
      </w:r>
      <w:r w:rsidRPr="003B10E2">
        <w:rPr>
          <w:rFonts w:ascii="Times New Roman" w:eastAsia="Times New Roman" w:hAnsi="Times New Roman"/>
          <w:color w:val="000000"/>
          <w:sz w:val="28"/>
          <w:szCs w:val="28"/>
          <w:lang w:val="en-US" w:eastAsia="ar-SA"/>
        </w:rPr>
        <w:t xml:space="preserve">: </w:t>
      </w:r>
      <w:r w:rsidRPr="003B10E2">
        <w:rPr>
          <w:rFonts w:ascii="MS Mincho" w:eastAsia="MS Mincho" w:hAnsi="MS Mincho" w:cs="MS Mincho" w:hint="eastAsia"/>
          <w:color w:val="000000"/>
          <w:sz w:val="28"/>
          <w:szCs w:val="28"/>
          <w:lang w:val="en-US" w:eastAsia="ar-SA"/>
        </w:rPr>
        <w:t>人民教育出版社</w:t>
      </w:r>
      <w:r w:rsidRPr="003B10E2">
        <w:rPr>
          <w:rFonts w:ascii="Times New Roman" w:eastAsia="Times New Roman" w:hAnsi="Times New Roman"/>
          <w:color w:val="000000"/>
          <w:sz w:val="28"/>
          <w:szCs w:val="28"/>
          <w:lang w:val="en-US" w:eastAsia="ar-SA"/>
        </w:rPr>
        <w:t xml:space="preserve">, 1961. </w:t>
      </w:r>
      <w:r w:rsidRPr="003B10E2">
        <w:rPr>
          <w:rFonts w:ascii="SimSun" w:eastAsia="SimSun" w:hAnsi="SimSun" w:cs="SimSun" w:hint="eastAsia"/>
          <w:color w:val="000000"/>
          <w:sz w:val="28"/>
          <w:szCs w:val="28"/>
          <w:lang w:val="en-US" w:eastAsia="ar-SA"/>
        </w:rPr>
        <w:t>页</w:t>
      </w:r>
      <w:r w:rsidRPr="003B10E2">
        <w:rPr>
          <w:rFonts w:ascii="Times New Roman" w:eastAsia="Times New Roman" w:hAnsi="Times New Roman"/>
          <w:color w:val="000000"/>
          <w:sz w:val="28"/>
          <w:szCs w:val="28"/>
          <w:lang w:val="en-US" w:eastAsia="ar-SA"/>
        </w:rPr>
        <w:t>)</w:t>
      </w:r>
    </w:p>
    <w:p w14:paraId="5F03CA68"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Sims, C.A. Macroeconomics and reality / C.A. Sims. // Econometrica, 1980.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48(1).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1–48.</w:t>
      </w:r>
    </w:p>
    <w:p w14:paraId="2F78DA9D"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Skordoulis, M. Environmental innovation, open innovation dynamics and competitive advantage of medium and large-sized ﬁrms / M. Skordoulis, S. Ntanos, G.L. Kyriakopoulos [et al.] // Journal of Open Innovation: Technology, Market, and Complexity, 2020.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Volume 6.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P.195.</w:t>
      </w:r>
    </w:p>
    <w:p w14:paraId="4A6782EA"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Solnik, B. International Investments / B. Solnik, D. McLeavey. // Boston, Massachusetts: Addison Wesley, 2003. – 5th Edition. – P.760.</w:t>
      </w:r>
    </w:p>
    <w:p w14:paraId="00162899"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Stiglitz, J. Credit Rationing in Markets with Imperfect Information / J. Stiglitz, Weiss A. // American Economic Review, 1981.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Volume 71. </w:t>
      </w:r>
      <w:r w:rsidRPr="003B10E2">
        <w:rPr>
          <w:rFonts w:ascii="Times New Roman" w:eastAsia="Times New Roman" w:hAnsi="Times New Roman"/>
          <w:iCs/>
          <w:color w:val="000000"/>
          <w:sz w:val="28"/>
          <w:szCs w:val="28"/>
          <w:lang w:val="en-US" w:eastAsia="ar-SA"/>
        </w:rPr>
        <w:t>– Issue 3. – P. 393–410.</w:t>
      </w:r>
    </w:p>
    <w:p w14:paraId="6D202409" w14:textId="77777777" w:rsidR="00F769DA" w:rsidRPr="003B10E2" w:rsidRDefault="00F769DA" w:rsidP="00034948">
      <w:pPr>
        <w:pStyle w:val="aff8"/>
        <w:numPr>
          <w:ilvl w:val="0"/>
          <w:numId w:val="17"/>
        </w:numPr>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Stiglitz, J. Freefall: America, Free Markets, and the Sinking of the World Economy / J. Stiglitz. //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London, New York: W.W. Norton&amp;Company, 2010.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P.480.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ISBN-10: ‎ 0393338959</w:t>
      </w:r>
    </w:p>
    <w:p w14:paraId="05135ECB"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Stiglitz, J. Money, Credit, and Business Fluctuations / J. Stiglitz. // The Economic Record, 1988.</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 P. 307</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322.</w:t>
      </w:r>
    </w:p>
    <w:p w14:paraId="532833B0"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Stiglitz, J.E. Asymmetric Information and the New Theory of the Firm: Financial Constraints and Risk Behavior / J.E. Stiglitz, B.C. Greenwald. // American Economic Review, 1990.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80. </w:t>
      </w:r>
      <w:r w:rsidRPr="003B10E2">
        <w:rPr>
          <w:rFonts w:ascii="Times New Roman" w:eastAsia="Times New Roman" w:hAnsi="Times New Roman"/>
          <w:iCs/>
          <w:color w:val="000000"/>
          <w:sz w:val="28"/>
          <w:szCs w:val="28"/>
          <w:lang w:val="en-US" w:eastAsia="ar-SA"/>
        </w:rPr>
        <w:t xml:space="preserve">– Issue </w:t>
      </w:r>
      <w:r w:rsidRPr="003B10E2">
        <w:rPr>
          <w:rFonts w:ascii="Times New Roman" w:eastAsia="Times New Roman" w:hAnsi="Times New Roman"/>
          <w:color w:val="000000"/>
          <w:sz w:val="28"/>
          <w:szCs w:val="28"/>
          <w:lang w:val="en-US" w:eastAsia="ar-SA"/>
        </w:rPr>
        <w:t xml:space="preserve">2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 160</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165. </w:t>
      </w:r>
    </w:p>
    <w:p w14:paraId="4853CBA4"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Stiglitz, J.E. Globalization and Its Discontents. London: Penguin Book, 2009. Stoll H.R. Friction / J.E. Stiglitz. // Journal of Finance. 2011.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55.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№.3.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1479–1513.</w:t>
      </w:r>
    </w:p>
    <w:p w14:paraId="51B83136"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Sundaresan, S. Valuation, optimal asset allocation and retirement incentives of pension plans / S. Sundaresan, F. Zapatero. // Review of Financial Studies, 1997. </w:t>
      </w:r>
      <w:r w:rsidRPr="003B10E2">
        <w:rPr>
          <w:rFonts w:ascii="Times New Roman" w:eastAsia="Times New Roman" w:hAnsi="Times New Roman"/>
          <w:iCs/>
          <w:color w:val="000000"/>
          <w:sz w:val="28"/>
          <w:szCs w:val="28"/>
          <w:lang w:val="en-US" w:eastAsia="ar-SA"/>
        </w:rPr>
        <w:t xml:space="preserve">–Volume </w:t>
      </w:r>
      <w:r w:rsidRPr="003B10E2">
        <w:rPr>
          <w:rFonts w:ascii="Times New Roman" w:eastAsia="Times New Roman" w:hAnsi="Times New Roman"/>
          <w:color w:val="000000"/>
          <w:sz w:val="28"/>
          <w:szCs w:val="28"/>
          <w:lang w:val="en-US" w:eastAsia="ar-SA"/>
        </w:rPr>
        <w:t xml:space="preserve">10(3).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631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660.</w:t>
      </w:r>
    </w:p>
    <w:p w14:paraId="2244CE45"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Swiston, A. A U.S. Financial Conditions Index: Putting Credit Where Credit is Due / A. Swiston. // IMF Working Paper № 08/161, 2008. – P.37.</w:t>
      </w:r>
    </w:p>
    <w:p w14:paraId="44A9E4E3"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Taveeapiradeecharoen, P. A Large Dimensional VAR Model with Time-Varying Parameters for Daily Forex Forecasting / P. Taveeapiradeecharoen, N. Aunsri. // Wireless Personal Communications, 2020.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115(4).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3051–3072.</w:t>
      </w:r>
    </w:p>
    <w:p w14:paraId="44BEBEAB"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Taveeapiradeecharoen, P. Forecasting daily forex using large dimensional vector autoregression with time-varying parameters / P. Taveeapiradeecharoen, C. Jongsureyapart, N.  Aunsri. // In:  2018 Global wireless summit (GWS), 2018.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65–70.</w:t>
      </w:r>
    </w:p>
    <w:p w14:paraId="64A576AB"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Tayal, A. Effectiveness Improvement in Manufacturing Industry; Trilogy Study and Open Innovation Dynamics / A. Tayal, N.S. Kalsi, M.K. Gupta, D.Y. Pimenov [et al.] // Journal of Open Innovation: Technology, Market, and Complexity, 2021.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7(1).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22.</w:t>
      </w:r>
    </w:p>
    <w:p w14:paraId="3AC66213"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 xml:space="preserve">Taylor, J. Monetary Rules and the Long Boom / J. Taylor.  // Review of Federal Reserve Bank of St. Louis, November/December 1998. </w:t>
      </w:r>
      <w:r w:rsidRPr="003B10E2">
        <w:rPr>
          <w:rFonts w:ascii="Times New Roman" w:eastAsia="Times New Roman" w:hAnsi="Times New Roman"/>
          <w:iCs/>
          <w:sz w:val="28"/>
          <w:szCs w:val="28"/>
          <w:lang w:val="en-US" w:eastAsia="ar-SA"/>
        </w:rPr>
        <w:t xml:space="preserve">– </w:t>
      </w:r>
      <w:r w:rsidRPr="003B10E2">
        <w:rPr>
          <w:rFonts w:ascii="Times New Roman" w:eastAsia="Times New Roman" w:hAnsi="Times New Roman"/>
          <w:sz w:val="28"/>
          <w:szCs w:val="28"/>
          <w:lang w:val="en-US" w:eastAsia="ar-SA"/>
        </w:rPr>
        <w:t>P.3</w:t>
      </w:r>
      <w:r w:rsidRPr="003B10E2">
        <w:rPr>
          <w:rFonts w:ascii="Times New Roman" w:eastAsia="Times New Roman" w:hAnsi="Times New Roman"/>
          <w:iCs/>
          <w:sz w:val="28"/>
          <w:szCs w:val="28"/>
          <w:lang w:val="en-US" w:eastAsia="ar-SA"/>
        </w:rPr>
        <w:t>–</w:t>
      </w:r>
      <w:r w:rsidRPr="003B10E2">
        <w:rPr>
          <w:rFonts w:ascii="Times New Roman" w:eastAsia="Times New Roman" w:hAnsi="Times New Roman"/>
          <w:sz w:val="28"/>
          <w:szCs w:val="28"/>
          <w:lang w:val="en-US" w:eastAsia="ar-SA"/>
        </w:rPr>
        <w:t>12.</w:t>
      </w:r>
    </w:p>
    <w:p w14:paraId="67AD5894"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 xml:space="preserve">Taylor, J. The Explanatory Power of Monetary Policy Rules / J. Taylor. // NBER Working Paper № 13685, 2007. </w:t>
      </w:r>
      <w:r w:rsidRPr="003B10E2">
        <w:rPr>
          <w:rFonts w:ascii="Times New Roman" w:eastAsia="Times New Roman" w:hAnsi="Times New Roman"/>
          <w:iCs/>
          <w:sz w:val="28"/>
          <w:szCs w:val="28"/>
          <w:lang w:val="en-US" w:eastAsia="ar-SA"/>
        </w:rPr>
        <w:t xml:space="preserve">– </w:t>
      </w:r>
      <w:r w:rsidRPr="003B10E2">
        <w:rPr>
          <w:rFonts w:ascii="Times New Roman" w:eastAsia="Times New Roman" w:hAnsi="Times New Roman"/>
          <w:sz w:val="28"/>
          <w:szCs w:val="28"/>
          <w:lang w:val="en-US" w:eastAsia="ar-SA"/>
        </w:rPr>
        <w:t>P.1</w:t>
      </w:r>
      <w:r w:rsidRPr="003B10E2">
        <w:rPr>
          <w:rFonts w:ascii="Times New Roman" w:eastAsia="Times New Roman" w:hAnsi="Times New Roman"/>
          <w:iCs/>
          <w:sz w:val="28"/>
          <w:szCs w:val="28"/>
          <w:lang w:val="en-US" w:eastAsia="ar-SA"/>
        </w:rPr>
        <w:t>–</w:t>
      </w:r>
      <w:r w:rsidRPr="003B10E2">
        <w:rPr>
          <w:rFonts w:ascii="Times New Roman" w:eastAsia="Times New Roman" w:hAnsi="Times New Roman"/>
          <w:sz w:val="28"/>
          <w:szCs w:val="28"/>
          <w:lang w:val="en-US" w:eastAsia="ar-SA"/>
        </w:rPr>
        <w:t>20.</w:t>
      </w:r>
    </w:p>
    <w:p w14:paraId="002C1244"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Teker, D. Estimation of Bitcoin Volatility: GARCH Implementation / D. Teker, S. Teker. // SSRG International Journal of Economics and Management Studies, 2020.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7(1).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169</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173. </w:t>
      </w:r>
    </w:p>
    <w:p w14:paraId="35C56EC7"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Terán-Bustamante, A. Knowledge management for open innovation: Bayesian networks through machine learning / A. Terán-Bustamante, A. Martínez-Velasco, G. Dávila-Aragón. // Journal of Open Innovation Technology Market and Complexity, 2021.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7(1).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40. </w:t>
      </w:r>
    </w:p>
    <w:p w14:paraId="7237AB59"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Tiberiu, C. The Impact of the New Financial Products on the Volatility of Economic Growth / C. Tiberiu. // Journal of Applied Economic Sciences, 2007.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2(2).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P.274. </w:t>
      </w:r>
    </w:p>
    <w:p w14:paraId="5CB56280"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Tiniç, M. Who to trust? Reactions to analyst recommendations of domestic versus foreign brokerage houses in a developing stock market / M. Tiniç, B. Tanyeri, M. Bodur. // Finance Research Letters, 2021. – Volume 43.</w:t>
      </w:r>
    </w:p>
    <w:p w14:paraId="3590BB5E"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Tintelnot, F. Trade and Domestic Production Networks / F. Tintelnot, A. Kikkawa, M. Mogstad [et al.] // University of Chicago, Becker Friedman Institute for Economics. Working Paper № 25, 2019.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P.60.</w:t>
      </w:r>
    </w:p>
    <w:p w14:paraId="0C70CA16"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Tiwari, A.K. A time varying approach on the price elasticity of electricity in India during 1975–2013 / A.K. Tiwari, A.N. Menegaki. // Energy, 2019.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Volume 183.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385–397.</w:t>
      </w:r>
    </w:p>
    <w:p w14:paraId="5E0565AA"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Tobin, J. Asset Markets and the Cost of Capital / J. Tobin, W. Brainard. // Economic Progress, Private Values and Public Policy, Essays In Honor of William Fellner, North-Holland, 1977.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 235</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262.</w:t>
      </w:r>
    </w:p>
    <w:p w14:paraId="101A0307"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Tobin, J. Liquidity preference as behavior towards risk / J. Tobin. // The review of economic studies, 1958.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25(2).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65</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86.</w:t>
      </w:r>
    </w:p>
    <w:p w14:paraId="50F2D5F8"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Torkashvand, M. DRASTIC framework improvement using stepwise weight assessment ratio analysis (SWARA) and combination of genetic algorithm and entropy / M. Torkashvand, A. Neshat, S. Javadi [et al.] // Environmental Science and Pollution Research, 2020.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21.</w:t>
      </w:r>
    </w:p>
    <w:p w14:paraId="0F076E4D"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Treynor, J. The Principles of Corporate Pension Finance / J. Treynor. // Journal of Finance, 1977.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32.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627</w:t>
      </w:r>
      <w:r w:rsidRPr="003B10E2">
        <w:rPr>
          <w:rFonts w:ascii="Times New Roman" w:eastAsia="Times New Roman" w:hAnsi="Times New Roman"/>
          <w:iCs/>
          <w:color w:val="000000"/>
          <w:sz w:val="28"/>
          <w:szCs w:val="28"/>
          <w:lang w:val="en-US" w:eastAsia="ar-SA"/>
        </w:rPr>
        <w:t>–6</w:t>
      </w:r>
      <w:r w:rsidRPr="003B10E2">
        <w:rPr>
          <w:rFonts w:ascii="Times New Roman" w:eastAsia="Times New Roman" w:hAnsi="Times New Roman"/>
          <w:color w:val="000000"/>
          <w:sz w:val="28"/>
          <w:szCs w:val="28"/>
          <w:lang w:val="en-US" w:eastAsia="ar-SA"/>
        </w:rPr>
        <w:t>38.</w:t>
      </w:r>
    </w:p>
    <w:p w14:paraId="2B1F4655"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Tsang, K. The market for bitcoin transactions / K. Tsang, Z. Yang. // Journal of International Financial Markets, Institutions and Money, 2021.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Volume 71.</w:t>
      </w:r>
    </w:p>
    <w:p w14:paraId="69D9F3DB"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Turan, S.S. Financial innovation-crowdfunding: friend or foe? / S.S. Turan. // Procedia-Social and Behavioral Sciences, 2015.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195.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353</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362.</w:t>
      </w:r>
    </w:p>
    <w:p w14:paraId="696D159D"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Tursoy, T. The impact of gold and crude oil prices on stock market in Turkey: empirical evidences from ARDL bounds test and combined cointegration / T. Tursoy, F. Faisal. // Resources Policy, 2018.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55.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49–54. </w:t>
      </w:r>
    </w:p>
    <w:p w14:paraId="18E307F2"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Urquhart, A. The inefficiency of Bitcoin / A. Urquhart. // Economic Letters, 2016.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148.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80</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82. </w:t>
      </w:r>
    </w:p>
    <w:p w14:paraId="58B49592"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Van der Weide, R. GO-GARCH: a multivariate generalized orthogonal GARCH model / R. Van der Weide. // Journal of Applied Econometrics, 2002.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17.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Issue 5.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549–564. </w:t>
      </w:r>
    </w:p>
    <w:p w14:paraId="22DAE6E5"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Vasicek, O. An equilibrium characterization of the term structure / O. Vasicek. // Journal of Financial Economics, 1977.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Volume 5.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177</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188.</w:t>
      </w:r>
    </w:p>
    <w:p w14:paraId="42D8A566"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Vo, M. Oil and stock market volatility: a multivariate stochastic volatility perspective / M. Vo. // Energy Economics, 2011.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Volume 33.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Issue 5.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956–965. </w:t>
      </w:r>
    </w:p>
    <w:p w14:paraId="0C4E1B77"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Vukovic, M. Comparative Analysis of Stock Election using a Hybrid MCDM Approach and Modern Portfolio Theory / M. Vukovic, S. Pivac, Z. Babic. // Croatian Review of Economic Business and Social Statistics, 2020.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6(2).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58</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68. </w:t>
      </w:r>
    </w:p>
    <w:p w14:paraId="2B805CCE"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 xml:space="preserve">Wallusch, J. Aggregate and regional effects of financialisation in CEE countries / J. Wallusch, B. Woźniak-Jęchorek, S. Kuźmar. // Post-Communist Economics, 2020. –Volume 32. – P.860–876. </w:t>
      </w:r>
    </w:p>
    <w:p w14:paraId="767503A1"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Wang, N. Bankruptcy prediction using machine learning / N. Wang.  // Journal Math Finance, 2017.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7(4).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908–918. </w:t>
      </w:r>
    </w:p>
    <w:p w14:paraId="02192B8E"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Wang, Q &amp; Han, X. Is decoupling embodied carbon emissions from economic output in Sino-US trade possible? // Technological Forecasting and Social Change, 2021, 169, 120805, https://doi.org/10.1016/j.techfore.2021.120805</w:t>
      </w:r>
    </w:p>
    <w:p w14:paraId="1AA8A800"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Wang, Q &amp; Zhang, F. The effects of trade openness on decoupling carbon emissions from economic growth. </w:t>
      </w:r>
      <w:bookmarkStart w:id="221" w:name="_Hlk145167023"/>
      <w:r w:rsidRPr="003B10E2">
        <w:rPr>
          <w:rFonts w:ascii="Times New Roman" w:eastAsia="Times New Roman" w:hAnsi="Times New Roman"/>
          <w:color w:val="000000"/>
          <w:sz w:val="28"/>
          <w:szCs w:val="28"/>
          <w:lang w:val="en-US" w:eastAsia="ar-SA"/>
        </w:rPr>
        <w:t xml:space="preserve">// </w:t>
      </w:r>
      <w:bookmarkEnd w:id="221"/>
      <w:r w:rsidRPr="003B10E2">
        <w:rPr>
          <w:rFonts w:ascii="Times New Roman" w:eastAsia="Times New Roman" w:hAnsi="Times New Roman"/>
          <w:color w:val="000000"/>
          <w:sz w:val="28"/>
          <w:szCs w:val="28"/>
          <w:lang w:val="en-US" w:eastAsia="ar-SA"/>
        </w:rPr>
        <w:t>Journal of Cleaner Production, 2021, 279, 123838, https://doi.org/10.1016/j.jclepro.2020.123838</w:t>
      </w:r>
    </w:p>
    <w:p w14:paraId="5341D16E"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Wang, Q &amp; Zhang, F. What does the China’s economic recovery after COVID-19 pandemic mean for the economic growth and energy consumption of other countries? // Journal of Cleaner Production, 2021, 295, 126265, https://doi.org/10.1016/j.jclepro.2021.126265</w:t>
      </w:r>
    </w:p>
    <w:p w14:paraId="1F0C5A1B"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Wang, Q, Su, M., Li, R. &amp; Ponce, P. The effects of energy prices, urbanization and economic growth on energy consumption per capita in 186 countries. // Journal of Cleaner Production, 2019, 225, 1017-1032, https://doi.org/10.1016/j.jclepro.2019.04.008 </w:t>
      </w:r>
    </w:p>
    <w:p w14:paraId="37E97BED"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Wang, Q. &amp; Huang, R. The impact of COVID-19 pandemic on sustainable development goals – A survey. // Environmental Research, 2021, 111637, https://doi.org/10.1016/j.envres.2021.111637 </w:t>
      </w:r>
    </w:p>
    <w:p w14:paraId="1343FCD5"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Wang, Q. &amp; Su, M. A preliminary assessment of the impact of COVID-19 on environment–A case study of China. // Science of The Total Environment, 2020, 728, 138915, https://doi.org/10.1016/j.scitotenv.2020.138915</w:t>
      </w:r>
    </w:p>
    <w:p w14:paraId="324720AA"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Wang, Q., Chen, X., Jha, A. N. &amp; Rogers, H. Natural gas from shale formation – The evolution, evidences and challenges of shale gas revolution in United States. // Renewable and Sustainable Energy Reviews, 2014, 30, 1-28, doi.org/10.1016/j.rser.2013.08.065</w:t>
      </w:r>
    </w:p>
    <w:p w14:paraId="6DBCF6D1"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Wang, Q., Guo, J. &amp; Li, R. Official development assistance and carbon emissions of recipient countries: A dynamic panel threshold analysis for low- and lower-middle-income countries. // Sustainable Production and Consumption, 2022, 29, 158-170, https://doi.org/10.1016/j.spc.2021.09.015</w:t>
      </w:r>
    </w:p>
    <w:p w14:paraId="0555A0B2"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Wang, Q., Li, S., Li, R. &amp; Jiang, F. Underestimated impact of the COVID-19 on carbon emission reduction in developing countries – A novel assessment based on scenario analysis. // Environmental Research, 2022, 204, 111990, https://doi.org/10.1016/j.envres.2021.111990 </w:t>
      </w:r>
    </w:p>
    <w:p w14:paraId="41028E60"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Wang, X. Volatility spillovers between crude oil and Chinese sectoral equity markets: evidence from a frequency dynamics perspective / X. Wang, Y. Wang. // Energy Economics, 2019.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80.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995–1009. </w:t>
      </w:r>
    </w:p>
    <w:p w14:paraId="1A1CDE2E"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Wang, Y. Oil price shocks and stock market activities: evidence from oil-importing and oil-exporting countries</w:t>
      </w:r>
      <w:r w:rsidRPr="003B10E2">
        <w:rPr>
          <w:rFonts w:ascii="Times New Roman" w:hAnsi="Times New Roman"/>
          <w:sz w:val="28"/>
          <w:szCs w:val="28"/>
          <w:lang w:val="en-US"/>
        </w:rPr>
        <w:t xml:space="preserve"> / </w:t>
      </w:r>
      <w:r w:rsidRPr="003B10E2">
        <w:rPr>
          <w:rFonts w:ascii="Times New Roman" w:eastAsia="Times New Roman" w:hAnsi="Times New Roman"/>
          <w:color w:val="000000"/>
          <w:sz w:val="28"/>
          <w:szCs w:val="28"/>
          <w:lang w:val="en-US" w:eastAsia="ar-SA"/>
        </w:rPr>
        <w:t xml:space="preserve">Y. Wang, C. Wu, L. Yang. </w:t>
      </w:r>
      <w:r w:rsidRPr="003B10E2">
        <w:rPr>
          <w:rFonts w:ascii="Times New Roman" w:hAnsi="Times New Roman"/>
          <w:sz w:val="28"/>
          <w:szCs w:val="28"/>
          <w:lang w:val="en-US"/>
        </w:rPr>
        <w:t xml:space="preserve">// </w:t>
      </w:r>
      <w:r w:rsidRPr="003B10E2">
        <w:rPr>
          <w:rFonts w:ascii="Times New Roman" w:eastAsia="Times New Roman" w:hAnsi="Times New Roman"/>
          <w:color w:val="000000"/>
          <w:sz w:val="28"/>
          <w:szCs w:val="28"/>
          <w:lang w:val="en-US" w:eastAsia="ar-SA"/>
        </w:rPr>
        <w:t xml:space="preserve">Journal of Comparative Economics, 2013.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41.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Issue 4.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1220–1239.</w:t>
      </w:r>
    </w:p>
    <w:p w14:paraId="6084545D"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Wang, Z. A DCC-GARCH multi-population mortality model and its applications to pricing catastrophic mortality bonds / Z. Wang, J.S.-H. Li. // Finance Research Letters, 2016.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16.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103–111.</w:t>
      </w:r>
    </w:p>
    <w:p w14:paraId="4FA562D4"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Webb, D.C. Sponsoring Company Finance, Investment and Pension Plan Funding / D.C. Webb. // Economic Journal, 2007.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117(520).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738</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760.</w:t>
      </w:r>
    </w:p>
    <w:p w14:paraId="16CD4033"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Wedel, M. Marketing analytics for data-rich environments / M. Wedel, P.K. Kannan. // Journal of Marketing, 2016.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80(6).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97–121.</w:t>
      </w:r>
    </w:p>
    <w:p w14:paraId="5B24AE8E"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Wen, D. Risk spillovers between oil and stock markets: a VAR for VaR analysis / D. Wen, G.-J. Wang, C. Ma [et al.] // Energy Economics, 2019.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80.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524–535. </w:t>
      </w:r>
    </w:p>
    <w:p w14:paraId="2949691C"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West, J. Evolving an Open Ecosystem: The Rise and Fall of the Symbian Platform / J. West, D. Wood. // In Advances in Strategic Management, 2013.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27</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68.</w:t>
      </w:r>
    </w:p>
    <w:p w14:paraId="005223C1"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Whaley, R.E. The investor fear gauge / R.E. Whaley. // Journal Portfolio Management Spring, 2000.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26(3).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12–17. </w:t>
      </w:r>
    </w:p>
    <w:p w14:paraId="6A3248A6"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Wu, H. Cash holdings prediction using decision tree algorithms and comparison with logistic regression model / H. Wu, J. Chen, P. Wang. // Cybernetics and Systems, 2021.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52(8).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16.</w:t>
      </w:r>
    </w:p>
    <w:p w14:paraId="261A0896"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Wüstenfeld, J. Economic uncertainty and national bitcoin trading activity / J. Wüstenfeld, T. Geldner. // The North American Journal of Economics and Finance, 2022.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59/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101625.</w:t>
      </w:r>
    </w:p>
    <w:p w14:paraId="4FC82328"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Xiao, F. Pricing, management and decision-making of financial markets with artificial intelligence: introduction to the issue / F. Xiao, J. Ke. // Financial Innovation, 2021.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Volume 7(1).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3.</w:t>
      </w:r>
    </w:p>
    <w:p w14:paraId="4BF98601"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Yager, R.R. Generalized orthopair fuzzy sets / R.R. Yager. // IEEE Transactions on Fuzzy Systems, 2016.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25(5).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122</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123.</w:t>
      </w:r>
    </w:p>
    <w:p w14:paraId="3E96B15A"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Yang, W. New q-Rung Orthopair Hesitant Fuzzy Decision Making Based on Linear Programming and TOPSIS / W. Yang, Y. Pang. // IEEE Access, 2020.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8.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 221299</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221311.</w:t>
      </w:r>
    </w:p>
    <w:p w14:paraId="361E8D22"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Yermack, D. Is Bitcoin a real currency? / D. Yermack. // In book The Handbook of Digital Currency.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Elsevier, 2015.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P.31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44. </w:t>
      </w:r>
    </w:p>
    <w:p w14:paraId="4D19171C"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Yigitcanlar, T. Artificial Intelligence Technologies and Related Urban Planning and Development Concepts: How Are They Perceived and Utilized in Australia? / T. Yigitcanlar, N. Kankanamge, M. Regona [et al.] // Journal of Open Innovation: Technology, Market, and Complexity, 2020.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6(4).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21.</w:t>
      </w:r>
    </w:p>
    <w:p w14:paraId="56986B22"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Yousaf, I. The relationship between trading volume, volatility and returns of Non-Fungible Tokens: evidence from a quantile approach / I. Yousaf, L. Yarovaya. // Finance Research Letters, 2020.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50.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103</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175.</w:t>
      </w:r>
    </w:p>
    <w:p w14:paraId="3052C8A6"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Zetzsche, D. Decentralized Finance (DeFi) / D. Zetzsche, D. Arner, R. Buckley. // Journal of Financial Regulation, 2020.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6(2).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172–203.</w:t>
      </w:r>
    </w:p>
    <w:p w14:paraId="72E86537"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Zhang, D. Dynamic transmission mechanisms in global crude oil prices: estimation and implications / D. Zhang, Q. Ji, A.M. Kutan. // Energy, 2019.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№175.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1181–1193. </w:t>
      </w:r>
    </w:p>
    <w:p w14:paraId="587FD1CF"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Zhang, H. Soft consensus cost models for group decision making and economic interpretations / H. Zhang, G. Kou, Y. Peng. // European Journal of Operational Research, 2019. – №277. – P.964–980.</w:t>
      </w:r>
    </w:p>
    <w:p w14:paraId="3AA0E284"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Zhang, K. Efficient factor GARCH models and factor-DCC models / K. Zhang, L. Chan. // Quantitative Finance, 2009.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9.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Issue 1.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71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91.</w:t>
      </w:r>
    </w:p>
    <w:p w14:paraId="491EC682"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 xml:space="preserve">Zhang, W.R. Bipolar fuzzy sets and relations: a computational framework for cognitive modeling and multiagent decision analysis / W.R. Zhang. // In NAFIPS/IFIS/NASA'94. Proceedings of the First International Joint Conference of the North American Fuzzy Information Processing Society Biannual Conference, 1994. – P.305–309. </w:t>
      </w:r>
    </w:p>
    <w:p w14:paraId="3CB239ED"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Zhang, Y.-J. The dynamic volatility spillover between European carbon trading market and fossil energy market / Y.-J. Zhang, Y.-F. Sun. // Journal of Cleaner Production, 2016. – Volume 112. – P.2654–2663. </w:t>
      </w:r>
    </w:p>
    <w:p w14:paraId="1C6504A1"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Zheng Y. (2021). China’s New Foreign Investment Law and Its Contribution Towards the Country’s Development Goals. The Journal of World Investment &amp; Trade. No. 2. 388 p.</w:t>
      </w:r>
    </w:p>
    <w:p w14:paraId="6A6F4B8F"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Zheng Y. (2021). Towards China's development goals: an evaluation of the role played by China's foreign investment legal regime: /https://hdl.handle.net/1842/38125</w:t>
      </w:r>
    </w:p>
    <w:p w14:paraId="4AB29A32"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 xml:space="preserve">Zhong, X., Predicting the daily return direction of the stock market using hybrid machine learning algorithms / X. Zhong, D. Enke. // Financial Innovation, 2019. </w:t>
      </w:r>
      <w:r w:rsidRPr="003B10E2">
        <w:rPr>
          <w:rFonts w:ascii="Times New Roman" w:eastAsia="Times New Roman" w:hAnsi="Times New Roman"/>
          <w:color w:val="000000"/>
          <w:sz w:val="28"/>
          <w:szCs w:val="28"/>
          <w:lang w:val="en-US" w:eastAsia="ar-SA"/>
        </w:rPr>
        <w:t xml:space="preserve">–Volume </w:t>
      </w:r>
      <w:r w:rsidRPr="003B10E2">
        <w:rPr>
          <w:rFonts w:ascii="Times New Roman" w:eastAsia="Times New Roman" w:hAnsi="Times New Roman"/>
          <w:iCs/>
          <w:color w:val="000000"/>
          <w:sz w:val="28"/>
          <w:szCs w:val="28"/>
          <w:lang w:val="en-US" w:eastAsia="ar-SA"/>
        </w:rPr>
        <w:t xml:space="preserve">5(1). </w:t>
      </w:r>
      <w:r w:rsidRPr="003B10E2">
        <w:rPr>
          <w:rFonts w:ascii="Times New Roman" w:eastAsia="Times New Roman" w:hAnsi="Times New Roman"/>
          <w:color w:val="000000"/>
          <w:sz w:val="28"/>
          <w:szCs w:val="28"/>
          <w:lang w:val="en-US" w:eastAsia="ar-SA"/>
        </w:rPr>
        <w:t>–</w:t>
      </w:r>
      <w:r w:rsidRPr="003B10E2">
        <w:rPr>
          <w:rFonts w:ascii="Times New Roman" w:eastAsia="Times New Roman" w:hAnsi="Times New Roman"/>
          <w:iCs/>
          <w:color w:val="000000"/>
          <w:sz w:val="28"/>
          <w:szCs w:val="28"/>
          <w:lang w:val="en-US" w:eastAsia="ar-SA"/>
        </w:rPr>
        <w:t xml:space="preserve"> P.1</w:t>
      </w:r>
      <w:r w:rsidRPr="003B10E2">
        <w:rPr>
          <w:rFonts w:ascii="Times New Roman" w:eastAsia="Times New Roman" w:hAnsi="Times New Roman"/>
          <w:color w:val="000000"/>
          <w:sz w:val="28"/>
          <w:szCs w:val="28"/>
          <w:lang w:val="en-US" w:eastAsia="ar-SA"/>
        </w:rPr>
        <w:t>–</w:t>
      </w:r>
      <w:r w:rsidRPr="003B10E2">
        <w:rPr>
          <w:rFonts w:ascii="Times New Roman" w:eastAsia="Times New Roman" w:hAnsi="Times New Roman"/>
          <w:iCs/>
          <w:color w:val="000000"/>
          <w:sz w:val="28"/>
          <w:szCs w:val="28"/>
          <w:lang w:val="en-US" w:eastAsia="ar-SA"/>
        </w:rPr>
        <w:t>20.</w:t>
      </w:r>
    </w:p>
    <w:p w14:paraId="40D2438F" w14:textId="77777777"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Zitzewitz, E. Who Cares About Shareholders? Arbitrage-Proofing Mutual Funds / E. Zitzewitz.</w:t>
      </w:r>
      <w:bookmarkStart w:id="222" w:name="_Hlk145166756"/>
      <w:r w:rsidRPr="003B10E2">
        <w:rPr>
          <w:rFonts w:ascii="Times New Roman" w:eastAsia="Times New Roman" w:hAnsi="Times New Roman"/>
          <w:color w:val="000000"/>
          <w:sz w:val="28"/>
          <w:szCs w:val="28"/>
          <w:lang w:val="en-US" w:eastAsia="ar-SA"/>
        </w:rPr>
        <w:t xml:space="preserve"> // </w:t>
      </w:r>
      <w:bookmarkEnd w:id="222"/>
      <w:r w:rsidRPr="003B10E2">
        <w:rPr>
          <w:rFonts w:ascii="Times New Roman" w:eastAsia="Times New Roman" w:hAnsi="Times New Roman"/>
          <w:color w:val="000000"/>
          <w:sz w:val="28"/>
          <w:szCs w:val="28"/>
          <w:lang w:val="en-US" w:eastAsia="ar-SA"/>
        </w:rPr>
        <w:t>Journal of Law Economics and Organization, 2003. – Volume 19(2). – P.245–280.</w:t>
      </w:r>
    </w:p>
    <w:p w14:paraId="5D76A528" w14:textId="77777777" w:rsidR="00F16E04" w:rsidRPr="003B10E2" w:rsidRDefault="00F16E04" w:rsidP="00F16E04">
      <w:pPr>
        <w:widowControl w:val="0"/>
        <w:autoSpaceDE w:val="0"/>
        <w:spacing w:after="0" w:line="360" w:lineRule="auto"/>
        <w:ind w:left="567"/>
        <w:jc w:val="both"/>
        <w:rPr>
          <w:rFonts w:ascii="Times New Roman" w:eastAsia="Times New Roman" w:hAnsi="Times New Roman"/>
          <w:color w:val="000000"/>
          <w:sz w:val="28"/>
          <w:szCs w:val="28"/>
          <w:lang w:val="en-US" w:eastAsia="ar-SA"/>
        </w:rPr>
      </w:pPr>
    </w:p>
    <w:p w14:paraId="2BAAD210" w14:textId="77777777" w:rsidR="00F16E04" w:rsidRPr="003B10E2" w:rsidRDefault="00F16E04" w:rsidP="00F16E04">
      <w:pPr>
        <w:pStyle w:val="aff8"/>
        <w:widowControl w:val="0"/>
        <w:autoSpaceDE w:val="0"/>
        <w:spacing w:after="0" w:line="360" w:lineRule="auto"/>
        <w:ind w:left="927"/>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hint="eastAsia"/>
          <w:color w:val="000000"/>
          <w:sz w:val="28"/>
          <w:szCs w:val="28"/>
          <w:lang w:val="en-US" w:eastAsia="ar-SA"/>
        </w:rPr>
        <w:t>Диссертации</w:t>
      </w:r>
      <w:r w:rsidRPr="003B10E2">
        <w:rPr>
          <w:rFonts w:ascii="Times New Roman" w:eastAsia="Times New Roman" w:hAnsi="Times New Roman"/>
          <w:color w:val="000000"/>
          <w:sz w:val="28"/>
          <w:szCs w:val="28"/>
          <w:lang w:val="en-US" w:eastAsia="ar-SA"/>
        </w:rPr>
        <w:t>, авторефераты</w:t>
      </w:r>
    </w:p>
    <w:p w14:paraId="5349842E" w14:textId="77777777" w:rsidR="00F16E04" w:rsidRPr="003B10E2" w:rsidRDefault="00F16E04" w:rsidP="00B56C17">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3B10E2">
        <w:rPr>
          <w:rFonts w:ascii="Times New Roman" w:eastAsia="Times New Roman" w:hAnsi="Times New Roman" w:hint="eastAsia"/>
          <w:color w:val="000000"/>
          <w:sz w:val="28"/>
          <w:szCs w:val="28"/>
          <w:lang w:eastAsia="ar-SA"/>
        </w:rPr>
        <w:t>Шанхайской</w:t>
      </w:r>
      <w:r w:rsidRPr="003B10E2">
        <w:rPr>
          <w:rFonts w:ascii="Times New Roman" w:eastAsia="Times New Roman" w:hAnsi="Times New Roman"/>
          <w:color w:val="000000"/>
          <w:sz w:val="28"/>
          <w:szCs w:val="28"/>
          <w:lang w:eastAsia="ar-SA"/>
        </w:rPr>
        <w:t xml:space="preserve"> организации сотрудничества и китайской инициативы «Экономического пояса Шелкового пути»): дисс.</w:t>
      </w:r>
      <w:r w:rsidR="00755FF9">
        <w:rPr>
          <w:rFonts w:ascii="Times New Roman" w:eastAsia="Times New Roman" w:hAnsi="Times New Roman"/>
          <w:color w:val="000000"/>
          <w:sz w:val="28"/>
          <w:szCs w:val="28"/>
          <w:lang w:eastAsia="ar-SA"/>
        </w:rPr>
        <w:t xml:space="preserve"> </w:t>
      </w:r>
      <w:r w:rsidRPr="003B10E2">
        <w:rPr>
          <w:rFonts w:ascii="Times New Roman" w:eastAsia="Times New Roman" w:hAnsi="Times New Roman"/>
          <w:color w:val="000000"/>
          <w:sz w:val="28"/>
          <w:szCs w:val="28"/>
          <w:lang w:eastAsia="ar-SA"/>
        </w:rPr>
        <w:t xml:space="preserve">канд. полит. </w:t>
      </w:r>
      <w:r w:rsidR="00755FF9" w:rsidRPr="003B10E2">
        <w:rPr>
          <w:rFonts w:ascii="Times New Roman" w:eastAsia="Times New Roman" w:hAnsi="Times New Roman"/>
          <w:color w:val="000000"/>
          <w:sz w:val="28"/>
          <w:szCs w:val="28"/>
          <w:lang w:eastAsia="ar-SA"/>
        </w:rPr>
        <w:t>наук:</w:t>
      </w:r>
      <w:r w:rsidRPr="003B10E2">
        <w:rPr>
          <w:rFonts w:ascii="Times New Roman" w:eastAsia="Times New Roman" w:hAnsi="Times New Roman"/>
          <w:color w:val="000000"/>
          <w:sz w:val="28"/>
          <w:szCs w:val="28"/>
          <w:lang w:eastAsia="ar-SA"/>
        </w:rPr>
        <w:t xml:space="preserve"> 23.00.04 / Кулинцев Юрий Викторович. – М., 2020. – 226 с.</w:t>
      </w:r>
    </w:p>
    <w:p w14:paraId="4660C6C8" w14:textId="77777777" w:rsidR="00F16E04" w:rsidRPr="003B10E2" w:rsidRDefault="00F16E04" w:rsidP="00B56C17">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3B10E2">
        <w:rPr>
          <w:rFonts w:ascii="Times New Roman" w:eastAsia="Times New Roman" w:hAnsi="Times New Roman"/>
          <w:color w:val="000000"/>
          <w:sz w:val="28"/>
          <w:szCs w:val="28"/>
          <w:lang w:eastAsia="ar-SA"/>
        </w:rPr>
        <w:t xml:space="preserve">Кун, Дэкунь Мегапроект «Один пояс и один путь» Китайской Народной Республики как фактор укрепления евразийской </w:t>
      </w:r>
      <w:r w:rsidR="00755FF9" w:rsidRPr="003B10E2">
        <w:rPr>
          <w:rFonts w:ascii="Times New Roman" w:eastAsia="Times New Roman" w:hAnsi="Times New Roman"/>
          <w:color w:val="000000"/>
          <w:sz w:val="28"/>
          <w:szCs w:val="28"/>
          <w:lang w:eastAsia="ar-SA"/>
        </w:rPr>
        <w:t>интеграции:</w:t>
      </w:r>
      <w:r w:rsidRPr="003B10E2">
        <w:rPr>
          <w:rFonts w:ascii="Times New Roman" w:eastAsia="Times New Roman" w:hAnsi="Times New Roman"/>
          <w:color w:val="000000"/>
          <w:sz w:val="28"/>
          <w:szCs w:val="28"/>
          <w:lang w:eastAsia="ar-SA"/>
        </w:rPr>
        <w:t xml:space="preserve"> автореф. ... канд. полит. наук: 23.00.04 / Кун Дэкунь. – Владивосток, 2020. – 29 с.</w:t>
      </w:r>
    </w:p>
    <w:p w14:paraId="09B6B9FB" w14:textId="77777777" w:rsidR="00F16E04" w:rsidRPr="003B10E2" w:rsidRDefault="00F16E04" w:rsidP="00B56C17">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3B10E2">
        <w:rPr>
          <w:rFonts w:ascii="Times New Roman" w:eastAsia="Times New Roman" w:hAnsi="Times New Roman"/>
          <w:color w:val="000000"/>
          <w:sz w:val="28"/>
          <w:szCs w:val="28"/>
          <w:lang w:eastAsia="ar-SA"/>
        </w:rPr>
        <w:t>Ли, Н. «Один пояс и Один путь» как внешнеполитическая инициатива Китайской Народной Республики: проекты и опыт реализации (2013-2019 гг.</w:t>
      </w:r>
      <w:r w:rsidR="00755FF9" w:rsidRPr="003B10E2">
        <w:rPr>
          <w:rFonts w:ascii="Times New Roman" w:eastAsia="Times New Roman" w:hAnsi="Times New Roman"/>
          <w:color w:val="000000"/>
          <w:sz w:val="28"/>
          <w:szCs w:val="28"/>
          <w:lang w:eastAsia="ar-SA"/>
        </w:rPr>
        <w:t>):</w:t>
      </w:r>
      <w:r w:rsidRPr="003B10E2">
        <w:rPr>
          <w:rFonts w:ascii="Times New Roman" w:eastAsia="Times New Roman" w:hAnsi="Times New Roman"/>
          <w:color w:val="000000"/>
          <w:sz w:val="28"/>
          <w:szCs w:val="28"/>
          <w:lang w:eastAsia="ar-SA"/>
        </w:rPr>
        <w:t xml:space="preserve"> дисс.</w:t>
      </w:r>
      <w:r w:rsidR="00755FF9">
        <w:rPr>
          <w:rFonts w:ascii="Times New Roman" w:eastAsia="Times New Roman" w:hAnsi="Times New Roman"/>
          <w:color w:val="000000"/>
          <w:sz w:val="28"/>
          <w:szCs w:val="28"/>
          <w:lang w:eastAsia="ar-SA"/>
        </w:rPr>
        <w:t xml:space="preserve"> </w:t>
      </w:r>
      <w:r w:rsidRPr="003B10E2">
        <w:rPr>
          <w:rFonts w:ascii="Times New Roman" w:eastAsia="Times New Roman" w:hAnsi="Times New Roman"/>
          <w:color w:val="000000"/>
          <w:sz w:val="28"/>
          <w:szCs w:val="28"/>
          <w:lang w:eastAsia="ar-SA"/>
        </w:rPr>
        <w:t xml:space="preserve">канд. </w:t>
      </w:r>
      <w:r w:rsidR="00755FF9" w:rsidRPr="003B10E2">
        <w:rPr>
          <w:rFonts w:ascii="Times New Roman" w:eastAsia="Times New Roman" w:hAnsi="Times New Roman"/>
          <w:color w:val="000000"/>
          <w:sz w:val="28"/>
          <w:szCs w:val="28"/>
          <w:lang w:eastAsia="ar-SA"/>
        </w:rPr>
        <w:t>полит. наук:</w:t>
      </w:r>
      <w:r w:rsidRPr="003B10E2">
        <w:rPr>
          <w:rFonts w:ascii="Times New Roman" w:eastAsia="Times New Roman" w:hAnsi="Times New Roman"/>
          <w:color w:val="000000"/>
          <w:sz w:val="28"/>
          <w:szCs w:val="28"/>
          <w:lang w:eastAsia="ar-SA"/>
        </w:rPr>
        <w:t xml:space="preserve"> 07.00.15 / Ли На. – М., 2021. – 200 с.</w:t>
      </w:r>
    </w:p>
    <w:p w14:paraId="4209850F" w14:textId="77777777" w:rsidR="00F16E04" w:rsidRPr="003B10E2" w:rsidRDefault="00F16E04" w:rsidP="00B56C17">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3B10E2">
        <w:rPr>
          <w:rFonts w:ascii="Times New Roman" w:eastAsia="Times New Roman" w:hAnsi="Times New Roman"/>
          <w:color w:val="000000"/>
          <w:sz w:val="28"/>
          <w:szCs w:val="28"/>
          <w:lang w:eastAsia="ar-SA"/>
        </w:rPr>
        <w:t>Лю, И. Формирование и развитие цифрового шелкового пути как вектора экономического пояса шелкового пути: дисс. … канд. эконом. наук: 08.00.14 / Лю Ижу. – М., 2021. – 160 с.</w:t>
      </w:r>
    </w:p>
    <w:p w14:paraId="0242771B" w14:textId="77777777" w:rsidR="00F16E04" w:rsidRPr="003B10E2" w:rsidRDefault="00F16E04" w:rsidP="00B56C17">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3B10E2">
        <w:rPr>
          <w:rFonts w:ascii="Times New Roman" w:eastAsia="Times New Roman" w:hAnsi="Times New Roman"/>
          <w:color w:val="000000"/>
          <w:sz w:val="28"/>
          <w:szCs w:val="28"/>
          <w:lang w:eastAsia="ar-SA"/>
        </w:rPr>
        <w:t xml:space="preserve">Цю, С. Взаимодействие Китайской Народной Республики и Российской Федерации в рамках Шанхайской организации </w:t>
      </w:r>
      <w:r w:rsidR="00755FF9" w:rsidRPr="003B10E2">
        <w:rPr>
          <w:rFonts w:ascii="Times New Roman" w:eastAsia="Times New Roman" w:hAnsi="Times New Roman"/>
          <w:color w:val="000000"/>
          <w:sz w:val="28"/>
          <w:szCs w:val="28"/>
          <w:lang w:eastAsia="ar-SA"/>
        </w:rPr>
        <w:t>сотрудничества:</w:t>
      </w:r>
      <w:r w:rsidRPr="003B10E2">
        <w:rPr>
          <w:rFonts w:ascii="Times New Roman" w:eastAsia="Times New Roman" w:hAnsi="Times New Roman"/>
          <w:color w:val="000000"/>
          <w:sz w:val="28"/>
          <w:szCs w:val="28"/>
          <w:lang w:eastAsia="ar-SA"/>
        </w:rPr>
        <w:t xml:space="preserve"> дисс.</w:t>
      </w:r>
      <w:r w:rsidR="00755FF9">
        <w:rPr>
          <w:rFonts w:ascii="Times New Roman" w:eastAsia="Times New Roman" w:hAnsi="Times New Roman"/>
          <w:color w:val="000000"/>
          <w:sz w:val="28"/>
          <w:szCs w:val="28"/>
          <w:lang w:eastAsia="ar-SA"/>
        </w:rPr>
        <w:t xml:space="preserve"> </w:t>
      </w:r>
      <w:r w:rsidRPr="003B10E2">
        <w:rPr>
          <w:rFonts w:ascii="Times New Roman" w:eastAsia="Times New Roman" w:hAnsi="Times New Roman"/>
          <w:color w:val="000000"/>
          <w:sz w:val="28"/>
          <w:szCs w:val="28"/>
          <w:lang w:eastAsia="ar-SA"/>
        </w:rPr>
        <w:t xml:space="preserve">канд. полит. </w:t>
      </w:r>
      <w:r w:rsidR="00755FF9" w:rsidRPr="003B10E2">
        <w:rPr>
          <w:rFonts w:ascii="Times New Roman" w:eastAsia="Times New Roman" w:hAnsi="Times New Roman"/>
          <w:color w:val="000000"/>
          <w:sz w:val="28"/>
          <w:szCs w:val="28"/>
          <w:lang w:eastAsia="ar-SA"/>
        </w:rPr>
        <w:t>наук:</w:t>
      </w:r>
      <w:r w:rsidRPr="003B10E2">
        <w:rPr>
          <w:rFonts w:ascii="Times New Roman" w:eastAsia="Times New Roman" w:hAnsi="Times New Roman"/>
          <w:color w:val="000000"/>
          <w:sz w:val="28"/>
          <w:szCs w:val="28"/>
          <w:lang w:eastAsia="ar-SA"/>
        </w:rPr>
        <w:t xml:space="preserve"> 23.00.04 / Цю Сяофэнь. – М., 2018. – 173 с.</w:t>
      </w:r>
    </w:p>
    <w:p w14:paraId="4ADFF471" w14:textId="77777777" w:rsidR="00F16E04" w:rsidRPr="003B10E2" w:rsidRDefault="00F16E04" w:rsidP="00B56C17">
      <w:pPr>
        <w:widowControl w:val="0"/>
        <w:autoSpaceDE w:val="0"/>
        <w:spacing w:after="0" w:line="360" w:lineRule="auto"/>
        <w:ind w:firstLine="709"/>
        <w:jc w:val="both"/>
        <w:rPr>
          <w:rFonts w:ascii="Times New Roman" w:eastAsia="Times New Roman" w:hAnsi="Times New Roman"/>
          <w:color w:val="000000"/>
          <w:sz w:val="28"/>
          <w:szCs w:val="28"/>
          <w:lang w:eastAsia="ar-SA"/>
        </w:rPr>
      </w:pPr>
    </w:p>
    <w:p w14:paraId="0CB15E49" w14:textId="77777777" w:rsidR="005840BB" w:rsidRPr="003B10E2" w:rsidRDefault="00181929" w:rsidP="00B56C17">
      <w:pPr>
        <w:spacing w:after="0"/>
        <w:ind w:firstLine="709"/>
        <w:jc w:val="center"/>
        <w:rPr>
          <w:rFonts w:ascii="Times New Roman" w:hAnsi="Times New Roman" w:cs="Times"/>
          <w:b/>
          <w:bCs/>
          <w:color w:val="000000"/>
          <w:sz w:val="28"/>
          <w:szCs w:val="28"/>
        </w:rPr>
      </w:pPr>
      <w:r w:rsidRPr="003B10E2">
        <w:rPr>
          <w:rFonts w:ascii="Times New Roman" w:hAnsi="Times New Roman" w:cs="Times"/>
          <w:b/>
          <w:bCs/>
          <w:color w:val="000000"/>
          <w:sz w:val="28"/>
          <w:szCs w:val="28"/>
        </w:rPr>
        <w:br w:type="page"/>
      </w:r>
      <w:r w:rsidR="005840BB" w:rsidRPr="003B10E2">
        <w:rPr>
          <w:rFonts w:ascii="Times New Roman" w:hAnsi="Times New Roman" w:cs="Times"/>
          <w:b/>
          <w:bCs/>
          <w:color w:val="000000"/>
          <w:sz w:val="28"/>
          <w:szCs w:val="28"/>
        </w:rPr>
        <w:t>Приложение А</w:t>
      </w:r>
    </w:p>
    <w:p w14:paraId="0B7AC8BA" w14:textId="77777777" w:rsidR="003A0BD7" w:rsidRPr="003B10E2" w:rsidRDefault="003A0BD7" w:rsidP="003A0BD7">
      <w:pPr>
        <w:jc w:val="center"/>
        <w:rPr>
          <w:rFonts w:ascii="Times New Roman" w:hAnsi="Times New Roman"/>
          <w:b/>
          <w:bCs/>
        </w:rPr>
      </w:pPr>
    </w:p>
    <w:p w14:paraId="00732F83" w14:textId="77777777" w:rsidR="005840BB" w:rsidRPr="003B10E2" w:rsidRDefault="005840BB" w:rsidP="005840BB">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Хорошая точность модели для прогнозирования доходности побуждает нас к дальнейшему исследованию. Эмпирические и математические результаты показывают сильную корреляцию между оценочными параметрами неустойчивости и нестабильности в доходности государственных облигаций. Выделяются три периода нестабильности с 2004 по 2014 гг.: кризис субстандартного ипотечного кредитования в США, сопровождавшийся резким снижением цен на нефть [178], крах Lehman Brothers и кризис суверенного долга еврозоны. </w:t>
      </w:r>
    </w:p>
    <w:p w14:paraId="5DF260F2" w14:textId="77777777" w:rsidR="005840BB" w:rsidRPr="003B10E2" w:rsidRDefault="005840BB" w:rsidP="005840BB">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Результаты эмпирического анализа свидетельствуют о сильной взаимосвязи между финансовыми инструментами Франции и Германии, с одной стороны, а также Италии и Испании, с другой. Кроме того, как показано в других эмпирических исследованиях [300], дневные колебания по-разному ведут себя в исследуемый период. При этом только в Италии и Испании (и других странах PIGS) дневные колебания остаются повышенными на фоне суверенного долгового кризиса (2011-2012).</w:t>
      </w:r>
    </w:p>
    <w:p w14:paraId="367E1223" w14:textId="77777777" w:rsidR="005840BB" w:rsidRPr="003B10E2" w:rsidRDefault="005840BB" w:rsidP="005840BB">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Обычно дисперсия временного ряда является постоянной в течение периода времени вплоть до ценового шока. После шока дисперсия цены финансового актива постепенно возвращается к прежнему среднему значению. Этот процесс может повторяться во времени, производя разрывы в дисперсии [212]. Предполагая значения временного ряда равным (</w:t>
      </w:r>
      <w:r w:rsidR="002D341E" w:rsidRPr="003B10E2">
        <w:rPr>
          <w:rFonts w:ascii="Times New Roman" w:hAnsi="Times New Roman"/>
          <w:color w:val="000000"/>
          <w:sz w:val="28"/>
          <w:szCs w:val="28"/>
        </w:rPr>
        <w:fldChar w:fldCharType="begin"/>
      </w:r>
      <w:r w:rsidR="002D341E" w:rsidRPr="003B10E2">
        <w:rPr>
          <w:rFonts w:ascii="Times New Roman" w:hAnsi="Times New Roman"/>
          <w:color w:val="000000"/>
          <w:sz w:val="28"/>
          <w:szCs w:val="28"/>
        </w:rPr>
        <w:instrText xml:space="preserve"> QUOTE </w:instrText>
      </w:r>
      <w:r w:rsidR="00F276E9">
        <w:rPr>
          <w:noProof/>
          <w:position w:val="-6"/>
        </w:rPr>
      </w:r>
      <w:r w:rsidR="00F276E9">
        <w:rPr>
          <w:noProof/>
          <w:position w:val="-6"/>
        </w:rPr>
        <w:pict w14:anchorId="7CE5E522">
          <v:shape id="_x0000_i1053" type="#_x0000_t75" style="width:9.3pt;height:14.1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5D72&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205D72&quot; wsp:rsidP=&quot;00205D72&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П„&lt;/m:t&gt;&lt;/m:r&gt;&lt;/m:e&gt;&lt;m:sub&gt;&lt;m:r&gt;&lt;w:rPr&gt;&lt;w:rFonts w:ascii=&quot;Cambria Math&quot; w:h-ansi=&quot;Cambria Math&quot;/&gt;&lt;wx:font wx:val=&quot;Cambria Math&quot;/&gt;&lt;w:i/&gt;&lt;/w:rPr&gt;&lt;m:t&gt;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4" o:title="" chromakey="white"/>
          </v:shape>
        </w:pict>
      </w:r>
      <w:r w:rsidR="002D341E" w:rsidRPr="003B10E2">
        <w:rPr>
          <w:rFonts w:ascii="Times New Roman" w:hAnsi="Times New Roman"/>
          <w:color w:val="000000"/>
          <w:sz w:val="28"/>
          <w:szCs w:val="28"/>
        </w:rPr>
        <w:instrText xml:space="preserve"> </w:instrText>
      </w:r>
      <w:r w:rsidR="002D341E" w:rsidRPr="003B10E2">
        <w:rPr>
          <w:rFonts w:ascii="Times New Roman" w:hAnsi="Times New Roman"/>
          <w:color w:val="000000"/>
          <w:sz w:val="28"/>
          <w:szCs w:val="28"/>
        </w:rPr>
        <w:fldChar w:fldCharType="separate"/>
      </w:r>
      <w:r w:rsidR="00F276E9">
        <w:rPr>
          <w:noProof/>
          <w:position w:val="-6"/>
        </w:rPr>
      </w:r>
      <w:r w:rsidR="00F276E9">
        <w:rPr>
          <w:noProof/>
          <w:position w:val="-6"/>
        </w:rPr>
        <w:pict w14:anchorId="1A943B9F">
          <v:shape id="_x0000_i1054" type="#_x0000_t75" style="width:9.3pt;height:14.1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5D72&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205D72&quot; wsp:rsidP=&quot;00205D72&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П„&lt;/m:t&gt;&lt;/m:r&gt;&lt;/m:e&gt;&lt;m:sub&gt;&lt;m:r&gt;&lt;w:rPr&gt;&lt;w:rFonts w:ascii=&quot;Cambria Math&quot; w:h-ansi=&quot;Cambria Math&quot;/&gt;&lt;wx:font wx:val=&quot;Cambria Math&quot;/&gt;&lt;w:i/&gt;&lt;/w:rPr&gt;&lt;m:t&gt;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4" o:title="" chromakey="white"/>
          </v:shape>
        </w:pict>
      </w:r>
      <w:r w:rsidR="002D341E" w:rsidRPr="003B10E2">
        <w:rPr>
          <w:rFonts w:ascii="Times New Roman" w:hAnsi="Times New Roman"/>
          <w:color w:val="000000"/>
          <w:sz w:val="28"/>
          <w:szCs w:val="28"/>
        </w:rPr>
        <w:fldChar w:fldCharType="end"/>
      </w:r>
      <w:r w:rsidRPr="003B10E2">
        <w:rPr>
          <w:rFonts w:ascii="Times New Roman" w:hAnsi="Times New Roman"/>
          <w:color w:val="000000"/>
          <w:sz w:val="28"/>
          <w:szCs w:val="28"/>
        </w:rPr>
        <w:t xml:space="preserve">) с нулевым средним значением и среднее квадратичное отклонение </w:t>
      </w:r>
      <w:r w:rsidR="002D341E" w:rsidRPr="003B10E2">
        <w:rPr>
          <w:rFonts w:ascii="Times New Roman" w:hAnsi="Times New Roman"/>
          <w:color w:val="000000"/>
          <w:sz w:val="28"/>
          <w:szCs w:val="28"/>
        </w:rPr>
        <w:fldChar w:fldCharType="begin"/>
      </w:r>
      <w:r w:rsidR="002D341E" w:rsidRPr="003B10E2">
        <w:rPr>
          <w:rFonts w:ascii="Times New Roman" w:hAnsi="Times New Roman"/>
          <w:color w:val="000000"/>
          <w:sz w:val="28"/>
          <w:szCs w:val="28"/>
        </w:rPr>
        <w:instrText xml:space="preserve"> QUOTE </w:instrText>
      </w:r>
      <w:r w:rsidR="00F276E9">
        <w:rPr>
          <w:noProof/>
          <w:position w:val="-6"/>
        </w:rPr>
      </w:r>
      <w:r w:rsidR="00F276E9">
        <w:rPr>
          <w:noProof/>
          <w:position w:val="-6"/>
        </w:rPr>
        <w:pict w14:anchorId="43C001ED">
          <v:shape id="_x0000_i1055" type="#_x0000_t75" style="width:11.95pt;height:14.1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971EF&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E971EF&quot; wsp:rsidP=&quot;00E971EF&quot;&gt;&lt;m:oMathPara&gt;&lt;m:oMath&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Пѓ&lt;/m:t&gt;&lt;/m:r&gt;&lt;/m:e&gt;&lt;m:sub&gt;&lt;m:r&gt;&lt;w:rPr&gt;&lt;w:rFonts w:ascii=&quot;Cambria Math&quot; w:h-ansi=&quot;Cambria Math&quot;/&gt;&lt;wx:font wx:val=&quot;Cambria Math&quot;/&gt;&lt;w:i/&gt;&lt;/w:rPr&gt;&lt;m:t&gt;t&lt;/m:t&gt;&lt;/m:r&gt;&lt;/m:sub&gt;&lt;m:sup&gt;&lt;m:r&gt;&lt;w:rPr&gt;&lt;w:rFonts w:ascii=&quot;Cambria Math&quot; w:h-ansi=&quot;Cambria Math&quot;/&gt;&lt;wx:font wx:val=&quot;Cambria Math&quot;/&gt;&lt;w:i/&gt;&lt;/w:rPr&gt;&lt;m:t&gt;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5" o:title="" chromakey="white"/>
          </v:shape>
        </w:pict>
      </w:r>
      <w:r w:rsidR="002D341E" w:rsidRPr="003B10E2">
        <w:rPr>
          <w:rFonts w:ascii="Times New Roman" w:hAnsi="Times New Roman"/>
          <w:color w:val="000000"/>
          <w:sz w:val="28"/>
          <w:szCs w:val="28"/>
        </w:rPr>
        <w:instrText xml:space="preserve"> </w:instrText>
      </w:r>
      <w:r w:rsidR="002D341E" w:rsidRPr="003B10E2">
        <w:rPr>
          <w:rFonts w:ascii="Times New Roman" w:hAnsi="Times New Roman"/>
          <w:color w:val="000000"/>
          <w:sz w:val="28"/>
          <w:szCs w:val="28"/>
        </w:rPr>
        <w:fldChar w:fldCharType="separate"/>
      </w:r>
      <w:r w:rsidR="00F276E9">
        <w:rPr>
          <w:noProof/>
          <w:position w:val="-6"/>
        </w:rPr>
      </w:r>
      <w:r w:rsidR="00F276E9">
        <w:rPr>
          <w:noProof/>
          <w:position w:val="-6"/>
        </w:rPr>
        <w:pict w14:anchorId="3816BFA8">
          <v:shape id="_x0000_i1056" type="#_x0000_t75" style="width:11.95pt;height:14.1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971EF&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E971EF&quot; wsp:rsidP=&quot;00E971EF&quot;&gt;&lt;m:oMathPara&gt;&lt;m:oMath&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Пѓ&lt;/m:t&gt;&lt;/m:r&gt;&lt;/m:e&gt;&lt;m:sub&gt;&lt;m:r&gt;&lt;w:rPr&gt;&lt;w:rFonts w:ascii=&quot;Cambria Math&quot; w:h-ansi=&quot;Cambria Math&quot;/&gt;&lt;wx:font wx:val=&quot;Cambria Math&quot;/&gt;&lt;w:i/&gt;&lt;/w:rPr&gt;&lt;m:t&gt;t&lt;/m:t&gt;&lt;/m:r&gt;&lt;/m:sub&gt;&lt;m:sup&gt;&lt;m:r&gt;&lt;w:rPr&gt;&lt;w:rFonts w:ascii=&quot;Cambria Math&quot; w:h-ansi=&quot;Cambria Math&quot;/&gt;&lt;wx:font wx:val=&quot;Cambria Math&quot;/&gt;&lt;w:i/&gt;&lt;/w:rPr&gt;&lt;m:t&gt;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5" o:title="" chromakey="white"/>
          </v:shape>
        </w:pict>
      </w:r>
      <w:r w:rsidR="002D341E" w:rsidRPr="003B10E2">
        <w:rPr>
          <w:rFonts w:ascii="Times New Roman" w:hAnsi="Times New Roman"/>
          <w:color w:val="000000"/>
          <w:sz w:val="28"/>
          <w:szCs w:val="28"/>
        </w:rPr>
        <w:fldChar w:fldCharType="end"/>
      </w:r>
      <w:r w:rsidRPr="003B10E2">
        <w:rPr>
          <w:rFonts w:ascii="Times New Roman" w:hAnsi="Times New Roman"/>
          <w:color w:val="000000"/>
          <w:sz w:val="28"/>
          <w:szCs w:val="28"/>
        </w:rPr>
        <w:t>, можем использовать следующую формулу [23] (</w:t>
      </w:r>
      <w:r w:rsidRPr="003B10E2">
        <w:rPr>
          <w:rFonts w:ascii="Times New Roman" w:hAnsi="Times New Roman"/>
          <w:color w:val="000000"/>
          <w:sz w:val="28"/>
          <w:szCs w:val="28"/>
          <w:lang w:val="en-US"/>
        </w:rPr>
        <w:t>A</w:t>
      </w:r>
      <w:r w:rsidRPr="003B10E2">
        <w:rPr>
          <w:rFonts w:ascii="Times New Roman" w:hAnsi="Times New Roman"/>
          <w:color w:val="000000"/>
          <w:sz w:val="28"/>
          <w:szCs w:val="28"/>
        </w:rPr>
        <w:t xml:space="preserve">.1 – </w:t>
      </w:r>
      <w:r w:rsidRPr="003B10E2">
        <w:rPr>
          <w:rFonts w:ascii="Times New Roman" w:hAnsi="Times New Roman"/>
          <w:color w:val="000000"/>
          <w:sz w:val="28"/>
          <w:szCs w:val="28"/>
          <w:lang w:val="en-US"/>
        </w:rPr>
        <w:t>A</w:t>
      </w:r>
      <w:r w:rsidRPr="003B10E2">
        <w:rPr>
          <w:rFonts w:ascii="Times New Roman" w:hAnsi="Times New Roman"/>
          <w:color w:val="000000"/>
          <w:sz w:val="28"/>
          <w:szCs w:val="28"/>
        </w:rPr>
        <w:t xml:space="preserve">.4): </w:t>
      </w:r>
    </w:p>
    <w:p w14:paraId="1D8A8F13" w14:textId="77777777" w:rsidR="005840BB" w:rsidRPr="003B10E2" w:rsidRDefault="005840BB" w:rsidP="005840BB">
      <w:pPr>
        <w:spacing w:after="0" w:line="360" w:lineRule="auto"/>
        <w:ind w:firstLine="851"/>
        <w:jc w:val="both"/>
        <w:rPr>
          <w:rFonts w:ascii="Times New Roman" w:hAnsi="Times New Roman"/>
          <w:color w:val="000000"/>
          <w:sz w:val="28"/>
          <w:szCs w:val="28"/>
        </w:rPr>
      </w:pPr>
    </w:p>
    <w:p w14:paraId="679F94E1" w14:textId="77777777" w:rsidR="005840BB" w:rsidRPr="003B10E2" w:rsidRDefault="002D341E" w:rsidP="009D6E3C">
      <w:pPr>
        <w:spacing w:after="0" w:line="360" w:lineRule="auto"/>
        <w:ind w:left="3397" w:firstLine="851"/>
        <w:jc w:val="both"/>
        <w:rPr>
          <w:rFonts w:ascii="Times New Roman" w:hAnsi="Times New Roman"/>
          <w:color w:val="000000"/>
          <w:sz w:val="28"/>
          <w:szCs w:val="28"/>
        </w:rPr>
      </w:pPr>
      <w:r w:rsidRPr="003B10E2">
        <w:rPr>
          <w:rFonts w:ascii="Times New Roman" w:hAnsi="Times New Roman"/>
          <w:color w:val="000000"/>
          <w:sz w:val="28"/>
          <w:szCs w:val="28"/>
        </w:rPr>
        <w:fldChar w:fldCharType="begin"/>
      </w:r>
      <w:r w:rsidRPr="003B10E2">
        <w:rPr>
          <w:rFonts w:ascii="Times New Roman" w:hAnsi="Times New Roman"/>
          <w:color w:val="000000"/>
          <w:sz w:val="28"/>
          <w:szCs w:val="28"/>
        </w:rPr>
        <w:instrText xml:space="preserve"> QUOTE </w:instrText>
      </w:r>
      <w:r w:rsidR="00F276E9">
        <w:rPr>
          <w:noProof/>
          <w:position w:val="-9"/>
        </w:rPr>
      </w:r>
      <w:r w:rsidR="00F276E9">
        <w:rPr>
          <w:noProof/>
          <w:position w:val="-9"/>
        </w:rPr>
        <w:pict w14:anchorId="5BC372B6">
          <v:shape id="_x0000_i1057" type="#_x0000_t75" style="width:79.5pt;height:16.3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DE2&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1A0DE2&quot; wsp:rsidP=&quot;001A0DE2&quot;&gt;&lt;m:oMathPara&gt;&lt;m:oMath&gt;&lt;m:r&gt;&lt;w:rPr&gt;&lt;w:rFonts w:ascii=&quot;Cambria Math&quot; w:h-ansi=&quot;Cambria Math&quot;/&gt;&lt;wx:font wx:val=&quot;Cambria Math&quot;/&gt;&lt;w:i/&gt;&lt;/w:rPr&gt;&lt;m:t&gt;AIT&lt;/m:t&gt;&lt;/m:r&gt;&lt;m:sSubSup&gt;&lt;m:sSubSupPr&gt;&lt;m:ctrlPr&gt;&lt;w:rPr&gt;&lt;w:rFonts w:ascii=&quot;Cambria Math&quot; w:h-ansi=&quot;Cambria Math&quot;/&gt;&lt;wx:font wx:val=&quot;Cambria Math&quot;/&gt;&lt;/w:rPr&gt;&lt;/m:ctrlPr&gt;&lt;/m:sSubSupPr&gt;&lt;m:e/&gt;&lt;m:sub&gt;&lt;m:r&gt;&lt;w:rPr&gt;&lt;w:rFonts w:ascii=&quot;Cambria Math&quot; w:h-ansi=&quot;Cambria Math&quot;/&gt;&lt;wx:font wx:val=&quot;Cambria Math&quot;/&gt;&lt;w:i/&gt;&lt;/w:rPr&gt;&lt;m:t&gt;k&lt;/m:t&gt;&lt;/m:r&gt;&lt;/m:sub&gt;&lt;m:sup/&gt;&lt;/m:sSubSup&gt;&lt;m:d&gt;&lt;m:dPr&gt;&lt;m:begChr m:val=&quot;|&quot;/&gt;&lt;m:endChr m:val=&quot;|&quot;/&gt;&lt;m:ctrlPr&gt;&lt;w:rPr&gt;&lt;w:rFonts w:ascii=&quot;Cambria Math&quot; w:h-ansi=&quot;Cambria Math&quot;/&gt;&lt;wx:font wx:val=&quot;Cambria Math&quot;/&gt;&lt;/w:rPr&gt;&lt;/m:ctrlPr&gt;&lt;/m:dPr&gt;&lt;m:e&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T&lt;/m:t&gt;&lt;/m:r&gt;&lt;/m:e&gt;&lt;m:sup&gt;&lt;m:r&gt;&lt;w:rPr&gt;&lt;w:rFonts w:ascii=&quot;Cambria Math&quot; w:h-ansi=&quot;Cambria Math&quot;/&gt;&lt;wx:font wx:val=&quot;Cambria Math&quot;/&gt;&lt;w:i/&gt;&lt;/w:rPr&gt;&lt;m:t&gt;-0.5&lt;/m:t&gt;&lt;/m:r&gt;&lt;/m:sup&gt;&lt;/m:sSup&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G&lt;/m:t&gt;&lt;/m:r&gt;&lt;/m:e&gt;&lt;m:sub&gt;&lt;m:r&gt;&lt;w:rPr&gt;&lt;w:rFonts w:ascii=&quot;Cambria Math&quot; w:h-ansi=&quot;Cambria Math&quot;/&gt;&lt;wx:font wx:val=&quot;Cambria Math&quot;/&gt;&lt;w:i/&gt;&lt;/w:rPr&gt;&lt;m:t&gt;k&lt;/m:t&gt;&lt;/m:r&gt;&lt;/m:sub&gt;&lt;/m:sSub&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6" o:title="" chromakey="white"/>
          </v:shape>
        </w:pict>
      </w:r>
      <w:r w:rsidRPr="003B10E2">
        <w:rPr>
          <w:rFonts w:ascii="Times New Roman" w:hAnsi="Times New Roman"/>
          <w:color w:val="000000"/>
          <w:sz w:val="28"/>
          <w:szCs w:val="28"/>
        </w:rPr>
        <w:instrText xml:space="preserve"> </w:instrText>
      </w:r>
      <w:r w:rsidRPr="003B10E2">
        <w:rPr>
          <w:rFonts w:ascii="Times New Roman" w:hAnsi="Times New Roman"/>
          <w:color w:val="000000"/>
          <w:sz w:val="28"/>
          <w:szCs w:val="28"/>
        </w:rPr>
        <w:fldChar w:fldCharType="separate"/>
      </w:r>
      <w:r w:rsidR="00F276E9">
        <w:rPr>
          <w:noProof/>
          <w:position w:val="-9"/>
        </w:rPr>
      </w:r>
      <w:r w:rsidR="00F276E9">
        <w:rPr>
          <w:noProof/>
          <w:position w:val="-9"/>
        </w:rPr>
        <w:pict w14:anchorId="7414926C">
          <v:shape id="_x0000_i1058" type="#_x0000_t75" style="width:79.5pt;height:16.3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DE2&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1A0DE2&quot; wsp:rsidP=&quot;001A0DE2&quot;&gt;&lt;m:oMathPara&gt;&lt;m:oMath&gt;&lt;m:r&gt;&lt;w:rPr&gt;&lt;w:rFonts w:ascii=&quot;Cambria Math&quot; w:h-ansi=&quot;Cambria Math&quot;/&gt;&lt;wx:font wx:val=&quot;Cambria Math&quot;/&gt;&lt;w:i/&gt;&lt;/w:rPr&gt;&lt;m:t&gt;AIT&lt;/m:t&gt;&lt;/m:r&gt;&lt;m:sSubSup&gt;&lt;m:sSubSupPr&gt;&lt;m:ctrlPr&gt;&lt;w:rPr&gt;&lt;w:rFonts w:ascii=&quot;Cambria Math&quot; w:h-ansi=&quot;Cambria Math&quot;/&gt;&lt;wx:font wx:val=&quot;Cambria Math&quot;/&gt;&lt;/w:rPr&gt;&lt;/m:ctrlPr&gt;&lt;/m:sSubSupPr&gt;&lt;m:e/&gt;&lt;m:sub&gt;&lt;m:r&gt;&lt;w:rPr&gt;&lt;w:rFonts w:ascii=&quot;Cambria Math&quot; w:h-ansi=&quot;Cambria Math&quot;/&gt;&lt;wx:font wx:val=&quot;Cambria Math&quot;/&gt;&lt;w:i/&gt;&lt;/w:rPr&gt;&lt;m:t&gt;k&lt;/m:t&gt;&lt;/m:r&gt;&lt;/m:sub&gt;&lt;m:sup/&gt;&lt;/m:sSubSup&gt;&lt;m:d&gt;&lt;m:dPr&gt;&lt;m:begChr m:val=&quot;|&quot;/&gt;&lt;m:endChr m:val=&quot;|&quot;/&gt;&lt;m:ctrlPr&gt;&lt;w:rPr&gt;&lt;w:rFonts w:ascii=&quot;Cambria Math&quot; w:h-ansi=&quot;Cambria Math&quot;/&gt;&lt;wx:font wx:val=&quot;Cambria Math&quot;/&gt;&lt;/w:rPr&gt;&lt;/m:ctrlPr&gt;&lt;/m:dPr&gt;&lt;m:e&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T&lt;/m:t&gt;&lt;/m:r&gt;&lt;/m:e&gt;&lt;m:sup&gt;&lt;m:r&gt;&lt;w:rPr&gt;&lt;w:rFonts w:ascii=&quot;Cambria Math&quot; w:h-ansi=&quot;Cambria Math&quot;/&gt;&lt;wx:font wx:val=&quot;Cambria Math&quot;/&gt;&lt;w:i/&gt;&lt;/w:rPr&gt;&lt;m:t&gt;-0.5&lt;/m:t&gt;&lt;/m:r&gt;&lt;/m:sup&gt;&lt;/m:sSup&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G&lt;/m:t&gt;&lt;/m:r&gt;&lt;/m:e&gt;&lt;m:sub&gt;&lt;m:r&gt;&lt;w:rPr&gt;&lt;w:rFonts w:ascii=&quot;Cambria Math&quot; w:h-ansi=&quot;Cambria Math&quot;/&gt;&lt;wx:font wx:val=&quot;Cambria Math&quot;/&gt;&lt;w:i/&gt;&lt;/w:rPr&gt;&lt;m:t&gt;k&lt;/m:t&gt;&lt;/m:r&gt;&lt;/m:sub&gt;&lt;/m:sSub&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6" o:title="" chromakey="white"/>
          </v:shape>
        </w:pict>
      </w:r>
      <w:r w:rsidRPr="003B10E2">
        <w:rPr>
          <w:rFonts w:ascii="Times New Roman" w:hAnsi="Times New Roman"/>
          <w:color w:val="000000"/>
          <w:sz w:val="28"/>
          <w:szCs w:val="28"/>
        </w:rPr>
        <w:fldChar w:fldCharType="end"/>
      </w:r>
      <w:r w:rsidR="009D6E3C" w:rsidRPr="003B10E2">
        <w:rPr>
          <w:rFonts w:ascii="Times New Roman" w:hAnsi="Times New Roman"/>
          <w:color w:val="000000"/>
          <w:sz w:val="28"/>
          <w:szCs w:val="28"/>
        </w:rPr>
        <w:tab/>
      </w:r>
      <w:r w:rsidR="009D6E3C" w:rsidRPr="003B10E2">
        <w:rPr>
          <w:rFonts w:ascii="Times New Roman" w:hAnsi="Times New Roman"/>
          <w:color w:val="000000"/>
          <w:sz w:val="28"/>
          <w:szCs w:val="28"/>
        </w:rPr>
        <w:tab/>
      </w:r>
      <w:r w:rsidR="009D6E3C" w:rsidRPr="003B10E2">
        <w:rPr>
          <w:rFonts w:ascii="Times New Roman" w:hAnsi="Times New Roman"/>
          <w:color w:val="000000"/>
          <w:sz w:val="28"/>
          <w:szCs w:val="28"/>
        </w:rPr>
        <w:tab/>
      </w:r>
      <w:r w:rsidR="009D6E3C" w:rsidRPr="003B10E2">
        <w:rPr>
          <w:rFonts w:ascii="Times New Roman" w:hAnsi="Times New Roman"/>
          <w:color w:val="000000"/>
          <w:sz w:val="28"/>
          <w:szCs w:val="28"/>
        </w:rPr>
        <w:tab/>
        <w:t xml:space="preserve">   </w:t>
      </w:r>
      <w:r w:rsidR="005840BB" w:rsidRPr="003B10E2">
        <w:rPr>
          <w:rFonts w:ascii="Times New Roman" w:hAnsi="Times New Roman"/>
          <w:color w:val="000000"/>
          <w:sz w:val="28"/>
          <w:szCs w:val="28"/>
        </w:rPr>
        <w:t>(A.1)</w:t>
      </w:r>
    </w:p>
    <w:p w14:paraId="701F78CA" w14:textId="77777777" w:rsidR="009D6E3C" w:rsidRPr="003B10E2" w:rsidRDefault="009D6E3C" w:rsidP="009D6E3C">
      <w:pPr>
        <w:spacing w:after="0" w:line="360" w:lineRule="auto"/>
        <w:ind w:left="3397" w:firstLine="851"/>
        <w:jc w:val="both"/>
        <w:rPr>
          <w:rFonts w:ascii="Times New Roman" w:hAnsi="Times New Roman"/>
          <w:color w:val="000000"/>
          <w:sz w:val="28"/>
          <w:szCs w:val="28"/>
        </w:rPr>
      </w:pPr>
    </w:p>
    <w:p w14:paraId="0269E3A9" w14:textId="77777777" w:rsidR="005840BB" w:rsidRPr="003B10E2" w:rsidRDefault="002D341E" w:rsidP="009D6E3C">
      <w:pPr>
        <w:spacing w:after="0" w:line="360" w:lineRule="auto"/>
        <w:ind w:left="1981" w:firstLine="851"/>
        <w:jc w:val="both"/>
        <w:rPr>
          <w:rFonts w:ascii="Times New Roman" w:hAnsi="Times New Roman"/>
          <w:color w:val="000000"/>
          <w:sz w:val="28"/>
          <w:szCs w:val="28"/>
        </w:rPr>
      </w:pPr>
      <w:r w:rsidRPr="003B10E2">
        <w:rPr>
          <w:rFonts w:ascii="Times New Roman" w:hAnsi="Times New Roman"/>
          <w:color w:val="000000"/>
          <w:sz w:val="28"/>
          <w:szCs w:val="28"/>
        </w:rPr>
        <w:fldChar w:fldCharType="begin"/>
      </w:r>
      <w:r w:rsidRPr="003B10E2">
        <w:rPr>
          <w:rFonts w:ascii="Times New Roman" w:hAnsi="Times New Roman"/>
          <w:color w:val="000000"/>
          <w:sz w:val="28"/>
          <w:szCs w:val="28"/>
        </w:rPr>
        <w:instrText xml:space="preserve"> QUOTE </w:instrText>
      </w:r>
      <w:r w:rsidR="00F276E9">
        <w:rPr>
          <w:noProof/>
          <w:position w:val="-6"/>
        </w:rPr>
      </w:r>
      <w:r w:rsidR="00F276E9">
        <w:rPr>
          <w:noProof/>
          <w:position w:val="-6"/>
        </w:rPr>
        <w:pict w14:anchorId="54421F10">
          <v:shape id="_x0000_i1059" type="#_x0000_t75" style="width:49.45pt;height:14.1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0228&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490228&quot; wsp:rsidP=&quot;00490228&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G&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О»&lt;/m:t&gt;&lt;/m:r&gt;&lt;/m:e&gt;&lt;m:sup&gt;&lt;m:r&gt;&lt;w:rPr&gt;&lt;w:rFonts w:ascii=&quot;Cambria Math&quot; w:h-ansi=&quot;Cambria Math&quot;/&gt;&lt;wx:font wx:val=&quot;Cambria Math&quot;/&gt;&lt;w:i/&gt;&lt;/w:rPr&gt;&lt;m:t&gt;-0.5&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7" o:title="" chromakey="white"/>
          </v:shape>
        </w:pict>
      </w:r>
      <w:r w:rsidRPr="003B10E2">
        <w:rPr>
          <w:rFonts w:ascii="Times New Roman" w:hAnsi="Times New Roman"/>
          <w:color w:val="000000"/>
          <w:sz w:val="28"/>
          <w:szCs w:val="28"/>
        </w:rPr>
        <w:instrText xml:space="preserve"> </w:instrText>
      </w:r>
      <w:r w:rsidRPr="003B10E2">
        <w:rPr>
          <w:rFonts w:ascii="Times New Roman" w:hAnsi="Times New Roman"/>
          <w:color w:val="000000"/>
          <w:sz w:val="28"/>
          <w:szCs w:val="28"/>
        </w:rPr>
        <w:fldChar w:fldCharType="separate"/>
      </w:r>
      <w:r w:rsidR="00F276E9">
        <w:rPr>
          <w:noProof/>
          <w:position w:val="-6"/>
        </w:rPr>
      </w:r>
      <w:r w:rsidR="00F276E9">
        <w:rPr>
          <w:noProof/>
          <w:position w:val="-6"/>
        </w:rPr>
        <w:pict w14:anchorId="07AE7CF6">
          <v:shape id="_x0000_i1060" type="#_x0000_t75" style="width:49.45pt;height:14.1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0228&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490228&quot; wsp:rsidP=&quot;00490228&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G&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О»&lt;/m:t&gt;&lt;/m:r&gt;&lt;/m:e&gt;&lt;m:sup&gt;&lt;m:r&gt;&lt;w:rPr&gt;&lt;w:rFonts w:ascii=&quot;Cambria Math&quot; w:h-ansi=&quot;Cambria Math&quot;/&gt;&lt;wx:font wx:val=&quot;Cambria Math&quot;/&gt;&lt;w:i/&gt;&lt;/w:rPr&gt;&lt;m:t&gt;-0.5&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7" o:title="" chromakey="white"/>
          </v:shape>
        </w:pict>
      </w:r>
      <w:r w:rsidRPr="003B10E2">
        <w:rPr>
          <w:rFonts w:ascii="Times New Roman" w:hAnsi="Times New Roman"/>
          <w:color w:val="000000"/>
          <w:sz w:val="28"/>
          <w:szCs w:val="28"/>
        </w:rPr>
        <w:fldChar w:fldCharType="end"/>
      </w:r>
      <w:r w:rsidR="005840BB" w:rsidRPr="003B10E2">
        <w:rPr>
          <w:rFonts w:ascii="Times New Roman" w:hAnsi="Times New Roman"/>
          <w:color w:val="000000"/>
          <w:sz w:val="28"/>
          <w:szCs w:val="28"/>
        </w:rPr>
        <w:t xml:space="preserve"> </w:t>
      </w:r>
      <w:r w:rsidRPr="003B10E2">
        <w:rPr>
          <w:rFonts w:ascii="Times New Roman" w:hAnsi="Times New Roman"/>
          <w:color w:val="000000"/>
          <w:sz w:val="28"/>
          <w:szCs w:val="28"/>
        </w:rPr>
        <w:fldChar w:fldCharType="begin"/>
      </w:r>
      <w:r w:rsidRPr="003B10E2">
        <w:rPr>
          <w:rFonts w:ascii="Times New Roman" w:hAnsi="Times New Roman"/>
          <w:color w:val="000000"/>
          <w:sz w:val="28"/>
          <w:szCs w:val="28"/>
        </w:rPr>
        <w:instrText xml:space="preserve"> QUOTE </w:instrText>
      </w:r>
      <w:r w:rsidR="00F276E9">
        <w:rPr>
          <w:noProof/>
          <w:position w:val="-6"/>
        </w:rPr>
      </w:r>
      <w:r w:rsidR="00F276E9">
        <w:rPr>
          <w:noProof/>
          <w:position w:val="-6"/>
        </w:rPr>
        <w:pict w14:anchorId="4BFC9C2B">
          <v:shape id="_x0000_i1061" type="#_x0000_t75" style="width:153.7pt;height:15.4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45F8D&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C45F8D&quot; wsp:rsidP=&quot;00C45F8D&quot;&gt;&lt;m:oMathPara&gt;&lt;m:oMath&gt;&lt;m:d&gt;&lt;m:dPr&gt;&lt;m:begChr m:val=&quot;[&quot;/&gt;&lt;m:endChr m:val=&quot;]&quot;/&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C&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d&gt;&lt;m:dPr&gt;&lt;m:ctrlPr&gt;&lt;w:rPr&gt;&lt;w:rFonts w:ascii=&quot;Cambria Math&quot; w:h-ansi=&quot;Cambria Math&quot;/&gt;&lt;wx:font wx:val=&quot;Cambria Math&quot;/&gt;&lt;/w:rPr&gt;&lt;/m:ctrlPr&gt;&lt;/m:dPr&gt;&lt;m:e&gt;&lt;m:f&gt;&lt;m:fPr&gt;&lt;m:type m:val=&quot;lin&quot;/&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k&lt;/m:t&gt;&lt;/m:r&gt;&lt;/m:num&gt;&lt;m:den&gt;&lt;m:r&gt;&lt;w:rPr&gt;&lt;w:rFonts w:ascii=&quot;Cambria Math&quot; w:h-ansi=&quot;Cambria Math&quot;/&gt;&lt;wx:font wx:val=&quot;Cambria Math&quot;/&gt;&lt;w:i/&gt;&lt;/w:rPr&gt;&lt;m:t&gt;T&lt;/m:t&gt;&lt;/m:r&gt;&lt;/m:den&gt;&lt;/m:f&gt;&lt;/m:e&gt;&lt;/m:d&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C&lt;/m:t&gt;&lt;/m:r&gt;&lt;/m:e&gt;&lt;m:sub&gt;&lt;m:r&gt;&lt;w:rPr&gt;&lt;w:rFonts w:ascii=&quot;Cambria Math&quot; w:h-ansi=&quot;Cambria Math&quot;/&gt;&lt;wx:font wx:val=&quot;Cambria Math&quot;/&gt;&lt;w:i/&gt;&lt;/w:rPr&gt;&lt;m:t&gt;T&lt;/m:t&gt;&lt;/m:r&gt;&lt;/m:sub&gt;&lt;/m:sSub&gt;&lt;/m:e&gt;&lt;/m:d&gt;&lt;m:r&gt;&lt;w:rPr&gt;&lt;w:rFonts w:ascii=&quot;Cambria Math&quot; w:h-ansi=&quot;Cambria Math&quot;/&gt;&lt;wx:font wx:val=&quot;Cambria Math&quot;/&gt;&lt;w:i/&gt;&lt;/w:rPr&gt;&lt;m:t&gt;,РіРґРµ&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C&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nary&gt;&lt;m:naryPr&gt;&lt;m:chr m:val=&quot;в€‘&quot;/&gt;&lt;m:ctrlPr&gt;&lt;w:rPr&gt;&lt;w:rFonts w:ascii=&quot;Cambria Math&quot; w:h-ansi=&quot;Cambria Math&quot;/&gt;&lt;wx:font wx:val=&quot;Cambria Math&quot;/&gt;&lt;/w:rPr&gt;&lt;/m:ctrlPr&gt;&lt;/m:naryPr&gt;&lt;m:sub&gt;&lt;m:r&gt;&lt;w:rPr&gt;&lt;w:rFonts w:ascii=&quot;Cambria Math&quot; w:h-ansi=&quot;Cambria Math&quot;/&gt;&lt;wx:font wx:val=&quot;Cambria Math&quot;/&gt;&lt;w:i/&gt;&lt;/w:rPr&gt;&lt;m:t&gt;t=1&lt;/m:t&gt;&lt;/m:r&gt;&lt;/m:sub&gt;&lt;m:sup&gt;&lt;m:r&gt;&lt;w:rPr&gt;&lt;w:rFonts w:ascii=&quot;Cambria Math&quot; w:h-ansi=&quot;Cambria Math&quot;/&gt;&lt;wx:font wx:val=&quot;Cambria Math&quot;/&gt;&lt;w:i/&gt;&lt;/w:rPr&gt;&lt;m:t&gt;k&lt;/m:t&gt;&lt;/m:r&gt;&lt;/m:sup&gt;&lt;m:e&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П„&lt;/m:t&gt;&lt;/m:r&gt;&lt;/m:e&gt;&lt;m:sub&gt;&lt;m:r&gt;&lt;w:rPr&gt;&lt;w:rFonts w:ascii=&quot;Cambria Math&quot; w:h-ansi=&quot;Cambria Math&quot;/&gt;&lt;wx:font wx:val=&quot;Cambria Math&quot;/&gt;&lt;w:i/&gt;&lt;/w:rPr&gt;&lt;m:t&gt;t&lt;/m:t&gt;&lt;/m:r&gt;&lt;/m:sub&gt;&lt;m:sup&gt;&lt;m:r&gt;&lt;w:rPr&gt;&lt;w:rFonts w:ascii=&quot;Cambria Math&quot; w:h-ansi=&quot;Cambria Math&quot;/&gt;&lt;wx:font wx:val=&quot;Cambria Math&quot;/&gt;&lt;w:i/&gt;&lt;/w:rPr&gt;&lt;m:t&gt;2&lt;/m:t&gt;&lt;/m:r&gt;&lt;/m:sup&gt;&lt;/m:sSub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8" o:title="" chromakey="white"/>
          </v:shape>
        </w:pict>
      </w:r>
      <w:r w:rsidRPr="003B10E2">
        <w:rPr>
          <w:rFonts w:ascii="Times New Roman" w:hAnsi="Times New Roman"/>
          <w:color w:val="000000"/>
          <w:sz w:val="28"/>
          <w:szCs w:val="28"/>
        </w:rPr>
        <w:instrText xml:space="preserve"> </w:instrText>
      </w:r>
      <w:r w:rsidRPr="003B10E2">
        <w:rPr>
          <w:rFonts w:ascii="Times New Roman" w:hAnsi="Times New Roman"/>
          <w:color w:val="000000"/>
          <w:sz w:val="28"/>
          <w:szCs w:val="28"/>
        </w:rPr>
        <w:fldChar w:fldCharType="separate"/>
      </w:r>
      <w:r w:rsidR="00F276E9">
        <w:rPr>
          <w:noProof/>
          <w:position w:val="-6"/>
        </w:rPr>
      </w:r>
      <w:r w:rsidR="00F276E9">
        <w:rPr>
          <w:noProof/>
          <w:position w:val="-6"/>
        </w:rPr>
        <w:pict w14:anchorId="34FFFD4E">
          <v:shape id="_x0000_i1062" type="#_x0000_t75" style="width:153.7pt;height:15.4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45F8D&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C45F8D&quot; wsp:rsidP=&quot;00C45F8D&quot;&gt;&lt;m:oMathPara&gt;&lt;m:oMath&gt;&lt;m:d&gt;&lt;m:dPr&gt;&lt;m:begChr m:val=&quot;[&quot;/&gt;&lt;m:endChr m:val=&quot;]&quot;/&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C&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d&gt;&lt;m:dPr&gt;&lt;m:ctrlPr&gt;&lt;w:rPr&gt;&lt;w:rFonts w:ascii=&quot;Cambria Math&quot; w:h-ansi=&quot;Cambria Math&quot;/&gt;&lt;wx:font wx:val=&quot;Cambria Math&quot;/&gt;&lt;/w:rPr&gt;&lt;/m:ctrlPr&gt;&lt;/m:dPr&gt;&lt;m:e&gt;&lt;m:f&gt;&lt;m:fPr&gt;&lt;m:type m:val=&quot;lin&quot;/&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k&lt;/m:t&gt;&lt;/m:r&gt;&lt;/m:num&gt;&lt;m:den&gt;&lt;m:r&gt;&lt;w:rPr&gt;&lt;w:rFonts w:ascii=&quot;Cambria Math&quot; w:h-ansi=&quot;Cambria Math&quot;/&gt;&lt;wx:font wx:val=&quot;Cambria Math&quot;/&gt;&lt;w:i/&gt;&lt;/w:rPr&gt;&lt;m:t&gt;T&lt;/m:t&gt;&lt;/m:r&gt;&lt;/m:den&gt;&lt;/m:f&gt;&lt;/m:e&gt;&lt;/m:d&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C&lt;/m:t&gt;&lt;/m:r&gt;&lt;/m:e&gt;&lt;m:sub&gt;&lt;m:r&gt;&lt;w:rPr&gt;&lt;w:rFonts w:ascii=&quot;Cambria Math&quot; w:h-ansi=&quot;Cambria Math&quot;/&gt;&lt;wx:font wx:val=&quot;Cambria Math&quot;/&gt;&lt;w:i/&gt;&lt;/w:rPr&gt;&lt;m:t&gt;T&lt;/m:t&gt;&lt;/m:r&gt;&lt;/m:sub&gt;&lt;/m:sSub&gt;&lt;/m:e&gt;&lt;/m:d&gt;&lt;m:r&gt;&lt;w:rPr&gt;&lt;w:rFonts w:ascii=&quot;Cambria Math&quot; w:h-ansi=&quot;Cambria Math&quot;/&gt;&lt;wx:font wx:val=&quot;Cambria Math&quot;/&gt;&lt;w:i/&gt;&lt;/w:rPr&gt;&lt;m:t&gt;,РіРґРµ&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C&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nary&gt;&lt;m:naryPr&gt;&lt;m:chr m:val=&quot;в€‘&quot;/&gt;&lt;m:ctrlPr&gt;&lt;w:rPr&gt;&lt;w:rFonts w:ascii=&quot;Cambria Math&quot; w:h-ansi=&quot;Cambria Math&quot;/&gt;&lt;wx:font wx:val=&quot;Cambria Math&quot;/&gt;&lt;/w:rPr&gt;&lt;/m:ctrlPr&gt;&lt;/m:naryPr&gt;&lt;m:sub&gt;&lt;m:r&gt;&lt;w:rPr&gt;&lt;w:rFonts w:ascii=&quot;Cambria Math&quot; w:h-ansi=&quot;Cambria Math&quot;/&gt;&lt;wx:font wx:val=&quot;Cambria Math&quot;/&gt;&lt;w:i/&gt;&lt;/w:rPr&gt;&lt;m:t&gt;t=1&lt;/m:t&gt;&lt;/m:r&gt;&lt;/m:sub&gt;&lt;m:sup&gt;&lt;m:r&gt;&lt;w:rPr&gt;&lt;w:rFonts w:ascii=&quot;Cambria Math&quot; w:h-ansi=&quot;Cambria Math&quot;/&gt;&lt;wx:font wx:val=&quot;Cambria Math&quot;/&gt;&lt;w:i/&gt;&lt;/w:rPr&gt;&lt;m:t&gt;k&lt;/m:t&gt;&lt;/m:r&gt;&lt;/m:sup&gt;&lt;m:e&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П„&lt;/m:t&gt;&lt;/m:r&gt;&lt;/m:e&gt;&lt;m:sub&gt;&lt;m:r&gt;&lt;w:rPr&gt;&lt;w:rFonts w:ascii=&quot;Cambria Math&quot; w:h-ansi=&quot;Cambria Math&quot;/&gt;&lt;wx:font wx:val=&quot;Cambria Math&quot;/&gt;&lt;w:i/&gt;&lt;/w:rPr&gt;&lt;m:t&gt;t&lt;/m:t&gt;&lt;/m:r&gt;&lt;/m:sub&gt;&lt;m:sup&gt;&lt;m:r&gt;&lt;w:rPr&gt;&lt;w:rFonts w:ascii=&quot;Cambria Math&quot; w:h-ansi=&quot;Cambria Math&quot;/&gt;&lt;wx:font wx:val=&quot;Cambria Math&quot;/&gt;&lt;w:i/&gt;&lt;/w:rPr&gt;&lt;m:t&gt;2&lt;/m:t&gt;&lt;/m:r&gt;&lt;/m:sup&gt;&lt;/m:sSub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8" o:title="" chromakey="white"/>
          </v:shape>
        </w:pict>
      </w:r>
      <w:r w:rsidRPr="003B10E2">
        <w:rPr>
          <w:rFonts w:ascii="Times New Roman" w:hAnsi="Times New Roman"/>
          <w:color w:val="000000"/>
          <w:sz w:val="28"/>
          <w:szCs w:val="28"/>
        </w:rPr>
        <w:fldChar w:fldCharType="end"/>
      </w:r>
      <w:r w:rsidR="005840BB" w:rsidRPr="003B10E2">
        <w:rPr>
          <w:rFonts w:ascii="Times New Roman" w:hAnsi="Times New Roman"/>
          <w:color w:val="000000"/>
          <w:sz w:val="28"/>
          <w:szCs w:val="28"/>
        </w:rPr>
        <w:tab/>
      </w:r>
      <w:r w:rsidR="005840BB" w:rsidRPr="003B10E2">
        <w:rPr>
          <w:rFonts w:ascii="Times New Roman" w:hAnsi="Times New Roman"/>
          <w:color w:val="000000"/>
          <w:sz w:val="28"/>
          <w:szCs w:val="28"/>
        </w:rPr>
        <w:tab/>
      </w:r>
      <w:r w:rsidR="009D6E3C" w:rsidRPr="003B10E2">
        <w:rPr>
          <w:rFonts w:ascii="Times New Roman" w:hAnsi="Times New Roman"/>
          <w:color w:val="000000"/>
          <w:sz w:val="28"/>
          <w:szCs w:val="28"/>
        </w:rPr>
        <w:t xml:space="preserve">             </w:t>
      </w:r>
      <w:r w:rsidR="005840BB" w:rsidRPr="003B10E2">
        <w:rPr>
          <w:rFonts w:ascii="Times New Roman" w:hAnsi="Times New Roman"/>
          <w:color w:val="000000"/>
          <w:sz w:val="28"/>
          <w:szCs w:val="28"/>
        </w:rPr>
        <w:t>(A.2)</w:t>
      </w:r>
    </w:p>
    <w:p w14:paraId="334F6AB1" w14:textId="77777777" w:rsidR="009D6E3C" w:rsidRPr="003B10E2" w:rsidRDefault="009D6E3C" w:rsidP="009D6E3C">
      <w:pPr>
        <w:spacing w:after="0" w:line="360" w:lineRule="auto"/>
        <w:ind w:left="1981" w:firstLine="851"/>
        <w:jc w:val="both"/>
        <w:rPr>
          <w:rFonts w:ascii="Times New Roman" w:hAnsi="Times New Roman"/>
          <w:color w:val="000000"/>
          <w:sz w:val="28"/>
          <w:szCs w:val="28"/>
        </w:rPr>
      </w:pPr>
    </w:p>
    <w:p w14:paraId="08BCC6CC" w14:textId="77777777" w:rsidR="005840BB" w:rsidRPr="003B10E2" w:rsidRDefault="002D341E" w:rsidP="009D6E3C">
      <w:pPr>
        <w:spacing w:after="0" w:line="360" w:lineRule="auto"/>
        <w:ind w:left="2689" w:firstLine="851"/>
        <w:jc w:val="both"/>
        <w:rPr>
          <w:rFonts w:ascii="Times New Roman" w:hAnsi="Times New Roman"/>
          <w:color w:val="000000"/>
          <w:sz w:val="28"/>
          <w:szCs w:val="28"/>
        </w:rPr>
      </w:pPr>
      <w:r w:rsidRPr="003B10E2">
        <w:rPr>
          <w:rFonts w:ascii="Times New Roman" w:hAnsi="Times New Roman"/>
          <w:color w:val="000000"/>
          <w:sz w:val="28"/>
          <w:szCs w:val="28"/>
        </w:rPr>
        <w:fldChar w:fldCharType="begin"/>
      </w:r>
      <w:r w:rsidRPr="003B10E2">
        <w:rPr>
          <w:rFonts w:ascii="Times New Roman" w:hAnsi="Times New Roman"/>
          <w:color w:val="000000"/>
          <w:sz w:val="28"/>
          <w:szCs w:val="28"/>
        </w:rPr>
        <w:instrText xml:space="preserve"> QUOTE </w:instrText>
      </w:r>
      <w:r w:rsidR="00F276E9">
        <w:rPr>
          <w:noProof/>
          <w:position w:val="-8"/>
        </w:rPr>
      </w:r>
      <w:r w:rsidR="00F276E9">
        <w:rPr>
          <w:noProof/>
          <w:position w:val="-8"/>
        </w:rPr>
        <w:pict w14:anchorId="5BA57173">
          <v:shape id="_x0000_i1063" type="#_x0000_t75" style="width:161.25pt;height:14.1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06A4&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4406A4&quot; wsp:rsidP=&quot;004406A4&quot;&gt;&lt;m:oMathPara&gt;&lt;m:oMath&gt;&lt;m:r&gt;&lt;w:rPr&gt;&lt;w:rFonts w:ascii=&quot;Cambria Math&quot; w:h-ansi=&quot;Cambria Math&quot;/&gt;&lt;wx:font wx:val=&quot;Cambria Math&quot;/&gt;&lt;w:i/&gt;&lt;/w:rPr&gt;&lt;m:t&gt;О»=&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0&lt;/m:t&gt;&lt;/m:r&gt;&lt;/m:sub&gt;&lt;/m:sSub&gt;&lt;m:r&gt;&lt;w:rPr&gt;&lt;w:rFonts w:ascii=&quot;Cambria Math&quot; w:h-ansi=&quot;Cambria Math&quot;/&gt;&lt;wx:font wx:val=&quot;Cambria Math&quot;/&gt;&lt;w:i/&gt;&lt;/w:rPr&gt;&lt;m:t&gt;+2&lt;/m:t&gt;&lt;/m:r&gt;&lt;m:nary&gt;&lt;m:naryPr&gt;&lt;m:chr m:val=&quot;в€‘&quot;/&gt;&lt;m:ctrlPr&gt;&lt;w:rPr&gt;&lt;w:rFonts w:ascii=&quot;Cambria Math&quot; w:h-ansi=&quot;Cambria Math&quot;/&gt;&lt;wx:font wx:val=&quot;Cambria Math&quot;/&gt;&lt;/w:rPr&gt;&lt;/m:ctrlPr&gt;&lt;/m:naryPr&gt;&lt;m:sub&gt;&lt;m:r&gt;&lt;w:rPr&gt;&lt;w:rFonts w:ascii=&quot;Cambria Math&quot; w:h-ansi=&quot;Cambria Math&quot;/&gt;&lt;wx:font wx:val=&quot;Cambria Math&quot;/&gt;&lt;w:i/&gt;&lt;/w:rPr&gt;&lt;m:t&gt;l=1&lt;/m:t&gt;&lt;/m:r&gt;&lt;/m:sub&gt;&lt;m:sup&gt;&lt;m:r&gt;&lt;w:rPr&gt;&lt;w:rFonts w:ascii=&quot;Cambria Math&quot; w:h-ansi=&quot;Cambria Math&quot;/&gt;&lt;wx:font wx:val=&quot;Cambria Math&quot;/&gt;&lt;w:i/&gt;&lt;/w:rPr&gt;&lt;m:t&gt;m&lt;/m:t&gt;&lt;/m:r&gt;&lt;/m:sup&gt;&lt;m:e&gt;&lt;m:d&gt;&lt;m:dPr&gt;&lt;m:begChr m:val=&quot;[&quot;/&gt;&lt;m:endChr m:val=&quot;]&quot;/&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1-&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l&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m+1&lt;/m:t&gt;&lt;/m:r&gt;&lt;/m:e&gt;&lt;/m:d&gt;&lt;/m:e&gt;&lt;m:sup&gt;&lt;m:r&gt;&lt;w:rPr&gt;&lt;w:rFonts w:ascii=&quot;Cambria Math&quot; w:h-ansi=&quot;Cambria Math&quot;/&gt;&lt;wx:font wx:val=&quot;Cambria Math&quot;/&gt;&lt;w:i/&gt;&lt;/w:rPr&gt;&lt;m:t&gt;-1&lt;/m:t&gt;&lt;/m:r&gt;&lt;/m:sup&gt;&lt;/m:sSup&gt;&lt;/m:e&gt;&lt;/m:d&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l&lt;/m:t&gt;&lt;/m:r&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9" o:title="" chromakey="white"/>
          </v:shape>
        </w:pict>
      </w:r>
      <w:r w:rsidRPr="003B10E2">
        <w:rPr>
          <w:rFonts w:ascii="Times New Roman" w:hAnsi="Times New Roman"/>
          <w:color w:val="000000"/>
          <w:sz w:val="28"/>
          <w:szCs w:val="28"/>
        </w:rPr>
        <w:instrText xml:space="preserve"> </w:instrText>
      </w:r>
      <w:r w:rsidRPr="003B10E2">
        <w:rPr>
          <w:rFonts w:ascii="Times New Roman" w:hAnsi="Times New Roman"/>
          <w:color w:val="000000"/>
          <w:sz w:val="28"/>
          <w:szCs w:val="28"/>
        </w:rPr>
        <w:fldChar w:fldCharType="separate"/>
      </w:r>
      <w:r w:rsidR="00F276E9">
        <w:rPr>
          <w:noProof/>
          <w:position w:val="-8"/>
        </w:rPr>
      </w:r>
      <w:r w:rsidR="00F276E9">
        <w:rPr>
          <w:noProof/>
          <w:position w:val="-8"/>
        </w:rPr>
        <w:pict w14:anchorId="74FE39FE">
          <v:shape id="_x0000_i1064" type="#_x0000_t75" style="width:161.25pt;height:14.1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06A4&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4406A4&quot; wsp:rsidP=&quot;004406A4&quot;&gt;&lt;m:oMathPara&gt;&lt;m:oMath&gt;&lt;m:r&gt;&lt;w:rPr&gt;&lt;w:rFonts w:ascii=&quot;Cambria Math&quot; w:h-ansi=&quot;Cambria Math&quot;/&gt;&lt;wx:font wx:val=&quot;Cambria Math&quot;/&gt;&lt;w:i/&gt;&lt;/w:rPr&gt;&lt;m:t&gt;О»=&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0&lt;/m:t&gt;&lt;/m:r&gt;&lt;/m:sub&gt;&lt;/m:sSub&gt;&lt;m:r&gt;&lt;w:rPr&gt;&lt;w:rFonts w:ascii=&quot;Cambria Math&quot; w:h-ansi=&quot;Cambria Math&quot;/&gt;&lt;wx:font wx:val=&quot;Cambria Math&quot;/&gt;&lt;w:i/&gt;&lt;/w:rPr&gt;&lt;m:t&gt;+2&lt;/m:t&gt;&lt;/m:r&gt;&lt;m:nary&gt;&lt;m:naryPr&gt;&lt;m:chr m:val=&quot;в€‘&quot;/&gt;&lt;m:ctrlPr&gt;&lt;w:rPr&gt;&lt;w:rFonts w:ascii=&quot;Cambria Math&quot; w:h-ansi=&quot;Cambria Math&quot;/&gt;&lt;wx:font wx:val=&quot;Cambria Math&quot;/&gt;&lt;/w:rPr&gt;&lt;/m:ctrlPr&gt;&lt;/m:naryPr&gt;&lt;m:sub&gt;&lt;m:r&gt;&lt;w:rPr&gt;&lt;w:rFonts w:ascii=&quot;Cambria Math&quot; w:h-ansi=&quot;Cambria Math&quot;/&gt;&lt;wx:font wx:val=&quot;Cambria Math&quot;/&gt;&lt;w:i/&gt;&lt;/w:rPr&gt;&lt;m:t&gt;l=1&lt;/m:t&gt;&lt;/m:r&gt;&lt;/m:sub&gt;&lt;m:sup&gt;&lt;m:r&gt;&lt;w:rPr&gt;&lt;w:rFonts w:ascii=&quot;Cambria Math&quot; w:h-ansi=&quot;Cambria Math&quot;/&gt;&lt;wx:font wx:val=&quot;Cambria Math&quot;/&gt;&lt;w:i/&gt;&lt;/w:rPr&gt;&lt;m:t&gt;m&lt;/m:t&gt;&lt;/m:r&gt;&lt;/m:sup&gt;&lt;m:e&gt;&lt;m:d&gt;&lt;m:dPr&gt;&lt;m:begChr m:val=&quot;[&quot;/&gt;&lt;m:endChr m:val=&quot;]&quot;/&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1-&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l&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m+1&lt;/m:t&gt;&lt;/m:r&gt;&lt;/m:e&gt;&lt;/m:d&gt;&lt;/m:e&gt;&lt;m:sup&gt;&lt;m:r&gt;&lt;w:rPr&gt;&lt;w:rFonts w:ascii=&quot;Cambria Math&quot; w:h-ansi=&quot;Cambria Math&quot;/&gt;&lt;wx:font wx:val=&quot;Cambria Math&quot;/&gt;&lt;w:i/&gt;&lt;/w:rPr&gt;&lt;m:t&gt;-1&lt;/m:t&gt;&lt;/m:r&gt;&lt;/m:sup&gt;&lt;/m:sSup&gt;&lt;/m:e&gt;&lt;/m:d&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l&lt;/m:t&gt;&lt;/m:r&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9" o:title="" chromakey="white"/>
          </v:shape>
        </w:pict>
      </w:r>
      <w:r w:rsidRPr="003B10E2">
        <w:rPr>
          <w:rFonts w:ascii="Times New Roman" w:hAnsi="Times New Roman"/>
          <w:color w:val="000000"/>
          <w:sz w:val="28"/>
          <w:szCs w:val="28"/>
        </w:rPr>
        <w:fldChar w:fldCharType="end"/>
      </w:r>
      <w:r w:rsidR="009D6E3C" w:rsidRPr="003B10E2">
        <w:rPr>
          <w:rFonts w:ascii="Times New Roman" w:hAnsi="Times New Roman"/>
          <w:color w:val="000000"/>
          <w:sz w:val="28"/>
          <w:szCs w:val="28"/>
        </w:rPr>
        <w:tab/>
      </w:r>
      <w:r w:rsidR="009D6E3C" w:rsidRPr="003B10E2">
        <w:rPr>
          <w:rFonts w:ascii="Times New Roman" w:hAnsi="Times New Roman"/>
          <w:color w:val="000000"/>
          <w:sz w:val="28"/>
          <w:szCs w:val="28"/>
        </w:rPr>
        <w:tab/>
      </w:r>
      <w:r w:rsidR="009D6E3C" w:rsidRPr="003B10E2">
        <w:rPr>
          <w:rFonts w:ascii="Times New Roman" w:hAnsi="Times New Roman"/>
          <w:color w:val="000000"/>
          <w:sz w:val="28"/>
          <w:szCs w:val="28"/>
        </w:rPr>
        <w:tab/>
        <w:t xml:space="preserve">   </w:t>
      </w:r>
      <w:r w:rsidR="005840BB" w:rsidRPr="003B10E2">
        <w:rPr>
          <w:rFonts w:ascii="Times New Roman" w:hAnsi="Times New Roman"/>
          <w:color w:val="000000"/>
          <w:sz w:val="28"/>
          <w:szCs w:val="28"/>
        </w:rPr>
        <w:t>(А.3)</w:t>
      </w:r>
    </w:p>
    <w:p w14:paraId="4D2336F5" w14:textId="77777777" w:rsidR="005840BB" w:rsidRPr="003B10E2" w:rsidRDefault="009D6E3C" w:rsidP="005840BB">
      <w:pPr>
        <w:spacing w:after="0" w:line="360" w:lineRule="auto"/>
        <w:ind w:firstLine="851"/>
        <w:jc w:val="both"/>
        <w:rPr>
          <w:rFonts w:ascii="Times New Roman" w:hAnsi="Times New Roman"/>
          <w:color w:val="000000"/>
          <w:sz w:val="28"/>
          <w:szCs w:val="28"/>
        </w:rPr>
      </w:pPr>
      <w:r w:rsidRPr="003B10E2">
        <w:rPr>
          <w:rFonts w:ascii="Times New Roman" w:hAnsi="Times New Roman"/>
        </w:rPr>
        <w:t xml:space="preserve">  </w:t>
      </w:r>
      <w:r w:rsidRPr="003B10E2">
        <w:rPr>
          <w:rFonts w:ascii="Times New Roman" w:hAnsi="Times New Roman"/>
        </w:rPr>
        <w:tab/>
      </w:r>
      <w:r w:rsidRPr="003B10E2">
        <w:rPr>
          <w:rFonts w:ascii="Times New Roman" w:hAnsi="Times New Roman"/>
        </w:rPr>
        <w:tab/>
      </w:r>
      <w:r w:rsidR="002D341E" w:rsidRPr="003B10E2">
        <w:rPr>
          <w:rFonts w:ascii="Times New Roman" w:hAnsi="Times New Roman"/>
          <w:color w:val="000000"/>
          <w:sz w:val="28"/>
          <w:szCs w:val="28"/>
        </w:rPr>
        <w:fldChar w:fldCharType="begin"/>
      </w:r>
      <w:r w:rsidR="002D341E" w:rsidRPr="003B10E2">
        <w:rPr>
          <w:rFonts w:ascii="Times New Roman" w:hAnsi="Times New Roman"/>
          <w:color w:val="000000"/>
          <w:sz w:val="28"/>
          <w:szCs w:val="28"/>
        </w:rPr>
        <w:instrText xml:space="preserve"> QUOTE </w:instrText>
      </w:r>
      <w:r w:rsidR="00F276E9">
        <w:rPr>
          <w:noProof/>
          <w:position w:val="-8"/>
        </w:rPr>
      </w:r>
      <w:r w:rsidR="00F276E9">
        <w:rPr>
          <w:noProof/>
          <w:position w:val="-8"/>
        </w:rPr>
        <w:pict w14:anchorId="5803B0B8">
          <v:shape id="_x0000_i1065" type="#_x0000_t75" style="width:278.3pt;height:15.4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3528&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573528&quot; wsp:rsidP=&quot;00573528&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О№&lt;/m:t&gt;&lt;/m:r&gt;&lt;/m:sub&gt;&lt;/m:sSub&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T&lt;/m:t&gt;&lt;/m:r&gt;&lt;/m:e&gt;&lt;m:sup&gt;&lt;m:r&gt;&lt;w:rPr&gt;&lt;w:rFonts w:ascii=&quot;Cambria Math&quot; w:h-ansi=&quot;Cambria Math&quot;/&gt;&lt;wx:font wx:val=&quot;Cambria Math&quot;/&gt;&lt;w:i/&gt;&lt;/w:rPr&gt;&lt;m:t&gt;-1&lt;/m:t&gt;&lt;/m:r&gt;&lt;/m:sup&gt;&lt;/m:sSup&gt;&lt;m:nary&gt;&lt;m:naryPr&gt;&lt;m:chr m:val=&quot;в€‘&quot;/&gt;&lt;m:ctrlPr&gt;&lt;w:rPr&gt;&lt;w:rFonts w:ascii=&quot;Cambria Math&quot; w:h-ansi=&quot;Cambria Math&quot;/&gt;&lt;wx:font wx:val=&quot;Cambria Math&quot;/&gt;&lt;/w:rPr&gt;&lt;/m:ctrlPr&gt;&lt;/m:naryPr&gt;&lt;m:sub&gt;&lt;m:r&gt;&lt;w:rPr&gt;&lt;w:rFonts w:ascii=&quot;Cambria Math&quot; w:h-ansi=&quot;Cambria Math&quot;/&gt;&lt;wx:font wx:val=&quot;Cambria Math&quot;/&gt;&lt;w:i/&gt;&lt;/w:rPr&gt;&lt;m:t&gt;t=l+1&lt;/m:t&gt;&lt;/m:r&gt;&lt;/m:sub&gt;&lt;m:sup&gt;&lt;m:r&gt;&lt;w:rPr&gt;&lt;w:rFonts w:ascii=&quot;Cambria Math&quot; w:h-ansi=&quot;Cambria Math&quot;/&gt;&lt;wx:font wx:val=&quot;Cambria Math&quot;/&gt;&lt;w:i/&gt;&lt;/w:rPr&gt;&lt;m:t&gt;T&lt;/m:t&gt;&lt;/m:r&gt;&lt;/m:sup&gt;&lt;m:e&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П„&lt;/m:t&gt;&lt;/m:r&gt;&lt;/m:e&gt;&lt;m:e&gt;&lt;m:r&gt;&lt;w:rPr&gt;&lt;w:rFonts w:ascii=&quot;Cambria Math&quot; w:h-ansi=&quot;Cambria Math&quot;/&gt;&lt;wx:font wx:val=&quot;Cambria Math&quot;/&gt;&lt;w:i/&gt;&lt;/w:rPr&gt;&lt;m:t&gt;t&lt;/m:t&gt;&lt;/m:r&gt;&lt;/m:e&gt;&lt;m:e&gt;&lt;m:r&gt;&lt;w:rPr&gt;&lt;w:rFonts w:ascii=&quot;Cambria Math&quot; w:h-ansi=&quot;Cambria Math&quot;/&gt;&lt;wx:font wx:val=&quot;Cambria Math&quot;/&gt;&lt;w:i/&gt;&lt;/w:rPr&gt;&lt;m:t&gt;2-&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Пѓ&lt;/m:t&gt;&lt;/m:r&gt;&lt;/m:e&gt;&lt;m:sup&gt;&lt;m:r&gt;&lt;w:rPr&gt;&lt;w:rFonts w:ascii=&quot;Cambria Math&quot; w:h-ansi=&quot;Cambria Math&quot;/&gt;&lt;wx:font wx:val=&quot;Cambria Math&quot;/&gt;&lt;w:i/&gt;&lt;/w:rPr&gt;&lt;m:t&gt;2&lt;/m:t&gt;&lt;/m:r&gt;&lt;/m:sup&gt;&lt;/m:sSup&gt;&lt;/m:e&gt;&lt;/m:d&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П„&lt;/m:t&gt;&lt;/m:r&gt;&lt;/m:e&gt;&lt;m:e&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t-1&lt;/m:t&gt;&lt;/m:r&gt;&lt;/m:e&gt;&lt;m:sup&gt;&lt;m:r&gt;&lt;w:rPr&gt;&lt;w:rFonts w:ascii=&quot;Cambria Math&quot; w:h-ansi=&quot;Cambria Math&quot;/&gt;&lt;wx:font wx:val=&quot;Cambria Math&quot;/&gt;&lt;w:i/&gt;&lt;/w:rPr&gt;&lt;m:t&gt;2&lt;/m:t&gt;&lt;/m:r&gt;&lt;/m:sup&gt;&lt;/m:sSup&gt;&lt;/m:e&gt;&lt;m:e&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Пѓ&lt;/m:t&gt;&lt;/m:r&gt;&lt;/m:e&gt;&lt;m:sup&gt;&lt;m:r&gt;&lt;w:rPr&gt;&lt;w:rFonts w:ascii=&quot;Cambria Math&quot; w:h-ansi=&quot;Cambria Math&quot;/&gt;&lt;wx:font wx:val=&quot;Cambria Math&quot;/&gt;&lt;w:i/&gt;&lt;/w:rPr&gt;&lt;m:t&gt;2&lt;/m:t&gt;&lt;/m:r&gt;&lt;/m:sup&gt;&lt;/m:sSup&gt;&lt;/m:e&gt;&lt;/m:d&gt;&lt;m:r&gt;&lt;w:rPr&gt;&lt;w:rFonts w:ascii=&quot;Cambria Math&quot; w:h-ansi=&quot;Cambria Math&quot;/&gt;&lt;wx:font wx:val=&quot;Cambria Math&quot;/&gt;&lt;w:i/&gt;&lt;/w:rPr&gt;&lt;m:t&gt;,РіРґРµ&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Пѓ&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T&lt;/m:t&gt;&lt;/m:r&gt;&lt;/m:e&gt;&lt;m:sup&gt;&lt;m:r&gt;&lt;w:rPr&gt;&lt;w:rFonts w:ascii=&quot;Cambria Math&quot; w:h-ansi=&quot;Cambria Math&quot;/&gt;&lt;wx:font wx:val=&quot;Cambria Math&quot;/&gt;&lt;w:i/&gt;&lt;/w:rPr&gt;&lt;m:t&gt;-1&lt;/m:t&gt;&lt;/m:r&gt;&lt;/m:sup&gt;&lt;/m:sSup&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C&lt;/m:t&gt;&lt;/m:r&gt;&lt;/m:e&gt;&lt;m:sub&gt;&lt;m:r&gt;&lt;w:rPr&gt;&lt;w:rFonts w:ascii=&quot;Cambria Math&quot; w:h-ansi=&quot;Cambria Math&quot;/&gt;&lt;wx:font wx:val=&quot;Cambria Math&quot;/&gt;&lt;w:i/&gt;&lt;/w:rPr&gt;&lt;m:t&gt;T&lt;/m:t&gt;&lt;/m:r&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0" o:title="" chromakey="white"/>
          </v:shape>
        </w:pict>
      </w:r>
      <w:r w:rsidR="002D341E" w:rsidRPr="003B10E2">
        <w:rPr>
          <w:rFonts w:ascii="Times New Roman" w:hAnsi="Times New Roman"/>
          <w:color w:val="000000"/>
          <w:sz w:val="28"/>
          <w:szCs w:val="28"/>
        </w:rPr>
        <w:instrText xml:space="preserve"> </w:instrText>
      </w:r>
      <w:r w:rsidR="002D341E" w:rsidRPr="003B10E2">
        <w:rPr>
          <w:rFonts w:ascii="Times New Roman" w:hAnsi="Times New Roman"/>
          <w:color w:val="000000"/>
          <w:sz w:val="28"/>
          <w:szCs w:val="28"/>
        </w:rPr>
        <w:fldChar w:fldCharType="separate"/>
      </w:r>
      <w:r w:rsidR="00F276E9">
        <w:rPr>
          <w:noProof/>
          <w:position w:val="-8"/>
        </w:rPr>
      </w:r>
      <w:r w:rsidR="00F276E9">
        <w:rPr>
          <w:noProof/>
          <w:position w:val="-8"/>
        </w:rPr>
        <w:pict w14:anchorId="209F6EF8">
          <v:shape id="_x0000_i1066" type="#_x0000_t75" style="width:278.3pt;height:15.4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3528&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573528&quot; wsp:rsidP=&quot;00573528&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О№&lt;/m:t&gt;&lt;/m:r&gt;&lt;/m:sub&gt;&lt;/m:sSub&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T&lt;/m:t&gt;&lt;/m:r&gt;&lt;/m:e&gt;&lt;m:sup&gt;&lt;m:r&gt;&lt;w:rPr&gt;&lt;w:rFonts w:ascii=&quot;Cambria Math&quot; w:h-ansi=&quot;Cambria Math&quot;/&gt;&lt;wx:font wx:val=&quot;Cambria Math&quot;/&gt;&lt;w:i/&gt;&lt;/w:rPr&gt;&lt;m:t&gt;-1&lt;/m:t&gt;&lt;/m:r&gt;&lt;/m:sup&gt;&lt;/m:sSup&gt;&lt;m:nary&gt;&lt;m:naryPr&gt;&lt;m:chr m:val=&quot;в€‘&quot;/&gt;&lt;m:ctrlPr&gt;&lt;w:rPr&gt;&lt;w:rFonts w:ascii=&quot;Cambria Math&quot; w:h-ansi=&quot;Cambria Math&quot;/&gt;&lt;wx:font wx:val=&quot;Cambria Math&quot;/&gt;&lt;/w:rPr&gt;&lt;/m:ctrlPr&gt;&lt;/m:naryPr&gt;&lt;m:sub&gt;&lt;m:r&gt;&lt;w:rPr&gt;&lt;w:rFonts w:ascii=&quot;Cambria Math&quot; w:h-ansi=&quot;Cambria Math&quot;/&gt;&lt;wx:font wx:val=&quot;Cambria Math&quot;/&gt;&lt;w:i/&gt;&lt;/w:rPr&gt;&lt;m:t&gt;t=l+1&lt;/m:t&gt;&lt;/m:r&gt;&lt;/m:sub&gt;&lt;m:sup&gt;&lt;m:r&gt;&lt;w:rPr&gt;&lt;w:rFonts w:ascii=&quot;Cambria Math&quot; w:h-ansi=&quot;Cambria Math&quot;/&gt;&lt;wx:font wx:val=&quot;Cambria Math&quot;/&gt;&lt;w:i/&gt;&lt;/w:rPr&gt;&lt;m:t&gt;T&lt;/m:t&gt;&lt;/m:r&gt;&lt;/m:sup&gt;&lt;m:e&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П„&lt;/m:t&gt;&lt;/m:r&gt;&lt;/m:e&gt;&lt;m:e&gt;&lt;m:r&gt;&lt;w:rPr&gt;&lt;w:rFonts w:ascii=&quot;Cambria Math&quot; w:h-ansi=&quot;Cambria Math&quot;/&gt;&lt;wx:font wx:val=&quot;Cambria Math&quot;/&gt;&lt;w:i/&gt;&lt;/w:rPr&gt;&lt;m:t&gt;t&lt;/m:t&gt;&lt;/m:r&gt;&lt;/m:e&gt;&lt;m:e&gt;&lt;m:r&gt;&lt;w:rPr&gt;&lt;w:rFonts w:ascii=&quot;Cambria Math&quot; w:h-ansi=&quot;Cambria Math&quot;/&gt;&lt;wx:font wx:val=&quot;Cambria Math&quot;/&gt;&lt;w:i/&gt;&lt;/w:rPr&gt;&lt;m:t&gt;2-&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Пѓ&lt;/m:t&gt;&lt;/m:r&gt;&lt;/m:e&gt;&lt;m:sup&gt;&lt;m:r&gt;&lt;w:rPr&gt;&lt;w:rFonts w:ascii=&quot;Cambria Math&quot; w:h-ansi=&quot;Cambria Math&quot;/&gt;&lt;wx:font wx:val=&quot;Cambria Math&quot;/&gt;&lt;w:i/&gt;&lt;/w:rPr&gt;&lt;m:t&gt;2&lt;/m:t&gt;&lt;/m:r&gt;&lt;/m:sup&gt;&lt;/m:sSup&gt;&lt;/m:e&gt;&lt;/m:d&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П„&lt;/m:t&gt;&lt;/m:r&gt;&lt;/m:e&gt;&lt;m:e&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t-1&lt;/m:t&gt;&lt;/m:r&gt;&lt;/m:e&gt;&lt;m:sup&gt;&lt;m:r&gt;&lt;w:rPr&gt;&lt;w:rFonts w:ascii=&quot;Cambria Math&quot; w:h-ansi=&quot;Cambria Math&quot;/&gt;&lt;wx:font wx:val=&quot;Cambria Math&quot;/&gt;&lt;w:i/&gt;&lt;/w:rPr&gt;&lt;m:t&gt;2&lt;/m:t&gt;&lt;/m:r&gt;&lt;/m:sup&gt;&lt;/m:sSup&gt;&lt;/m:e&gt;&lt;m:e&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Пѓ&lt;/m:t&gt;&lt;/m:r&gt;&lt;/m:e&gt;&lt;m:sup&gt;&lt;m:r&gt;&lt;w:rPr&gt;&lt;w:rFonts w:ascii=&quot;Cambria Math&quot; w:h-ansi=&quot;Cambria Math&quot;/&gt;&lt;wx:font wx:val=&quot;Cambria Math&quot;/&gt;&lt;w:i/&gt;&lt;/w:rPr&gt;&lt;m:t&gt;2&lt;/m:t&gt;&lt;/m:r&gt;&lt;/m:sup&gt;&lt;/m:sSup&gt;&lt;/m:e&gt;&lt;/m:d&gt;&lt;m:r&gt;&lt;w:rPr&gt;&lt;w:rFonts w:ascii=&quot;Cambria Math&quot; w:h-ansi=&quot;Cambria Math&quot;/&gt;&lt;wx:font wx:val=&quot;Cambria Math&quot;/&gt;&lt;w:i/&gt;&lt;/w:rPr&gt;&lt;m:t&gt;,РіРґРµ&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Пѓ&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T&lt;/m:t&gt;&lt;/m:r&gt;&lt;/m:e&gt;&lt;m:sup&gt;&lt;m:r&gt;&lt;w:rPr&gt;&lt;w:rFonts w:ascii=&quot;Cambria Math&quot; w:h-ansi=&quot;Cambria Math&quot;/&gt;&lt;wx:font wx:val=&quot;Cambria Math&quot;/&gt;&lt;w:i/&gt;&lt;/w:rPr&gt;&lt;m:t&gt;-1&lt;/m:t&gt;&lt;/m:r&gt;&lt;/m:sup&gt;&lt;/m:sSup&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C&lt;/m:t&gt;&lt;/m:r&gt;&lt;/m:e&gt;&lt;m:sub&gt;&lt;m:r&gt;&lt;w:rPr&gt;&lt;w:rFonts w:ascii=&quot;Cambria Math&quot; w:h-ansi=&quot;Cambria Math&quot;/&gt;&lt;wx:font wx:val=&quot;Cambria Math&quot;/&gt;&lt;w:i/&gt;&lt;/w:rPr&gt;&lt;m:t&gt;T&lt;/m:t&gt;&lt;/m:r&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0" o:title="" chromakey="white"/>
          </v:shape>
        </w:pict>
      </w:r>
      <w:r w:rsidR="002D341E" w:rsidRPr="003B10E2">
        <w:rPr>
          <w:rFonts w:ascii="Times New Roman" w:hAnsi="Times New Roman"/>
          <w:color w:val="000000"/>
          <w:sz w:val="28"/>
          <w:szCs w:val="28"/>
        </w:rPr>
        <w:fldChar w:fldCharType="end"/>
      </w:r>
      <w:r w:rsidR="005840BB" w:rsidRPr="003B10E2">
        <w:rPr>
          <w:rFonts w:ascii="Times New Roman" w:hAnsi="Times New Roman"/>
          <w:color w:val="000000"/>
          <w:sz w:val="28"/>
          <w:szCs w:val="28"/>
        </w:rPr>
        <w:t>,</w:t>
      </w:r>
      <w:r w:rsidRPr="003B10E2">
        <w:rPr>
          <w:rFonts w:ascii="Times New Roman" w:hAnsi="Times New Roman"/>
          <w:color w:val="000000"/>
          <w:sz w:val="28"/>
          <w:szCs w:val="28"/>
        </w:rPr>
        <w:t xml:space="preserve">                </w:t>
      </w:r>
      <w:r w:rsidR="005840BB" w:rsidRPr="003B10E2">
        <w:rPr>
          <w:rFonts w:ascii="Times New Roman" w:hAnsi="Times New Roman"/>
          <w:color w:val="000000"/>
          <w:sz w:val="28"/>
          <w:szCs w:val="28"/>
        </w:rPr>
        <w:t>(</w:t>
      </w:r>
      <w:r w:rsidR="005840BB" w:rsidRPr="003B10E2">
        <w:rPr>
          <w:rFonts w:ascii="Times New Roman" w:hAnsi="Times New Roman"/>
          <w:color w:val="000000"/>
          <w:sz w:val="28"/>
          <w:szCs w:val="28"/>
          <w:lang w:val="en-US"/>
        </w:rPr>
        <w:t>A</w:t>
      </w:r>
      <w:r w:rsidR="005840BB" w:rsidRPr="003B10E2">
        <w:rPr>
          <w:rFonts w:ascii="Times New Roman" w:hAnsi="Times New Roman"/>
          <w:color w:val="000000"/>
          <w:sz w:val="28"/>
          <w:szCs w:val="28"/>
        </w:rPr>
        <w:t>.4)</w:t>
      </w:r>
    </w:p>
    <w:p w14:paraId="5B002D58" w14:textId="77777777" w:rsidR="005840BB" w:rsidRPr="003B10E2" w:rsidRDefault="005840BB" w:rsidP="005840BB">
      <w:pPr>
        <w:spacing w:after="0" w:line="360" w:lineRule="auto"/>
        <w:jc w:val="both"/>
        <w:rPr>
          <w:rFonts w:ascii="Times New Roman" w:hAnsi="Times New Roman"/>
          <w:color w:val="000000"/>
          <w:sz w:val="28"/>
          <w:szCs w:val="28"/>
        </w:rPr>
      </w:pPr>
    </w:p>
    <w:p w14:paraId="30D868BA" w14:textId="77777777" w:rsidR="005840BB" w:rsidRPr="003B10E2" w:rsidRDefault="005840BB" w:rsidP="005840BB">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xml:space="preserve">где     sup — функция нахождения точной верхней границы множества; </w:t>
      </w:r>
    </w:p>
    <w:p w14:paraId="793686A7" w14:textId="77777777" w:rsidR="005840BB" w:rsidRPr="003B10E2" w:rsidRDefault="005840BB" w:rsidP="005840BB">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T — время;</w:t>
      </w:r>
    </w:p>
    <w:p w14:paraId="3BD8A1C4" w14:textId="77777777" w:rsidR="005840BB" w:rsidRPr="003B10E2" w:rsidRDefault="005840BB" w:rsidP="005840BB">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 </w:t>
      </w:r>
      <w:r w:rsidR="002D341E" w:rsidRPr="003B10E2">
        <w:rPr>
          <w:rFonts w:ascii="Times New Roman" w:hAnsi="Times New Roman"/>
          <w:color w:val="000000"/>
          <w:sz w:val="28"/>
          <w:szCs w:val="28"/>
        </w:rPr>
        <w:fldChar w:fldCharType="begin"/>
      </w:r>
      <w:r w:rsidR="002D341E" w:rsidRPr="003B10E2">
        <w:rPr>
          <w:rFonts w:ascii="Times New Roman" w:hAnsi="Times New Roman"/>
          <w:color w:val="000000"/>
          <w:sz w:val="28"/>
          <w:szCs w:val="28"/>
        </w:rPr>
        <w:instrText xml:space="preserve"> QUOTE </w:instrText>
      </w:r>
      <w:r w:rsidR="00F276E9">
        <w:rPr>
          <w:noProof/>
          <w:position w:val="-6"/>
        </w:rPr>
      </w:r>
      <w:r w:rsidR="00F276E9">
        <w:rPr>
          <w:noProof/>
          <w:position w:val="-6"/>
        </w:rPr>
        <w:pict w14:anchorId="1F70D7B1">
          <v:shape id="_x0000_i1067" type="#_x0000_t75" style="width:11.95pt;height:14.1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370D&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7D370D&quot; wsp:rsidP=&quot;007D370D&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G&lt;/m:t&gt;&lt;/m:r&gt;&lt;/m:e&gt;&lt;m:sub&gt;&lt;m:r&gt;&lt;w:rPr&gt;&lt;w:rFonts w:ascii=&quot;Cambria Math&quot; w:h-ansi=&quot;Cambria Math&quot;/&gt;&lt;wx:font wx:val=&quot;Cambria Math&quot;/&gt;&lt;w:i/&gt;&lt;/w:rPr&gt;&lt;m:t&gt;k&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1" o:title="" chromakey="white"/>
          </v:shape>
        </w:pict>
      </w:r>
      <w:r w:rsidR="002D341E" w:rsidRPr="003B10E2">
        <w:rPr>
          <w:rFonts w:ascii="Times New Roman" w:hAnsi="Times New Roman"/>
          <w:color w:val="000000"/>
          <w:sz w:val="28"/>
          <w:szCs w:val="28"/>
        </w:rPr>
        <w:instrText xml:space="preserve"> </w:instrText>
      </w:r>
      <w:r w:rsidR="002D341E" w:rsidRPr="003B10E2">
        <w:rPr>
          <w:rFonts w:ascii="Times New Roman" w:hAnsi="Times New Roman"/>
          <w:color w:val="000000"/>
          <w:sz w:val="28"/>
          <w:szCs w:val="28"/>
        </w:rPr>
        <w:fldChar w:fldCharType="separate"/>
      </w:r>
      <w:r w:rsidR="00F276E9">
        <w:rPr>
          <w:noProof/>
          <w:position w:val="-6"/>
        </w:rPr>
      </w:r>
      <w:r w:rsidR="00F276E9">
        <w:rPr>
          <w:noProof/>
          <w:position w:val="-6"/>
        </w:rPr>
        <w:pict w14:anchorId="470F7299">
          <v:shape id="_x0000_i1068" type="#_x0000_t75" style="width:11.95pt;height:14.1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370D&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7D370D&quot; wsp:rsidP=&quot;007D370D&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G&lt;/m:t&gt;&lt;/m:r&gt;&lt;/m:e&gt;&lt;m:sub&gt;&lt;m:r&gt;&lt;w:rPr&gt;&lt;w:rFonts w:ascii=&quot;Cambria Math&quot; w:h-ansi=&quot;Cambria Math&quot;/&gt;&lt;wx:font wx:val=&quot;Cambria Math&quot;/&gt;&lt;w:i/&gt;&lt;/w:rPr&gt;&lt;m:t&gt;k&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1" o:title="" chromakey="white"/>
          </v:shape>
        </w:pict>
      </w:r>
      <w:r w:rsidR="002D341E" w:rsidRPr="003B10E2">
        <w:rPr>
          <w:rFonts w:ascii="Times New Roman" w:hAnsi="Times New Roman"/>
          <w:color w:val="000000"/>
          <w:sz w:val="28"/>
          <w:szCs w:val="28"/>
        </w:rPr>
        <w:fldChar w:fldCharType="end"/>
      </w:r>
      <w:r w:rsidRPr="003B10E2">
        <w:rPr>
          <w:rFonts w:ascii="Times New Roman" w:hAnsi="Times New Roman"/>
          <w:color w:val="000000"/>
          <w:sz w:val="28"/>
          <w:szCs w:val="28"/>
        </w:rPr>
        <w:t xml:space="preserve"> — компонента ICCS алгоритма;</w:t>
      </w:r>
    </w:p>
    <w:p w14:paraId="00C2A1AA" w14:textId="77777777" w:rsidR="005840BB" w:rsidRPr="003B10E2" w:rsidRDefault="005840BB" w:rsidP="005840BB">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 k = 1,…,T;</w:t>
      </w:r>
    </w:p>
    <w:p w14:paraId="45C0B8D8" w14:textId="77777777" w:rsidR="005840BB" w:rsidRPr="003B10E2" w:rsidRDefault="005840BB" w:rsidP="005840BB">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 </w:t>
      </w:r>
      <w:r w:rsidR="002D341E" w:rsidRPr="003B10E2">
        <w:rPr>
          <w:rFonts w:ascii="Times New Roman" w:hAnsi="Times New Roman"/>
          <w:color w:val="000000"/>
          <w:sz w:val="28"/>
          <w:szCs w:val="28"/>
        </w:rPr>
        <w:fldChar w:fldCharType="begin"/>
      </w:r>
      <w:r w:rsidR="002D341E" w:rsidRPr="003B10E2">
        <w:rPr>
          <w:rFonts w:ascii="Times New Roman" w:hAnsi="Times New Roman"/>
          <w:color w:val="000000"/>
          <w:sz w:val="28"/>
          <w:szCs w:val="28"/>
        </w:rPr>
        <w:instrText xml:space="preserve"> QUOTE </w:instrText>
      </w:r>
      <w:r w:rsidR="00F276E9">
        <w:rPr>
          <w:noProof/>
          <w:position w:val="-6"/>
        </w:rPr>
      </w:r>
      <w:r w:rsidR="00F276E9">
        <w:rPr>
          <w:noProof/>
          <w:position w:val="-6"/>
        </w:rPr>
        <w:pict w14:anchorId="36AC347E">
          <v:shape id="_x0000_i1069" type="#_x0000_t75" style="width:9.7pt;height:14.1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5C7A&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855C7A&quot; wsp:rsidP=&quot;00855C7A&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C&lt;/m:t&gt;&lt;/m:r&gt;&lt;/m:e&gt;&lt;m:sub&gt;&lt;m:r&gt;&lt;w:rPr&gt;&lt;w:rFonts w:ascii=&quot;Cambria Math&quot; w:h-ansi=&quot;Cambria Math&quot;/&gt;&lt;wx:font wx:val=&quot;Cambria Math&quot;/&gt;&lt;w:i/&gt;&lt;/w:rPr&gt;&lt;m:t&gt;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2" o:title="" chromakey="white"/>
          </v:shape>
        </w:pict>
      </w:r>
      <w:r w:rsidR="002D341E" w:rsidRPr="003B10E2">
        <w:rPr>
          <w:rFonts w:ascii="Times New Roman" w:hAnsi="Times New Roman"/>
          <w:color w:val="000000"/>
          <w:sz w:val="28"/>
          <w:szCs w:val="28"/>
        </w:rPr>
        <w:instrText xml:space="preserve"> </w:instrText>
      </w:r>
      <w:r w:rsidR="002D341E" w:rsidRPr="003B10E2">
        <w:rPr>
          <w:rFonts w:ascii="Times New Roman" w:hAnsi="Times New Roman"/>
          <w:color w:val="000000"/>
          <w:sz w:val="28"/>
          <w:szCs w:val="28"/>
        </w:rPr>
        <w:fldChar w:fldCharType="separate"/>
      </w:r>
      <w:r w:rsidR="00F276E9">
        <w:rPr>
          <w:noProof/>
          <w:position w:val="-6"/>
        </w:rPr>
      </w:r>
      <w:r w:rsidR="00F276E9">
        <w:rPr>
          <w:noProof/>
          <w:position w:val="-6"/>
        </w:rPr>
        <w:pict w14:anchorId="0766A89C">
          <v:shape id="_x0000_i1070" type="#_x0000_t75" style="width:9.7pt;height:14.1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5C7A&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855C7A&quot; wsp:rsidP=&quot;00855C7A&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C&lt;/m:t&gt;&lt;/m:r&gt;&lt;/m:e&gt;&lt;m:sub&gt;&lt;m:r&gt;&lt;w:rPr&gt;&lt;w:rFonts w:ascii=&quot;Cambria Math&quot; w:h-ansi=&quot;Cambria Math&quot;/&gt;&lt;wx:font wx:val=&quot;Cambria Math&quot;/&gt;&lt;w:i/&gt;&lt;/w:rPr&gt;&lt;m:t&gt;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2" o:title="" chromakey="white"/>
          </v:shape>
        </w:pict>
      </w:r>
      <w:r w:rsidR="002D341E" w:rsidRPr="003B10E2">
        <w:rPr>
          <w:rFonts w:ascii="Times New Roman" w:hAnsi="Times New Roman"/>
          <w:color w:val="000000"/>
          <w:sz w:val="28"/>
          <w:szCs w:val="28"/>
        </w:rPr>
        <w:fldChar w:fldCharType="end"/>
      </w:r>
      <w:r w:rsidRPr="003B10E2">
        <w:rPr>
          <w:rFonts w:ascii="Times New Roman" w:hAnsi="Times New Roman"/>
          <w:color w:val="000000"/>
          <w:sz w:val="28"/>
          <w:szCs w:val="28"/>
        </w:rPr>
        <w:t> — сумма квадратов отклонений от среднего значения;</w:t>
      </w:r>
    </w:p>
    <w:p w14:paraId="0D801841" w14:textId="77777777" w:rsidR="005840BB" w:rsidRPr="003B10E2" w:rsidRDefault="005840BB" w:rsidP="005840BB">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 λ — среднее количество событий;</w:t>
      </w:r>
    </w:p>
    <w:p w14:paraId="062F3621" w14:textId="77777777" w:rsidR="005840BB" w:rsidRPr="003B10E2" w:rsidRDefault="005840BB" w:rsidP="005840BB">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 </w:t>
      </w:r>
      <w:r w:rsidR="002D341E" w:rsidRPr="003B10E2">
        <w:rPr>
          <w:rFonts w:ascii="Times New Roman" w:hAnsi="Times New Roman"/>
          <w:color w:val="000000"/>
          <w:sz w:val="28"/>
          <w:szCs w:val="28"/>
        </w:rPr>
        <w:fldChar w:fldCharType="begin"/>
      </w:r>
      <w:r w:rsidR="002D341E" w:rsidRPr="003B10E2">
        <w:rPr>
          <w:rFonts w:ascii="Times New Roman" w:hAnsi="Times New Roman"/>
          <w:color w:val="000000"/>
          <w:sz w:val="28"/>
          <w:szCs w:val="28"/>
        </w:rPr>
        <w:instrText xml:space="preserve"> QUOTE </w:instrText>
      </w:r>
      <w:r w:rsidR="00F276E9">
        <w:rPr>
          <w:noProof/>
          <w:position w:val="-6"/>
        </w:rPr>
      </w:r>
      <w:r w:rsidR="00F276E9">
        <w:rPr>
          <w:noProof/>
          <w:position w:val="-6"/>
        </w:rPr>
        <w:pict w14:anchorId="085F0C31">
          <v:shape id="_x0000_i1071" type="#_x0000_t75" style="width:10.15pt;height:14.1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4D4A&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284D4A&quot; wsp:rsidP=&quot;00284D4A&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3" o:title="" chromakey="white"/>
          </v:shape>
        </w:pict>
      </w:r>
      <w:r w:rsidR="002D341E" w:rsidRPr="003B10E2">
        <w:rPr>
          <w:rFonts w:ascii="Times New Roman" w:hAnsi="Times New Roman"/>
          <w:color w:val="000000"/>
          <w:sz w:val="28"/>
          <w:szCs w:val="28"/>
        </w:rPr>
        <w:instrText xml:space="preserve"> </w:instrText>
      </w:r>
      <w:r w:rsidR="002D341E" w:rsidRPr="003B10E2">
        <w:rPr>
          <w:rFonts w:ascii="Times New Roman" w:hAnsi="Times New Roman"/>
          <w:color w:val="000000"/>
          <w:sz w:val="28"/>
          <w:szCs w:val="28"/>
        </w:rPr>
        <w:fldChar w:fldCharType="separate"/>
      </w:r>
      <w:r w:rsidR="00F276E9">
        <w:rPr>
          <w:noProof/>
          <w:position w:val="-6"/>
        </w:rPr>
      </w:r>
      <w:r w:rsidR="00F276E9">
        <w:rPr>
          <w:noProof/>
          <w:position w:val="-6"/>
        </w:rPr>
        <w:pict w14:anchorId="41636B06">
          <v:shape id="_x0000_i1072" type="#_x0000_t75" style="width:10.15pt;height:14.1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4D4A&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284D4A&quot; wsp:rsidP=&quot;00284D4A&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3" o:title="" chromakey="white"/>
          </v:shape>
        </w:pict>
      </w:r>
      <w:r w:rsidR="002D341E" w:rsidRPr="003B10E2">
        <w:rPr>
          <w:rFonts w:ascii="Times New Roman" w:hAnsi="Times New Roman"/>
          <w:color w:val="000000"/>
          <w:sz w:val="28"/>
          <w:szCs w:val="28"/>
        </w:rPr>
        <w:fldChar w:fldCharType="end"/>
      </w:r>
      <w:r w:rsidRPr="003B10E2">
        <w:rPr>
          <w:rFonts w:ascii="Times New Roman" w:hAnsi="Times New Roman"/>
          <w:color w:val="000000"/>
          <w:sz w:val="28"/>
          <w:szCs w:val="28"/>
        </w:rPr>
        <w:t xml:space="preserve"> и </w:t>
      </w:r>
      <w:r w:rsidR="002D341E" w:rsidRPr="003B10E2">
        <w:fldChar w:fldCharType="begin"/>
      </w:r>
      <w:r w:rsidR="002D341E" w:rsidRPr="003B10E2">
        <w:instrText xml:space="preserve"> QUOTE </w:instrText>
      </w:r>
      <w:r w:rsidR="00F276E9">
        <w:rPr>
          <w:noProof/>
          <w:position w:val="-6"/>
        </w:rPr>
      </w:r>
      <w:r w:rsidR="00F276E9">
        <w:rPr>
          <w:noProof/>
          <w:position w:val="-6"/>
        </w:rPr>
        <w:pict w14:anchorId="1E0D9A00">
          <v:shape id="_x0000_i1073" type="#_x0000_t75" style="width:9.3pt;height:14.1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D42F7&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DD42F7&quot; wsp:rsidP=&quot;00DD42F7&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l&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4" o:title="" chromakey="white"/>
          </v:shape>
        </w:pict>
      </w:r>
      <w:r w:rsidR="002D341E" w:rsidRPr="003B10E2">
        <w:instrText xml:space="preserve"> </w:instrText>
      </w:r>
      <w:r w:rsidR="002D341E" w:rsidRPr="003B10E2">
        <w:fldChar w:fldCharType="separate"/>
      </w:r>
      <w:r w:rsidR="00F276E9">
        <w:rPr>
          <w:noProof/>
          <w:position w:val="-6"/>
        </w:rPr>
      </w:r>
      <w:r w:rsidR="00F276E9">
        <w:rPr>
          <w:noProof/>
          <w:position w:val="-6"/>
        </w:rPr>
        <w:pict w14:anchorId="0AD9BD28">
          <v:shape id="_x0000_i1074" type="#_x0000_t75" style="width:9.3pt;height:14.1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D42F7&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DD42F7&quot; wsp:rsidP=&quot;00DD42F7&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l&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4" o:title="" chromakey="white"/>
          </v:shape>
        </w:pict>
      </w:r>
      <w:r w:rsidR="002D341E" w:rsidRPr="003B10E2">
        <w:fldChar w:fldCharType="end"/>
      </w:r>
      <w:r w:rsidRPr="003B10E2">
        <w:t xml:space="preserve"> </w:t>
      </w:r>
      <w:r w:rsidRPr="003B10E2">
        <w:rPr>
          <w:rFonts w:ascii="Times New Roman" w:hAnsi="Times New Roman"/>
          <w:color w:val="000000"/>
          <w:sz w:val="28"/>
          <w:szCs w:val="28"/>
        </w:rPr>
        <w:t>— компоненты FIGARCH процесса;</w:t>
      </w:r>
    </w:p>
    <w:p w14:paraId="5C3C5286" w14:textId="77777777" w:rsidR="005840BB" w:rsidRPr="003B10E2" w:rsidRDefault="005840BB" w:rsidP="005840BB">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 </w:t>
      </w:r>
      <w:r w:rsidR="002D341E" w:rsidRPr="003B10E2">
        <w:rPr>
          <w:rFonts w:ascii="Times New Roman" w:hAnsi="Times New Roman"/>
          <w:color w:val="000000"/>
          <w:sz w:val="28"/>
          <w:szCs w:val="28"/>
        </w:rPr>
        <w:fldChar w:fldCharType="begin"/>
      </w:r>
      <w:r w:rsidR="002D341E" w:rsidRPr="003B10E2">
        <w:rPr>
          <w:rFonts w:ascii="Times New Roman" w:hAnsi="Times New Roman"/>
          <w:color w:val="000000"/>
          <w:sz w:val="28"/>
          <w:szCs w:val="28"/>
        </w:rPr>
        <w:instrText xml:space="preserve"> QUOTE </w:instrText>
      </w:r>
      <w:r w:rsidR="00F276E9">
        <w:rPr>
          <w:noProof/>
          <w:position w:val="-6"/>
        </w:rPr>
      </w:r>
      <w:r w:rsidR="00F276E9">
        <w:rPr>
          <w:noProof/>
          <w:position w:val="-6"/>
        </w:rPr>
        <w:pict w14:anchorId="5E3A6220">
          <v:shape id="_x0000_i1075" type="#_x0000_t75" style="width:19.45pt;height:14.1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602C&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E0602C&quot; wsp:rsidP=&quot;00E0602C&quot;&gt;&lt;m:oMathPara&gt;&lt;m:oMath&gt;&lt;m:r&gt;&lt;w:rPr&gt;&lt;w:rFonts w:ascii=&quot;Cambria Math&quot; w:h-ansi=&quot;Cambria Math&quot;/&gt;&lt;wx:font wx:val=&quot;Cambria Math&quot;/&gt;&lt;w:i/&gt;&lt;/w:rPr&gt;&lt;m:t&gt;lРёm&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5" o:title="" chromakey="white"/>
          </v:shape>
        </w:pict>
      </w:r>
      <w:r w:rsidR="002D341E" w:rsidRPr="003B10E2">
        <w:rPr>
          <w:rFonts w:ascii="Times New Roman" w:hAnsi="Times New Roman"/>
          <w:color w:val="000000"/>
          <w:sz w:val="28"/>
          <w:szCs w:val="28"/>
        </w:rPr>
        <w:instrText xml:space="preserve"> </w:instrText>
      </w:r>
      <w:r w:rsidR="002D341E" w:rsidRPr="003B10E2">
        <w:rPr>
          <w:rFonts w:ascii="Times New Roman" w:hAnsi="Times New Roman"/>
          <w:color w:val="000000"/>
          <w:sz w:val="28"/>
          <w:szCs w:val="28"/>
        </w:rPr>
        <w:fldChar w:fldCharType="separate"/>
      </w:r>
      <w:r w:rsidR="00F276E9">
        <w:rPr>
          <w:noProof/>
          <w:position w:val="-6"/>
        </w:rPr>
      </w:r>
      <w:r w:rsidR="00F276E9">
        <w:rPr>
          <w:noProof/>
          <w:position w:val="-6"/>
        </w:rPr>
        <w:pict w14:anchorId="00D3411E">
          <v:shape id="_x0000_i1076" type="#_x0000_t75" style="width:19.45pt;height:14.1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602C&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E0602C&quot; wsp:rsidP=&quot;00E0602C&quot;&gt;&lt;m:oMathPara&gt;&lt;m:oMath&gt;&lt;m:r&gt;&lt;w:rPr&gt;&lt;w:rFonts w:ascii=&quot;Cambria Math&quot; w:h-ansi=&quot;Cambria Math&quot;/&gt;&lt;wx:font wx:val=&quot;Cambria Math&quot;/&gt;&lt;w:i/&gt;&lt;/w:rPr&gt;&lt;m:t&gt;lРёm&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5" o:title="" chromakey="white"/>
          </v:shape>
        </w:pict>
      </w:r>
      <w:r w:rsidR="002D341E" w:rsidRPr="003B10E2">
        <w:rPr>
          <w:rFonts w:ascii="Times New Roman" w:hAnsi="Times New Roman"/>
          <w:color w:val="000000"/>
          <w:sz w:val="28"/>
          <w:szCs w:val="28"/>
        </w:rPr>
        <w:fldChar w:fldCharType="end"/>
      </w:r>
      <w:r w:rsidRPr="003B10E2">
        <w:rPr>
          <w:rFonts w:ascii="Times New Roman" w:hAnsi="Times New Roman"/>
          <w:color w:val="000000"/>
          <w:sz w:val="28"/>
          <w:szCs w:val="28"/>
        </w:rPr>
        <w:t xml:space="preserve"> — координаты, задающие функцию окна Бартлетта;</w:t>
      </w:r>
    </w:p>
    <w:p w14:paraId="1136C3E9" w14:textId="77777777" w:rsidR="005840BB" w:rsidRPr="003B10E2" w:rsidRDefault="005840BB" w:rsidP="005840BB">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 </w:t>
      </w:r>
      <w:r w:rsidR="002D341E" w:rsidRPr="003B10E2">
        <w:rPr>
          <w:rFonts w:ascii="Times New Roman" w:hAnsi="Times New Roman"/>
          <w:color w:val="000000"/>
          <w:sz w:val="28"/>
          <w:szCs w:val="28"/>
        </w:rPr>
        <w:fldChar w:fldCharType="begin"/>
      </w:r>
      <w:r w:rsidR="002D341E" w:rsidRPr="003B10E2">
        <w:rPr>
          <w:rFonts w:ascii="Times New Roman" w:hAnsi="Times New Roman"/>
          <w:color w:val="000000"/>
          <w:sz w:val="28"/>
          <w:szCs w:val="28"/>
        </w:rPr>
        <w:instrText xml:space="preserve"> QUOTE </w:instrText>
      </w:r>
      <w:r w:rsidR="00F276E9">
        <w:rPr>
          <w:noProof/>
          <w:position w:val="-6"/>
        </w:rPr>
      </w:r>
      <w:r w:rsidR="00F276E9">
        <w:rPr>
          <w:noProof/>
          <w:position w:val="-6"/>
        </w:rPr>
        <w:pict w14:anchorId="4375C70F">
          <v:shape id="_x0000_i1077" type="#_x0000_t75" style="width:9.3pt;height:14.1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319C8&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B319C8&quot; wsp:rsidP=&quot;00B319C8&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П„&lt;/m:t&gt;&lt;/m:r&gt;&lt;/m:e&gt;&lt;m:sub&gt;&lt;m:r&gt;&lt;w:rPr&gt;&lt;w:rFonts w:ascii=&quot;Cambria Math&quot; w:h-ansi=&quot;Cambria Math&quot;/&gt;&lt;wx:font wx:val=&quot;Cambria Math&quot;/&gt;&lt;w:i/&gt;&lt;/w:rPr&gt;&lt;m:t&gt;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4" o:title="" chromakey="white"/>
          </v:shape>
        </w:pict>
      </w:r>
      <w:r w:rsidR="002D341E" w:rsidRPr="003B10E2">
        <w:rPr>
          <w:rFonts w:ascii="Times New Roman" w:hAnsi="Times New Roman"/>
          <w:color w:val="000000"/>
          <w:sz w:val="28"/>
          <w:szCs w:val="28"/>
        </w:rPr>
        <w:instrText xml:space="preserve"> </w:instrText>
      </w:r>
      <w:r w:rsidR="002D341E" w:rsidRPr="003B10E2">
        <w:rPr>
          <w:rFonts w:ascii="Times New Roman" w:hAnsi="Times New Roman"/>
          <w:color w:val="000000"/>
          <w:sz w:val="28"/>
          <w:szCs w:val="28"/>
        </w:rPr>
        <w:fldChar w:fldCharType="separate"/>
      </w:r>
      <w:r w:rsidR="00F276E9">
        <w:rPr>
          <w:noProof/>
          <w:position w:val="-6"/>
        </w:rPr>
      </w:r>
      <w:r w:rsidR="00F276E9">
        <w:rPr>
          <w:noProof/>
          <w:position w:val="-6"/>
        </w:rPr>
        <w:pict w14:anchorId="186255E8">
          <v:shape id="_x0000_i1078" type="#_x0000_t75" style="width:9.3pt;height:14.1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319C8&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B319C8&quot; wsp:rsidP=&quot;00B319C8&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П„&lt;/m:t&gt;&lt;/m:r&gt;&lt;/m:e&gt;&lt;m:sub&gt;&lt;m:r&gt;&lt;w:rPr&gt;&lt;w:rFonts w:ascii=&quot;Cambria Math&quot; w:h-ansi=&quot;Cambria Math&quot;/&gt;&lt;wx:font wx:val=&quot;Cambria Math&quot;/&gt;&lt;w:i/&gt;&lt;/w:rPr&gt;&lt;m:t&gt;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4" o:title="" chromakey="white"/>
          </v:shape>
        </w:pict>
      </w:r>
      <w:r w:rsidR="002D341E" w:rsidRPr="003B10E2">
        <w:rPr>
          <w:rFonts w:ascii="Times New Roman" w:hAnsi="Times New Roman"/>
          <w:color w:val="000000"/>
          <w:sz w:val="28"/>
          <w:szCs w:val="28"/>
        </w:rPr>
        <w:fldChar w:fldCharType="end"/>
      </w:r>
      <w:r w:rsidRPr="003B10E2">
        <w:rPr>
          <w:rFonts w:ascii="Times New Roman" w:hAnsi="Times New Roman"/>
          <w:color w:val="000000"/>
          <w:sz w:val="28"/>
          <w:szCs w:val="28"/>
        </w:rPr>
        <w:t xml:space="preserve"> — значение временного ряда t;</w:t>
      </w:r>
    </w:p>
    <w:p w14:paraId="7D068454" w14:textId="77777777" w:rsidR="005840BB" w:rsidRPr="003B10E2" w:rsidRDefault="005840BB" w:rsidP="005840BB">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 </w:t>
      </w:r>
      <w:r w:rsidR="002D341E" w:rsidRPr="003B10E2">
        <w:fldChar w:fldCharType="begin"/>
      </w:r>
      <w:r w:rsidR="002D341E" w:rsidRPr="003B10E2">
        <w:instrText xml:space="preserve"> QUOTE </w:instrText>
      </w:r>
      <w:r w:rsidR="00F276E9">
        <w:rPr>
          <w:noProof/>
          <w:position w:val="-6"/>
        </w:rPr>
      </w:r>
      <w:r w:rsidR="00F276E9">
        <w:rPr>
          <w:noProof/>
          <w:position w:val="-6"/>
        </w:rPr>
        <w:pict w14:anchorId="0F8660DA">
          <v:shape id="_x0000_i1079" type="#_x0000_t75" style="width:11.95pt;height:14.1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36462&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A36462&quot; wsp:rsidP=&quot;00A36462&quot;&gt;&lt;m:oMathPara&gt;&lt;m:oMath&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Пѓ&lt;/m:t&gt;&lt;/m:r&gt;&lt;/m:e&gt;&lt;m:sub&gt;&lt;m:r&gt;&lt;w:rPr&gt;&lt;w:rFonts w:ascii=&quot;Cambria Math&quot; w:h-ansi=&quot;Cambria Math&quot;/&gt;&lt;wx:font wx:val=&quot;Cambria Math&quot;/&gt;&lt;w:i/&gt;&lt;/w:rPr&gt;&lt;m:t&gt;t&lt;/m:t&gt;&lt;/m:r&gt;&lt;/m:sub&gt;&lt;m:sup&gt;&lt;m:r&gt;&lt;w:rPr&gt;&lt;w:rFonts w:ascii=&quot;Cambria Math&quot; w:h-ansi=&quot;Cambria Math&quot;/&gt;&lt;wx:font wx:val=&quot;Cambria Math&quot;/&gt;&lt;w:i/&gt;&lt;/w:rPr&gt;&lt;m:t&gt;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5" o:title="" chromakey="white"/>
          </v:shape>
        </w:pict>
      </w:r>
      <w:r w:rsidR="002D341E" w:rsidRPr="003B10E2">
        <w:instrText xml:space="preserve"> </w:instrText>
      </w:r>
      <w:r w:rsidR="002D341E" w:rsidRPr="003B10E2">
        <w:fldChar w:fldCharType="separate"/>
      </w:r>
      <w:r w:rsidR="00F276E9">
        <w:rPr>
          <w:noProof/>
          <w:position w:val="-6"/>
        </w:rPr>
      </w:r>
      <w:r w:rsidR="00F276E9">
        <w:rPr>
          <w:noProof/>
          <w:position w:val="-6"/>
        </w:rPr>
        <w:pict w14:anchorId="313E4E2F">
          <v:shape id="_x0000_i1080" type="#_x0000_t75" style="width:11.95pt;height:14.1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36462&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A36462&quot; wsp:rsidP=&quot;00A36462&quot;&gt;&lt;m:oMathPara&gt;&lt;m:oMath&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Пѓ&lt;/m:t&gt;&lt;/m:r&gt;&lt;/m:e&gt;&lt;m:sub&gt;&lt;m:r&gt;&lt;w:rPr&gt;&lt;w:rFonts w:ascii=&quot;Cambria Math&quot; w:h-ansi=&quot;Cambria Math&quot;/&gt;&lt;wx:font wx:val=&quot;Cambria Math&quot;/&gt;&lt;w:i/&gt;&lt;/w:rPr&gt;&lt;m:t&gt;t&lt;/m:t&gt;&lt;/m:r&gt;&lt;/m:sub&gt;&lt;m:sup&gt;&lt;m:r&gt;&lt;w:rPr&gt;&lt;w:rFonts w:ascii=&quot;Cambria Math&quot; w:h-ansi=&quot;Cambria Math&quot;/&gt;&lt;wx:font wx:val=&quot;Cambria Math&quot;/&gt;&lt;w:i/&gt;&lt;/w:rPr&gt;&lt;m:t&gt;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5" o:title="" chromakey="white"/>
          </v:shape>
        </w:pict>
      </w:r>
      <w:r w:rsidR="002D341E" w:rsidRPr="003B10E2">
        <w:fldChar w:fldCharType="end"/>
      </w:r>
      <w:r w:rsidRPr="003B10E2">
        <w:t xml:space="preserve"> </w:t>
      </w:r>
      <w:r w:rsidRPr="003B10E2">
        <w:rPr>
          <w:rFonts w:ascii="Times New Roman" w:hAnsi="Times New Roman"/>
          <w:color w:val="000000"/>
          <w:sz w:val="28"/>
          <w:szCs w:val="28"/>
        </w:rPr>
        <w:t xml:space="preserve">— среднее квадратичное отклонение значения для временного ряда t. </w:t>
      </w:r>
    </w:p>
    <w:p w14:paraId="7E0F7DAD" w14:textId="77777777" w:rsidR="005840BB" w:rsidRPr="003B10E2" w:rsidRDefault="005840BB" w:rsidP="005840BB">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Согласно [238] устанавливаем параметр запаздывания m = 0,75</w:t>
      </w:r>
      <w:r w:rsidR="002D341E" w:rsidRPr="003B10E2">
        <w:rPr>
          <w:rFonts w:ascii="Times New Roman" w:hAnsi="Times New Roman"/>
          <w:color w:val="000000"/>
          <w:sz w:val="28"/>
          <w:szCs w:val="28"/>
        </w:rPr>
        <w:fldChar w:fldCharType="begin"/>
      </w:r>
      <w:r w:rsidR="002D341E" w:rsidRPr="003B10E2">
        <w:rPr>
          <w:rFonts w:ascii="Times New Roman" w:hAnsi="Times New Roman"/>
          <w:color w:val="000000"/>
          <w:sz w:val="28"/>
          <w:szCs w:val="28"/>
        </w:rPr>
        <w:instrText xml:space="preserve"> QUOTE </w:instrText>
      </w:r>
      <w:r w:rsidR="00F276E9">
        <w:rPr>
          <w:noProof/>
          <w:position w:val="-6"/>
        </w:rPr>
      </w:r>
      <w:r w:rsidR="00F276E9">
        <w:rPr>
          <w:noProof/>
          <w:position w:val="-6"/>
        </w:rPr>
        <w:pict w14:anchorId="3E4A2363">
          <v:shape id="_x0000_i1081" type="#_x0000_t75" style="width:21.2pt;height:15.4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9A8&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2439A8&quot; wsp:rsidP=&quot;002439A8&quot;&gt;&lt;m:oMathPara&gt;&lt;m:oMath&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Рў&lt;/m:t&gt;&lt;/m:r&gt;&lt;/m:e&gt;&lt;m:sup&gt;&lt;m:f&gt;&lt;m:fPr&gt;&lt;m:type m:val=&quot;lin&quot;/&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3&lt;/m:t&gt;&lt;/m:r&gt;&lt;/m:den&gt;&lt;/m:f&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6" o:title="" chromakey="white"/>
          </v:shape>
        </w:pict>
      </w:r>
      <w:r w:rsidR="002D341E" w:rsidRPr="003B10E2">
        <w:rPr>
          <w:rFonts w:ascii="Times New Roman" w:hAnsi="Times New Roman"/>
          <w:color w:val="000000"/>
          <w:sz w:val="28"/>
          <w:szCs w:val="28"/>
        </w:rPr>
        <w:instrText xml:space="preserve"> </w:instrText>
      </w:r>
      <w:r w:rsidR="002D341E" w:rsidRPr="003B10E2">
        <w:rPr>
          <w:rFonts w:ascii="Times New Roman" w:hAnsi="Times New Roman"/>
          <w:color w:val="000000"/>
          <w:sz w:val="28"/>
          <w:szCs w:val="28"/>
        </w:rPr>
        <w:fldChar w:fldCharType="separate"/>
      </w:r>
      <w:r w:rsidR="00F276E9">
        <w:rPr>
          <w:noProof/>
          <w:position w:val="-6"/>
        </w:rPr>
      </w:r>
      <w:r w:rsidR="00F276E9">
        <w:rPr>
          <w:noProof/>
          <w:position w:val="-6"/>
        </w:rPr>
        <w:pict w14:anchorId="3D3C5D4A">
          <v:shape id="_x0000_i1082" type="#_x0000_t75" style="width:21.2pt;height:15.4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9A8&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2439A8&quot; wsp:rsidP=&quot;002439A8&quot;&gt;&lt;m:oMathPara&gt;&lt;m:oMath&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Рў&lt;/m:t&gt;&lt;/m:r&gt;&lt;/m:e&gt;&lt;m:sup&gt;&lt;m:f&gt;&lt;m:fPr&gt;&lt;m:type m:val=&quot;lin&quot;/&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3&lt;/m:t&gt;&lt;/m:r&gt;&lt;/m:den&gt;&lt;/m:f&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6" o:title="" chromakey="white"/>
          </v:shape>
        </w:pict>
      </w:r>
      <w:r w:rsidR="002D341E" w:rsidRPr="003B10E2">
        <w:rPr>
          <w:rFonts w:ascii="Times New Roman" w:hAnsi="Times New Roman"/>
          <w:color w:val="000000"/>
          <w:sz w:val="28"/>
          <w:szCs w:val="28"/>
        </w:rPr>
        <w:fldChar w:fldCharType="end"/>
      </w:r>
      <w:r w:rsidRPr="003B10E2">
        <w:rPr>
          <w:rFonts w:ascii="Times New Roman" w:hAnsi="Times New Roman"/>
          <w:color w:val="000000"/>
          <w:sz w:val="28"/>
          <w:szCs w:val="28"/>
        </w:rPr>
        <w:t xml:space="preserve">. </w:t>
      </w:r>
    </w:p>
    <w:p w14:paraId="33555D18" w14:textId="77777777" w:rsidR="005840BB" w:rsidRPr="003B10E2" w:rsidRDefault="005840BB" w:rsidP="005840BB">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ab/>
        <w:t>С помощью этого модифицированного алгоритма признаем множественные структурные сдвиги в моделях условных дисперсий с помощью фиктивных переменных. Каждая фиктивная переменная соответствует ценовому шоку на рынке. Предположим наличие длинной памяти в волатильности фондового индекса и национальной валюты и будем использовать модель FIGARCH [24] и апробированную на примере восточноевропейских рынков [25] (показатель </w:t>
      </w:r>
      <w:r w:rsidR="002D341E" w:rsidRPr="003B10E2">
        <w:rPr>
          <w:rFonts w:ascii="Times New Roman" w:hAnsi="Times New Roman"/>
          <w:color w:val="000000"/>
          <w:sz w:val="28"/>
          <w:szCs w:val="28"/>
        </w:rPr>
        <w:fldChar w:fldCharType="begin"/>
      </w:r>
      <w:r w:rsidR="002D341E" w:rsidRPr="003B10E2">
        <w:rPr>
          <w:rFonts w:ascii="Times New Roman" w:hAnsi="Times New Roman"/>
          <w:color w:val="000000"/>
          <w:sz w:val="28"/>
          <w:szCs w:val="28"/>
        </w:rPr>
        <w:instrText xml:space="preserve"> QUOTE </w:instrText>
      </w:r>
      <w:r w:rsidR="00F276E9">
        <w:rPr>
          <w:noProof/>
          <w:position w:val="-6"/>
        </w:rPr>
      </w:r>
      <w:r w:rsidR="00F276E9">
        <w:rPr>
          <w:noProof/>
          <w:position w:val="-6"/>
        </w:rPr>
        <w:pict w14:anchorId="4FD3AEEE">
          <v:shape id="_x0000_i1083" type="#_x0000_t75" style="width:8.4pt;height:14.1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97449&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D97449&quot; wsp:rsidP=&quot;00D97449&quot;&gt;&lt;m:oMathPara&gt;&lt;m:oMath&gt;&lt;m:r&gt;&lt;w:rPr&gt;&lt;w:rFonts w:ascii=&quot;Cambria Math&quot; w:h-ansi=&quot;Cambria Math&quot;/&gt;&lt;wx:font wx:val=&quot;Cambria Math&quot;/&gt;&lt;w:i/&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7" o:title="" chromakey="white"/>
          </v:shape>
        </w:pict>
      </w:r>
      <w:r w:rsidR="002D341E" w:rsidRPr="003B10E2">
        <w:rPr>
          <w:rFonts w:ascii="Times New Roman" w:hAnsi="Times New Roman"/>
          <w:color w:val="000000"/>
          <w:sz w:val="28"/>
          <w:szCs w:val="28"/>
        </w:rPr>
        <w:instrText xml:space="preserve"> </w:instrText>
      </w:r>
      <w:r w:rsidR="002D341E" w:rsidRPr="003B10E2">
        <w:rPr>
          <w:rFonts w:ascii="Times New Roman" w:hAnsi="Times New Roman"/>
          <w:color w:val="000000"/>
          <w:sz w:val="28"/>
          <w:szCs w:val="28"/>
        </w:rPr>
        <w:fldChar w:fldCharType="separate"/>
      </w:r>
      <w:r w:rsidR="00F276E9">
        <w:rPr>
          <w:noProof/>
          <w:position w:val="-6"/>
        </w:rPr>
      </w:r>
      <w:r w:rsidR="00F276E9">
        <w:rPr>
          <w:noProof/>
          <w:position w:val="-6"/>
        </w:rPr>
        <w:pict w14:anchorId="06EAD281">
          <v:shape id="_x0000_i1084" type="#_x0000_t75" style="width:8.4pt;height:14.1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97449&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D97449&quot; wsp:rsidP=&quot;00D97449&quot;&gt;&lt;m:oMathPara&gt;&lt;m:oMath&gt;&lt;m:r&gt;&lt;w:rPr&gt;&lt;w:rFonts w:ascii=&quot;Cambria Math&quot; w:h-ansi=&quot;Cambria Math&quot;/&gt;&lt;wx:font wx:val=&quot;Cambria Math&quot;/&gt;&lt;w:i/&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7" o:title="" chromakey="white"/>
          </v:shape>
        </w:pict>
      </w:r>
      <w:r w:rsidR="002D341E" w:rsidRPr="003B10E2">
        <w:rPr>
          <w:rFonts w:ascii="Times New Roman" w:hAnsi="Times New Roman"/>
          <w:color w:val="000000"/>
          <w:sz w:val="28"/>
          <w:szCs w:val="28"/>
        </w:rPr>
        <w:fldChar w:fldCharType="end"/>
      </w:r>
      <w:r w:rsidRPr="003B10E2">
        <w:rPr>
          <w:rFonts w:ascii="Times New Roman" w:hAnsi="Times New Roman"/>
          <w:color w:val="000000"/>
          <w:sz w:val="28"/>
          <w:szCs w:val="28"/>
        </w:rPr>
        <w:t xml:space="preserve"> характеризует эффект перелива волатильности между фондовым и валютным рынками): </w:t>
      </w:r>
    </w:p>
    <w:p w14:paraId="6CE1364F" w14:textId="77777777" w:rsidR="005840BB" w:rsidRPr="003B10E2" w:rsidRDefault="005840BB" w:rsidP="005840BB">
      <w:pPr>
        <w:spacing w:after="0" w:line="360" w:lineRule="auto"/>
        <w:ind w:firstLine="851"/>
        <w:jc w:val="both"/>
        <w:rPr>
          <w:rFonts w:ascii="Times New Roman" w:hAnsi="Times New Roman"/>
          <w:color w:val="000000"/>
          <w:sz w:val="28"/>
          <w:szCs w:val="28"/>
        </w:rPr>
      </w:pPr>
    </w:p>
    <w:p w14:paraId="16ED77AD" w14:textId="77777777" w:rsidR="005840BB" w:rsidRPr="003B10E2" w:rsidRDefault="002D341E" w:rsidP="005840BB">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fldChar w:fldCharType="begin"/>
      </w:r>
      <w:r w:rsidRPr="003B10E2">
        <w:rPr>
          <w:rFonts w:ascii="Times New Roman" w:hAnsi="Times New Roman"/>
          <w:color w:val="000000"/>
          <w:sz w:val="28"/>
          <w:szCs w:val="28"/>
        </w:rPr>
        <w:instrText xml:space="preserve"> QUOTE </w:instrText>
      </w:r>
      <w:r w:rsidR="00F276E9">
        <w:rPr>
          <w:noProof/>
          <w:position w:val="-11"/>
        </w:rPr>
      </w:r>
      <w:r w:rsidR="00F276E9">
        <w:rPr>
          <w:noProof/>
          <w:position w:val="-11"/>
        </w:rPr>
        <w:pict w14:anchorId="799A63DE">
          <v:shape id="_x0000_i1085" type="#_x0000_t75" style="width:361.75pt;height:16.3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6D52&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966D52&quot; wsp:rsidP=&quot;00966D52&quot;&gt;&lt;m:oMathPara&gt;&lt;m:oMath&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Пѓ&lt;/m:t&gt;&lt;/m:r&gt;&lt;/m:e&gt;&lt;m:sub&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r&lt;/m:t&gt;&lt;/m:r&gt;&lt;/m:e&gt;&lt;/m:d&gt;&lt;m:r&gt;&lt;w:rPr&gt;&lt;w:rFonts w:ascii=&quot;Cambria Math&quot; w:h-ansi=&quot;Cambria Math&quot;/&gt;&lt;wx:font wx:val=&quot;Cambria Math&quot;/&gt;&lt;w:i/&gt;&lt;/w:rPr&gt;&lt;m:t&gt;,t&lt;/m:t&gt;&lt;/m:r&gt;&lt;/m:sub&gt;&lt;m:sup&gt;&lt;m:r&gt;&lt;w:rPr&gt;&lt;w:rFonts w:ascii=&quot;Cambria Math&quot; w:h-ansi=&quot;Cambria Math&quot;/&gt;&lt;wx:font wx:val=&quot;Cambria Math&quot;/&gt;&lt;w:i/&gt;&lt;/w:rPr&gt;&lt;m:t&gt;2&lt;/m:t&gt;&lt;/m:r&gt;&lt;/m:sup&gt;&lt;/m:sSubSup&gt;&lt;m:r&gt;&lt;w:rPr&gt;&lt;w:rFonts w:ascii=&quot;Cambria Math&quot; w:h-ansi=&quot;Cambria Math&quot;/&gt;&lt;wx:font wx:val=&quot;Cambria Math&quot;/&gt;&lt;w:i/&gt;&lt;/w:rPr&gt;&lt;m:t&gt;=П‰+ОІ&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L&lt;/m:t&gt;&lt;/m:r&gt;&lt;/m:e&gt;&lt;/m:d&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Пѓ&lt;/m:t&gt;&lt;/m:r&gt;&lt;/m:e&gt;&lt;m:sub&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r&lt;/m:t&gt;&lt;/m:r&gt;&lt;/m:e&gt;&lt;/m:d&gt;&lt;m:r&gt;&lt;w:rPr&gt;&lt;w:rFonts w:ascii=&quot;Cambria Math&quot; w:h-ansi=&quot;Cambria Math&quot;/&gt;&lt;wx:font wx:val=&quot;Cambria Math&quot;/&gt;&lt;w:i/&gt;&lt;/w:rPr&gt;&lt;m:t&gt;,t&lt;/m:t&gt;&lt;/m:r&gt;&lt;/m:sub&gt;&lt;m:sup&gt;&lt;m:r&gt;&lt;w:rPr&gt;&lt;w:rFonts w:ascii=&quot;Cambria Math&quot; w:h-ansi=&quot;Cambria Math&quot;/&gt;&lt;wx:font wx:val=&quot;Cambria Math&quot;/&gt;&lt;w:i/&gt;&lt;/w:rPr&gt;&lt;m:t&gt;2&lt;/m:t&gt;&lt;/m:r&gt;&lt;/m:sup&gt;&lt;/m:sSubSup&gt;&lt;m:r&gt;&lt;w:rPr&gt;&lt;w:rFonts w:ascii=&quot;Cambria Math&quot; w:h-ansi=&quot;Cambria Math&quot;/&gt;&lt;wx:font wx:val=&quot;Cambria Math&quot;/&gt;&lt;w:i/&gt;&lt;/w:rPr&gt;&lt;m:t&gt;+&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1-ОІ&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L&lt;/m:t&gt;&lt;/m:r&gt;&lt;/m:e&gt;&lt;/m:d&gt;&lt;m:r&gt;&lt;w:rPr&gt;&lt;w:rFonts w:ascii=&quot;Cambria Math&quot; w:h-ansi=&quot;Cambria Math&quot;/&gt;&lt;wx:font wx:val=&quot;Cambria Math&quot;/&gt;&lt;w:i/&gt;&lt;/w:rPr&gt;&lt;m:t&gt;-О±&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L&lt;/m:t&gt;&lt;/m:r&gt;&lt;/m:e&gt;&lt;/m:d&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1-L&lt;/m:t&gt;&lt;/m:r&gt;&lt;/m:e&gt;&lt;/m:d&gt;&lt;/m:e&gt;&lt;m:sup&gt;&lt;m:r&gt;&lt;w:rPr&gt;&lt;w:rFonts w:ascii=&quot;Cambria Math&quot; w:h-ansi=&quot;Cambria Math&quot;/&gt;&lt;wx:font wx:val=&quot;Cambria Math&quot;/&gt;&lt;w:i/&gt;&lt;/w:rPr&gt;&lt;m:t&gt;d&lt;/m:t&gt;&lt;/m:r&gt;&lt;/m:sup&gt;&lt;/m:sSup&gt;&lt;/m:e&gt;&lt;/m:d&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Оµ&lt;/m:t&gt;&lt;/m:r&gt;&lt;/m:e&gt;&lt;m:sub&gt;&lt;m:r&gt;&lt;w:rPr&gt;&lt;w:rFonts w:ascii=&quot;Cambria Math&quot; w:h-ansi=&quot;Cambria Math&quot;/&gt;&lt;wx:font wx:val=&quot;Cambria Math&quot;/&gt;&lt;w:i/&gt;&lt;/w:rPr&gt;&lt;m:t&gt;t&lt;/m:t&gt;&lt;/m:r&gt;&lt;/m:sub&gt;&lt;m:sup&gt;&lt;m:r&gt;&lt;w:rPr&gt;&lt;w:rFonts w:ascii=&quot;Cambria Math&quot; w:h-ansi=&quot;Cambria Math&quot;/&gt;&lt;wx:font wx:val=&quot;Cambria Math&quot;/&gt;&lt;w:i/&gt;&lt;/w:rPr&gt;&lt;m:t&gt;2&lt;/m:t&gt;&lt;/m:r&gt;&lt;/m:sup&gt;&lt;/m:sSubSup&gt;&lt;m:r&gt;&lt;w:rPr&gt;&lt;w:rFonts w:ascii=&quot;Cambria Math&quot; w:h-ansi=&quot;Cambria Math&quot;/&gt;&lt;wx:font wx:val=&quot;Cambria Math&quot;/&gt;&lt;w:i/&gt;&lt;/w:rPr&gt;&lt;m:t&gt;+П†&lt;/m:t&gt;&lt;/m:r&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Оѕ&lt;/m:t&gt;&lt;/m:r&gt;&lt;/m:e&gt;&lt;m:sub&gt;&lt;m:r&gt;&lt;w:rPr&gt;&lt;w:rFonts w:ascii=&quot;Cambria Math&quot; w:h-ansi=&quot;Cambria Math&quot;/&gt;&lt;wx:font wx:val=&quot;Cambria Math&quot;/&gt;&lt;w:i/&gt;&lt;/w:rPr&gt;&lt;m:t&gt;t&lt;/m:t&gt;&lt;/m:r&gt;&lt;/m:sub&gt;&lt;m:sup&gt;&lt;m:r&gt;&lt;w:rPr&gt;&lt;w:rFonts w:ascii=&quot;Cambria Math&quot; w:h-ansi=&quot;Cambria Math&quot;/&gt;&lt;wx:font wx:val=&quot;Cambria Math&quot;/&gt;&lt;w:i/&gt;&lt;/w:rPr&gt;&lt;m:t&gt;2&lt;/m:t&gt;&lt;/m:r&gt;&lt;/m:sup&gt;&lt;/m:sSubSup&gt;&lt;m:r&gt;&lt;w:rPr&gt;&lt;w:rFonts w:ascii=&quot;Cambria Math&quot; w:h-ansi=&quot;Cambria Math&quot;/&gt;&lt;wx:font wx:val=&quot;Cambria Math&quot;/&gt;&lt;w:i/&gt;&lt;/w:rPr&gt;&lt;m:t&gt;+&lt;/m:t&gt;&lt;/m:r&gt;&lt;m:nary&gt;&lt;m:naryPr&gt;&lt;m:chr m:val=&quot;в€‘&quot;/&gt;&lt;m:ctrlPr&gt;&lt;w:rPr&gt;&lt;w:rFonts w:ascii=&quot;Cambria Math&quot; w:h-ansi=&quot;Cambria Math&quot;/&gt;&lt;wx:font wx:val=&quot;Cambria Math&quot;/&gt;&lt;/w:rPr&gt;&lt;/m:ctrlPr&gt;&lt;/m:naryPr&gt;&lt;m:sub&gt;&lt;m:r&gt;&lt;w:rPr&gt;&lt;w:rFonts w:ascii=&quot;Cambria Math&quot; w:h-ansi=&quot;Cambria Math&quot;/&gt;&lt;wx:font wx:val=&quot;Cambria Math&quot;/&gt;&lt;w:i/&gt;&lt;/w:rPr&gt;&lt;m:t&gt;j=0&lt;/m:t&gt;&lt;/m:r&gt;&lt;/m:sub&gt;&lt;m:sup&gt;&lt;m:r&gt;&lt;w:rPr&gt;&lt;w:rFonts w:ascii=&quot;Cambria Math&quot; w:h-ansi=&quot;Cambria Math&quot;/&gt;&lt;wx:font wx:val=&quot;Cambria Math&quot;/&gt;&lt;w:i/&gt;&lt;/w:rPr&gt;&lt;m:t&gt;k&lt;/m:t&gt;&lt;/m:r&gt;&lt;/m:sup&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П‰&lt;/m:t&gt;&lt;/m:r&gt;&lt;/m:e&gt;&lt;m:sub&gt;&lt;m:r&gt;&lt;w:rPr&gt;&lt;w:rFonts w:ascii=&quot;Cambria Math&quot; w:h-ansi=&quot;Cambria Math&quot;/&gt;&lt;wx:font wx:val=&quot;Cambria Math&quot;/&gt;&lt;w:i/&gt;&lt;/w:rPr&gt;&lt;m:t&gt;j&lt;/m:t&gt;&lt;/m:r&gt;&lt;/m:sub&gt;&lt;/m:sSub&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UM&lt;/m:t&gt;&lt;/m:r&gt;&lt;/m:e&gt;&lt;m:sub&gt;&lt;m:r&gt;&lt;w:rPr&gt;&lt;w:rFonts w:ascii=&quot;Cambria Math&quot; w:h-ansi=&quot;Cambria Math&quot;/&gt;&lt;wx:font wx:val=&quot;Cambria Math&quot;/&gt;&lt;w:i/&gt;&lt;/w:rPr&gt;&lt;m:t&gt;j&lt;/m:t&gt;&lt;/m:r&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8" o:title="" chromakey="white"/>
          </v:shape>
        </w:pict>
      </w:r>
      <w:r w:rsidRPr="003B10E2">
        <w:rPr>
          <w:rFonts w:ascii="Times New Roman" w:hAnsi="Times New Roman"/>
          <w:color w:val="000000"/>
          <w:sz w:val="28"/>
          <w:szCs w:val="28"/>
        </w:rPr>
        <w:instrText xml:space="preserve"> </w:instrText>
      </w:r>
      <w:r w:rsidRPr="003B10E2">
        <w:rPr>
          <w:rFonts w:ascii="Times New Roman" w:hAnsi="Times New Roman"/>
          <w:color w:val="000000"/>
          <w:sz w:val="28"/>
          <w:szCs w:val="28"/>
        </w:rPr>
        <w:fldChar w:fldCharType="separate"/>
      </w:r>
      <w:r w:rsidR="00F276E9">
        <w:rPr>
          <w:noProof/>
          <w:position w:val="-11"/>
        </w:rPr>
      </w:r>
      <w:r w:rsidR="00F276E9">
        <w:rPr>
          <w:noProof/>
          <w:position w:val="-11"/>
        </w:rPr>
        <w:pict w14:anchorId="32F64704">
          <v:shape id="_x0000_i1086" type="#_x0000_t75" style="width:361.75pt;height:16.3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6D52&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966D52&quot; wsp:rsidP=&quot;00966D52&quot;&gt;&lt;m:oMathPara&gt;&lt;m:oMath&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Пѓ&lt;/m:t&gt;&lt;/m:r&gt;&lt;/m:e&gt;&lt;m:sub&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r&lt;/m:t&gt;&lt;/m:r&gt;&lt;/m:e&gt;&lt;/m:d&gt;&lt;m:r&gt;&lt;w:rPr&gt;&lt;w:rFonts w:ascii=&quot;Cambria Math&quot; w:h-ansi=&quot;Cambria Math&quot;/&gt;&lt;wx:font wx:val=&quot;Cambria Math&quot;/&gt;&lt;w:i/&gt;&lt;/w:rPr&gt;&lt;m:t&gt;,t&lt;/m:t&gt;&lt;/m:r&gt;&lt;/m:sub&gt;&lt;m:sup&gt;&lt;m:r&gt;&lt;w:rPr&gt;&lt;w:rFonts w:ascii=&quot;Cambria Math&quot; w:h-ansi=&quot;Cambria Math&quot;/&gt;&lt;wx:font wx:val=&quot;Cambria Math&quot;/&gt;&lt;w:i/&gt;&lt;/w:rPr&gt;&lt;m:t&gt;2&lt;/m:t&gt;&lt;/m:r&gt;&lt;/m:sup&gt;&lt;/m:sSubSup&gt;&lt;m:r&gt;&lt;w:rPr&gt;&lt;w:rFonts w:ascii=&quot;Cambria Math&quot; w:h-ansi=&quot;Cambria Math&quot;/&gt;&lt;wx:font wx:val=&quot;Cambria Math&quot;/&gt;&lt;w:i/&gt;&lt;/w:rPr&gt;&lt;m:t&gt;=П‰+ОІ&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L&lt;/m:t&gt;&lt;/m:r&gt;&lt;/m:e&gt;&lt;/m:d&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Пѓ&lt;/m:t&gt;&lt;/m:r&gt;&lt;/m:e&gt;&lt;m:sub&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r&lt;/m:t&gt;&lt;/m:r&gt;&lt;/m:e&gt;&lt;/m:d&gt;&lt;m:r&gt;&lt;w:rPr&gt;&lt;w:rFonts w:ascii=&quot;Cambria Math&quot; w:h-ansi=&quot;Cambria Math&quot;/&gt;&lt;wx:font wx:val=&quot;Cambria Math&quot;/&gt;&lt;w:i/&gt;&lt;/w:rPr&gt;&lt;m:t&gt;,t&lt;/m:t&gt;&lt;/m:r&gt;&lt;/m:sub&gt;&lt;m:sup&gt;&lt;m:r&gt;&lt;w:rPr&gt;&lt;w:rFonts w:ascii=&quot;Cambria Math&quot; w:h-ansi=&quot;Cambria Math&quot;/&gt;&lt;wx:font wx:val=&quot;Cambria Math&quot;/&gt;&lt;w:i/&gt;&lt;/w:rPr&gt;&lt;m:t&gt;2&lt;/m:t&gt;&lt;/m:r&gt;&lt;/m:sup&gt;&lt;/m:sSubSup&gt;&lt;m:r&gt;&lt;w:rPr&gt;&lt;w:rFonts w:ascii=&quot;Cambria Math&quot; w:h-ansi=&quot;Cambria Math&quot;/&gt;&lt;wx:font wx:val=&quot;Cambria Math&quot;/&gt;&lt;w:i/&gt;&lt;/w:rPr&gt;&lt;m:t&gt;+&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1-ОІ&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L&lt;/m:t&gt;&lt;/m:r&gt;&lt;/m:e&gt;&lt;/m:d&gt;&lt;m:r&gt;&lt;w:rPr&gt;&lt;w:rFonts w:ascii=&quot;Cambria Math&quot; w:h-ansi=&quot;Cambria Math&quot;/&gt;&lt;wx:font wx:val=&quot;Cambria Math&quot;/&gt;&lt;w:i/&gt;&lt;/w:rPr&gt;&lt;m:t&gt;-О±&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L&lt;/m:t&gt;&lt;/m:r&gt;&lt;/m:e&gt;&lt;/m:d&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1-L&lt;/m:t&gt;&lt;/m:r&gt;&lt;/m:e&gt;&lt;/m:d&gt;&lt;/m:e&gt;&lt;m:sup&gt;&lt;m:r&gt;&lt;w:rPr&gt;&lt;w:rFonts w:ascii=&quot;Cambria Math&quot; w:h-ansi=&quot;Cambria Math&quot;/&gt;&lt;wx:font wx:val=&quot;Cambria Math&quot;/&gt;&lt;w:i/&gt;&lt;/w:rPr&gt;&lt;m:t&gt;d&lt;/m:t&gt;&lt;/m:r&gt;&lt;/m:sup&gt;&lt;/m:sSup&gt;&lt;/m:e&gt;&lt;/m:d&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Оµ&lt;/m:t&gt;&lt;/m:r&gt;&lt;/m:e&gt;&lt;m:sub&gt;&lt;m:r&gt;&lt;w:rPr&gt;&lt;w:rFonts w:ascii=&quot;Cambria Math&quot; w:h-ansi=&quot;Cambria Math&quot;/&gt;&lt;wx:font wx:val=&quot;Cambria Math&quot;/&gt;&lt;w:i/&gt;&lt;/w:rPr&gt;&lt;m:t&gt;t&lt;/m:t&gt;&lt;/m:r&gt;&lt;/m:sub&gt;&lt;m:sup&gt;&lt;m:r&gt;&lt;w:rPr&gt;&lt;w:rFonts w:ascii=&quot;Cambria Math&quot; w:h-ansi=&quot;Cambria Math&quot;/&gt;&lt;wx:font wx:val=&quot;Cambria Math&quot;/&gt;&lt;w:i/&gt;&lt;/w:rPr&gt;&lt;m:t&gt;2&lt;/m:t&gt;&lt;/m:r&gt;&lt;/m:sup&gt;&lt;/m:sSubSup&gt;&lt;m:r&gt;&lt;w:rPr&gt;&lt;w:rFonts w:ascii=&quot;Cambria Math&quot; w:h-ansi=&quot;Cambria Math&quot;/&gt;&lt;wx:font wx:val=&quot;Cambria Math&quot;/&gt;&lt;w:i/&gt;&lt;/w:rPr&gt;&lt;m:t&gt;+П†&lt;/m:t&gt;&lt;/m:r&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Оѕ&lt;/m:t&gt;&lt;/m:r&gt;&lt;/m:e&gt;&lt;m:sub&gt;&lt;m:r&gt;&lt;w:rPr&gt;&lt;w:rFonts w:ascii=&quot;Cambria Math&quot; w:h-ansi=&quot;Cambria Math&quot;/&gt;&lt;wx:font wx:val=&quot;Cambria Math&quot;/&gt;&lt;w:i/&gt;&lt;/w:rPr&gt;&lt;m:t&gt;t&lt;/m:t&gt;&lt;/m:r&gt;&lt;/m:sub&gt;&lt;m:sup&gt;&lt;m:r&gt;&lt;w:rPr&gt;&lt;w:rFonts w:ascii=&quot;Cambria Math&quot; w:h-ansi=&quot;Cambria Math&quot;/&gt;&lt;wx:font wx:val=&quot;Cambria Math&quot;/&gt;&lt;w:i/&gt;&lt;/w:rPr&gt;&lt;m:t&gt;2&lt;/m:t&gt;&lt;/m:r&gt;&lt;/m:sup&gt;&lt;/m:sSubSup&gt;&lt;m:r&gt;&lt;w:rPr&gt;&lt;w:rFonts w:ascii=&quot;Cambria Math&quot; w:h-ansi=&quot;Cambria Math&quot;/&gt;&lt;wx:font wx:val=&quot;Cambria Math&quot;/&gt;&lt;w:i/&gt;&lt;/w:rPr&gt;&lt;m:t&gt;+&lt;/m:t&gt;&lt;/m:r&gt;&lt;m:nary&gt;&lt;m:naryPr&gt;&lt;m:chr m:val=&quot;в€‘&quot;/&gt;&lt;m:ctrlPr&gt;&lt;w:rPr&gt;&lt;w:rFonts w:ascii=&quot;Cambria Math&quot; w:h-ansi=&quot;Cambria Math&quot;/&gt;&lt;wx:font wx:val=&quot;Cambria Math&quot;/&gt;&lt;/w:rPr&gt;&lt;/m:ctrlPr&gt;&lt;/m:naryPr&gt;&lt;m:sub&gt;&lt;m:r&gt;&lt;w:rPr&gt;&lt;w:rFonts w:ascii=&quot;Cambria Math&quot; w:h-ansi=&quot;Cambria Math&quot;/&gt;&lt;wx:font wx:val=&quot;Cambria Math&quot;/&gt;&lt;w:i/&gt;&lt;/w:rPr&gt;&lt;m:t&gt;j=0&lt;/m:t&gt;&lt;/m:r&gt;&lt;/m:sub&gt;&lt;m:sup&gt;&lt;m:r&gt;&lt;w:rPr&gt;&lt;w:rFonts w:ascii=&quot;Cambria Math&quot; w:h-ansi=&quot;Cambria Math&quot;/&gt;&lt;wx:font wx:val=&quot;Cambria Math&quot;/&gt;&lt;w:i/&gt;&lt;/w:rPr&gt;&lt;m:t&gt;k&lt;/m:t&gt;&lt;/m:r&gt;&lt;/m:sup&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П‰&lt;/m:t&gt;&lt;/m:r&gt;&lt;/m:e&gt;&lt;m:sub&gt;&lt;m:r&gt;&lt;w:rPr&gt;&lt;w:rFonts w:ascii=&quot;Cambria Math&quot; w:h-ansi=&quot;Cambria Math&quot;/&gt;&lt;wx:font wx:val=&quot;Cambria Math&quot;/&gt;&lt;w:i/&gt;&lt;/w:rPr&gt;&lt;m:t&gt;j&lt;/m:t&gt;&lt;/m:r&gt;&lt;/m:sub&gt;&lt;/m:sSub&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UM&lt;/m:t&gt;&lt;/m:r&gt;&lt;/m:e&gt;&lt;m:sub&gt;&lt;m:r&gt;&lt;w:rPr&gt;&lt;w:rFonts w:ascii=&quot;Cambria Math&quot; w:h-ansi=&quot;Cambria Math&quot;/&gt;&lt;wx:font wx:val=&quot;Cambria Math&quot;/&gt;&lt;w:i/&gt;&lt;/w:rPr&gt;&lt;m:t&gt;j&lt;/m:t&gt;&lt;/m:r&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8" o:title="" chromakey="white"/>
          </v:shape>
        </w:pict>
      </w:r>
      <w:r w:rsidRPr="003B10E2">
        <w:rPr>
          <w:rFonts w:ascii="Times New Roman" w:hAnsi="Times New Roman"/>
          <w:color w:val="000000"/>
          <w:sz w:val="28"/>
          <w:szCs w:val="28"/>
        </w:rPr>
        <w:fldChar w:fldCharType="end"/>
      </w:r>
      <w:r w:rsidR="005840BB" w:rsidRPr="003B10E2">
        <w:rPr>
          <w:rFonts w:ascii="Times New Roman" w:hAnsi="Times New Roman"/>
          <w:color w:val="000000"/>
          <w:sz w:val="28"/>
          <w:szCs w:val="28"/>
        </w:rPr>
        <w:t xml:space="preserve">     </w:t>
      </w:r>
      <w:r w:rsidR="005840BB" w:rsidRPr="003B10E2">
        <w:rPr>
          <w:rFonts w:ascii="Times New Roman" w:hAnsi="Times New Roman"/>
          <w:color w:val="000000"/>
          <w:sz w:val="28"/>
          <w:szCs w:val="28"/>
        </w:rPr>
        <w:tab/>
      </w:r>
      <w:r w:rsidR="009D6E3C" w:rsidRPr="003B10E2">
        <w:rPr>
          <w:rFonts w:ascii="Times New Roman" w:hAnsi="Times New Roman"/>
          <w:color w:val="000000"/>
          <w:sz w:val="28"/>
          <w:szCs w:val="28"/>
        </w:rPr>
        <w:t xml:space="preserve">   </w:t>
      </w:r>
      <w:r w:rsidR="005840BB" w:rsidRPr="003B10E2">
        <w:rPr>
          <w:rFonts w:ascii="Times New Roman" w:hAnsi="Times New Roman"/>
          <w:color w:val="000000"/>
          <w:sz w:val="28"/>
          <w:szCs w:val="28"/>
        </w:rPr>
        <w:t xml:space="preserve">(A.5) </w:t>
      </w:r>
    </w:p>
    <w:p w14:paraId="2F14EECE" w14:textId="77777777" w:rsidR="009D6E3C" w:rsidRPr="003B10E2" w:rsidRDefault="009D6E3C" w:rsidP="005840BB">
      <w:pPr>
        <w:spacing w:after="0" w:line="360" w:lineRule="auto"/>
        <w:ind w:firstLine="851"/>
        <w:jc w:val="both"/>
        <w:rPr>
          <w:rFonts w:ascii="Times New Roman" w:hAnsi="Times New Roman"/>
          <w:color w:val="000000"/>
          <w:sz w:val="28"/>
          <w:szCs w:val="28"/>
        </w:rPr>
      </w:pPr>
    </w:p>
    <w:p w14:paraId="511A2F33" w14:textId="77777777" w:rsidR="005840BB" w:rsidRPr="003B10E2" w:rsidRDefault="005840BB" w:rsidP="005840BB">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где</w:t>
      </w:r>
      <w:r w:rsidRPr="003B10E2">
        <w:rPr>
          <w:rFonts w:ascii="Times New Roman" w:hAnsi="Times New Roman"/>
          <w:color w:val="000000"/>
          <w:sz w:val="28"/>
          <w:szCs w:val="28"/>
        </w:rPr>
        <w:tab/>
        <w:t xml:space="preserve"> </w:t>
      </w:r>
      <w:r w:rsidR="002D341E" w:rsidRPr="003B10E2">
        <w:rPr>
          <w:rFonts w:ascii="Times New Roman" w:hAnsi="Times New Roman"/>
          <w:color w:val="000000"/>
          <w:sz w:val="28"/>
          <w:szCs w:val="28"/>
        </w:rPr>
        <w:fldChar w:fldCharType="begin"/>
      </w:r>
      <w:r w:rsidR="002D341E" w:rsidRPr="003B10E2">
        <w:rPr>
          <w:rFonts w:ascii="Times New Roman" w:hAnsi="Times New Roman"/>
          <w:color w:val="000000"/>
          <w:sz w:val="28"/>
          <w:szCs w:val="28"/>
        </w:rPr>
        <w:instrText xml:space="preserve"> QUOTE </w:instrText>
      </w:r>
      <w:r w:rsidR="00F276E9">
        <w:rPr>
          <w:noProof/>
          <w:position w:val="-6"/>
        </w:rPr>
      </w:r>
      <w:r w:rsidR="00F276E9">
        <w:rPr>
          <w:noProof/>
          <w:position w:val="-6"/>
        </w:rPr>
        <w:pict w14:anchorId="2D0F3899">
          <v:shape id="_x0000_i1087" type="#_x0000_t75" style="width:40.2pt;height:14.1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4D5&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6904D5&quot; wsp:rsidP=&quot;006904D5&quot;&gt;&lt;m:oMathPara&gt;&lt;m:oMath&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1-L&lt;/m:t&gt;&lt;/m:r&gt;&lt;/m:e&gt;&lt;/m:d&gt;&lt;/m:e&gt;&lt;m:sup&gt;&lt;m:r&gt;&lt;w:rPr&gt;&lt;w:rFonts w:ascii=&quot;Cambria Math&quot; w:h-ansi=&quot;Cambria Math&quot;/&gt;&lt;wx:font wx:val=&quot;Cambria Math&quot;/&gt;&lt;w:i/&gt;&lt;/w:rPr&gt;&lt;m:t&gt;d&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9" o:title="" chromakey="white"/>
          </v:shape>
        </w:pict>
      </w:r>
      <w:r w:rsidR="002D341E" w:rsidRPr="003B10E2">
        <w:rPr>
          <w:rFonts w:ascii="Times New Roman" w:hAnsi="Times New Roman"/>
          <w:color w:val="000000"/>
          <w:sz w:val="28"/>
          <w:szCs w:val="28"/>
        </w:rPr>
        <w:instrText xml:space="preserve"> </w:instrText>
      </w:r>
      <w:r w:rsidR="002D341E" w:rsidRPr="003B10E2">
        <w:rPr>
          <w:rFonts w:ascii="Times New Roman" w:hAnsi="Times New Roman"/>
          <w:color w:val="000000"/>
          <w:sz w:val="28"/>
          <w:szCs w:val="28"/>
        </w:rPr>
        <w:fldChar w:fldCharType="separate"/>
      </w:r>
      <w:r w:rsidR="00F276E9">
        <w:rPr>
          <w:noProof/>
          <w:position w:val="-6"/>
        </w:rPr>
      </w:r>
      <w:r w:rsidR="00F276E9">
        <w:rPr>
          <w:noProof/>
          <w:position w:val="-6"/>
        </w:rPr>
        <w:pict w14:anchorId="3BFB1EBF">
          <v:shape id="_x0000_i1088" type="#_x0000_t75" style="width:40.2pt;height:14.1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4D5&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6904D5&quot; wsp:rsidP=&quot;006904D5&quot;&gt;&lt;m:oMathPara&gt;&lt;m:oMath&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1-L&lt;/m:t&gt;&lt;/m:r&gt;&lt;/m:e&gt;&lt;/m:d&gt;&lt;/m:e&gt;&lt;m:sup&gt;&lt;m:r&gt;&lt;w:rPr&gt;&lt;w:rFonts w:ascii=&quot;Cambria Math&quot; w:h-ansi=&quot;Cambria Math&quot;/&gt;&lt;wx:font wx:val=&quot;Cambria Math&quot;/&gt;&lt;w:i/&gt;&lt;/w:rPr&gt;&lt;m:t&gt;d&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9" o:title="" chromakey="white"/>
          </v:shape>
        </w:pict>
      </w:r>
      <w:r w:rsidR="002D341E" w:rsidRPr="003B10E2">
        <w:rPr>
          <w:rFonts w:ascii="Times New Roman" w:hAnsi="Times New Roman"/>
          <w:color w:val="000000"/>
          <w:sz w:val="28"/>
          <w:szCs w:val="28"/>
        </w:rPr>
        <w:fldChar w:fldCharType="end"/>
      </w:r>
      <w:r w:rsidRPr="003B10E2">
        <w:rPr>
          <w:rFonts w:ascii="Times New Roman" w:hAnsi="Times New Roman"/>
          <w:color w:val="000000"/>
          <w:sz w:val="28"/>
          <w:szCs w:val="28"/>
        </w:rPr>
        <w:t>  — фрактальный оператор для IGARCH;</w:t>
      </w:r>
    </w:p>
    <w:p w14:paraId="7491939D" w14:textId="77777777" w:rsidR="005840BB" w:rsidRPr="003B10E2" w:rsidRDefault="002D341E" w:rsidP="005840BB">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fldChar w:fldCharType="begin"/>
      </w:r>
      <w:r w:rsidRPr="003B10E2">
        <w:rPr>
          <w:rFonts w:ascii="Times New Roman" w:hAnsi="Times New Roman"/>
          <w:color w:val="000000"/>
          <w:sz w:val="28"/>
          <w:szCs w:val="28"/>
        </w:rPr>
        <w:instrText xml:space="preserve"> QUOTE </w:instrText>
      </w:r>
      <w:r w:rsidR="00F276E9">
        <w:rPr>
          <w:noProof/>
          <w:position w:val="-6"/>
        </w:rPr>
      </w:r>
      <w:r w:rsidR="00F276E9">
        <w:rPr>
          <w:noProof/>
          <w:position w:val="-6"/>
        </w:rPr>
        <w:pict w14:anchorId="2BD76512">
          <v:shape id="_x0000_i1089" type="#_x0000_t75" style="width:83.95pt;height:14.1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38F8&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D638F8&quot; wsp:rsidP=&quot;00D638F8&quot;&gt;&lt;m:oMathPara&gt;&lt;m:oMath&gt;&lt;m:d&gt;&lt;m:dPr&gt;&lt;m:begChr m:val=&quot;[&quot;/&gt;&lt;m:endChr m:val=&quot;]&quot;/&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1-ОІ&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L&lt;/m:t&gt;&lt;/m:r&gt;&lt;/m:e&gt;&lt;/m:d&gt;&lt;m:r&gt;&lt;w:rPr&gt;&lt;w:rFonts w:ascii=&quot;Cambria Math&quot; w:h-ansi=&quot;Cambria Math&quot;/&gt;&lt;wx:font wx:val=&quot;Cambria Math&quot;/&gt;&lt;w:i/&gt;&lt;/w:rPr&gt;&lt;m:t&gt;-О±&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L&lt;/m:t&gt;&lt;/m:r&gt;&lt;/m:e&gt;&lt;/m:d&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0" o:title="" chromakey="white"/>
          </v:shape>
        </w:pict>
      </w:r>
      <w:r w:rsidRPr="003B10E2">
        <w:rPr>
          <w:rFonts w:ascii="Times New Roman" w:hAnsi="Times New Roman"/>
          <w:color w:val="000000"/>
          <w:sz w:val="28"/>
          <w:szCs w:val="28"/>
        </w:rPr>
        <w:instrText xml:space="preserve"> </w:instrText>
      </w:r>
      <w:r w:rsidRPr="003B10E2">
        <w:rPr>
          <w:rFonts w:ascii="Times New Roman" w:hAnsi="Times New Roman"/>
          <w:color w:val="000000"/>
          <w:sz w:val="28"/>
          <w:szCs w:val="28"/>
        </w:rPr>
        <w:fldChar w:fldCharType="separate"/>
      </w:r>
      <w:r w:rsidR="00F276E9">
        <w:rPr>
          <w:noProof/>
          <w:position w:val="-6"/>
        </w:rPr>
      </w:r>
      <w:r w:rsidR="00F276E9">
        <w:rPr>
          <w:noProof/>
          <w:position w:val="-6"/>
        </w:rPr>
        <w:pict w14:anchorId="014D3BA9">
          <v:shape id="_x0000_i1090" type="#_x0000_t75" style="width:83.95pt;height:14.1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38F8&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D638F8&quot; wsp:rsidP=&quot;00D638F8&quot;&gt;&lt;m:oMathPara&gt;&lt;m:oMath&gt;&lt;m:d&gt;&lt;m:dPr&gt;&lt;m:begChr m:val=&quot;[&quot;/&gt;&lt;m:endChr m:val=&quot;]&quot;/&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1-ОІ&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L&lt;/m:t&gt;&lt;/m:r&gt;&lt;/m:e&gt;&lt;/m:d&gt;&lt;m:r&gt;&lt;w:rPr&gt;&lt;w:rFonts w:ascii=&quot;Cambria Math&quot; w:h-ansi=&quot;Cambria Math&quot;/&gt;&lt;wx:font wx:val=&quot;Cambria Math&quot;/&gt;&lt;w:i/&gt;&lt;/w:rPr&gt;&lt;m:t&gt;-О±&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L&lt;/m:t&gt;&lt;/m:r&gt;&lt;/m:e&gt;&lt;/m:d&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0" o:title="" chromakey="white"/>
          </v:shape>
        </w:pict>
      </w:r>
      <w:r w:rsidRPr="003B10E2">
        <w:rPr>
          <w:rFonts w:ascii="Times New Roman" w:hAnsi="Times New Roman"/>
          <w:color w:val="000000"/>
          <w:sz w:val="28"/>
          <w:szCs w:val="28"/>
        </w:rPr>
        <w:fldChar w:fldCharType="end"/>
      </w:r>
      <w:r w:rsidR="005840BB" w:rsidRPr="003B10E2">
        <w:rPr>
          <w:rFonts w:ascii="Times New Roman" w:hAnsi="Times New Roman"/>
          <w:color w:val="000000"/>
          <w:sz w:val="28"/>
          <w:szCs w:val="28"/>
        </w:rPr>
        <w:t xml:space="preserve"> и</w:t>
      </w:r>
      <w:r w:rsidRPr="003B10E2">
        <w:rPr>
          <w:rFonts w:ascii="Times New Roman" w:hAnsi="Times New Roman"/>
          <w:color w:val="000000"/>
          <w:sz w:val="28"/>
          <w:szCs w:val="28"/>
        </w:rPr>
        <w:fldChar w:fldCharType="begin"/>
      </w:r>
      <w:r w:rsidRPr="003B10E2">
        <w:rPr>
          <w:rFonts w:ascii="Times New Roman" w:hAnsi="Times New Roman"/>
          <w:color w:val="000000"/>
          <w:sz w:val="28"/>
          <w:szCs w:val="28"/>
        </w:rPr>
        <w:instrText xml:space="preserve"> QUOTE </w:instrText>
      </w:r>
      <w:r w:rsidR="00F276E9">
        <w:rPr>
          <w:noProof/>
          <w:position w:val="-6"/>
        </w:rPr>
      </w:r>
      <w:r w:rsidR="00F276E9">
        <w:rPr>
          <w:noProof/>
          <w:position w:val="-6"/>
        </w:rPr>
        <w:pict w14:anchorId="0AF666E3">
          <v:shape id="_x0000_i1091" type="#_x0000_t75" style="width:48.6pt;height:14.1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C7E68&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1C7E68&quot; wsp:rsidP=&quot;001C7E68&quot;&gt;&lt;m:oMathPara&gt;&lt;m:oMath&gt;&lt;m:d&gt;&lt;m:dPr&gt;&lt;m:begChr m:val=&quot;[&quot;/&gt;&lt;m:endChr m:val=&quot;]&quot;/&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1-ОІ&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L&lt;/m:t&gt;&lt;/m:r&gt;&lt;/m:e&gt;&lt;/m:d&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1" o:title="" chromakey="white"/>
          </v:shape>
        </w:pict>
      </w:r>
      <w:r w:rsidRPr="003B10E2">
        <w:rPr>
          <w:rFonts w:ascii="Times New Roman" w:hAnsi="Times New Roman"/>
          <w:color w:val="000000"/>
          <w:sz w:val="28"/>
          <w:szCs w:val="28"/>
        </w:rPr>
        <w:instrText xml:space="preserve"> </w:instrText>
      </w:r>
      <w:r w:rsidRPr="003B10E2">
        <w:rPr>
          <w:rFonts w:ascii="Times New Roman" w:hAnsi="Times New Roman"/>
          <w:color w:val="000000"/>
          <w:sz w:val="28"/>
          <w:szCs w:val="28"/>
        </w:rPr>
        <w:fldChar w:fldCharType="separate"/>
      </w:r>
      <w:r w:rsidR="00F276E9">
        <w:rPr>
          <w:noProof/>
          <w:position w:val="-6"/>
        </w:rPr>
      </w:r>
      <w:r w:rsidR="00F276E9">
        <w:rPr>
          <w:noProof/>
          <w:position w:val="-6"/>
        </w:rPr>
        <w:pict w14:anchorId="29D5D78D">
          <v:shape id="_x0000_i1092" type="#_x0000_t75" style="width:48.6pt;height:14.1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C7E68&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1C7E68&quot; wsp:rsidP=&quot;001C7E68&quot;&gt;&lt;m:oMathPara&gt;&lt;m:oMath&gt;&lt;m:d&gt;&lt;m:dPr&gt;&lt;m:begChr m:val=&quot;[&quot;/&gt;&lt;m:endChr m:val=&quot;]&quot;/&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1-ОІ&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L&lt;/m:t&gt;&lt;/m:r&gt;&lt;/m:e&gt;&lt;/m:d&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1" o:title="" chromakey="white"/>
          </v:shape>
        </w:pict>
      </w:r>
      <w:r w:rsidRPr="003B10E2">
        <w:rPr>
          <w:rFonts w:ascii="Times New Roman" w:hAnsi="Times New Roman"/>
          <w:color w:val="000000"/>
          <w:sz w:val="28"/>
          <w:szCs w:val="28"/>
        </w:rPr>
        <w:fldChar w:fldCharType="end"/>
      </w:r>
      <w:r w:rsidR="005840BB" w:rsidRPr="003B10E2">
        <w:rPr>
          <w:rFonts w:ascii="Times New Roman" w:hAnsi="Times New Roman"/>
          <w:color w:val="000000"/>
          <w:sz w:val="28"/>
          <w:szCs w:val="28"/>
        </w:rPr>
        <w:t> — единичные корни в модели GARCH (p,q);</w:t>
      </w:r>
    </w:p>
    <w:p w14:paraId="0FD8D0F2" w14:textId="77777777" w:rsidR="005840BB" w:rsidRPr="003B10E2" w:rsidRDefault="005840BB" w:rsidP="005840BB">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 DUM — фиктивная переменная;</w:t>
      </w:r>
    </w:p>
    <w:p w14:paraId="0BD47E67" w14:textId="77777777" w:rsidR="005840BB" w:rsidRPr="003B10E2" w:rsidRDefault="005840BB" w:rsidP="005840BB">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 </w:t>
      </w:r>
      <w:r w:rsidR="002D341E" w:rsidRPr="003B10E2">
        <w:rPr>
          <w:rFonts w:ascii="Times New Roman" w:hAnsi="Times New Roman"/>
          <w:color w:val="000000"/>
          <w:sz w:val="28"/>
          <w:szCs w:val="28"/>
        </w:rPr>
        <w:fldChar w:fldCharType="begin"/>
      </w:r>
      <w:r w:rsidR="002D341E" w:rsidRPr="003B10E2">
        <w:rPr>
          <w:rFonts w:ascii="Times New Roman" w:hAnsi="Times New Roman"/>
          <w:color w:val="000000"/>
          <w:sz w:val="28"/>
          <w:szCs w:val="28"/>
        </w:rPr>
        <w:instrText xml:space="preserve"> QUOTE </w:instrText>
      </w:r>
      <w:r w:rsidR="00F276E9">
        <w:rPr>
          <w:noProof/>
          <w:position w:val="-6"/>
        </w:rPr>
      </w:r>
      <w:r w:rsidR="00F276E9">
        <w:rPr>
          <w:noProof/>
          <w:position w:val="-6"/>
        </w:rPr>
        <w:pict w14:anchorId="0BBB0D56">
          <v:shape id="_x0000_i1093" type="#_x0000_t75" style="width:8.4pt;height:14.1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11C61&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711C61&quot; wsp:rsidP=&quot;00711C61&quot;&gt;&lt;m:oMathPara&gt;&lt;m:oMath&gt;&lt;m:r&gt;&lt;w:rPr&gt;&lt;w:rFonts w:ascii=&quot;Cambria Math&quot; w:h-ansi=&quot;Cambria Math&quot;/&gt;&lt;wx:font wx:val=&quot;Cambria Math&quot;/&gt;&lt;w:i/&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7" o:title="" chromakey="white"/>
          </v:shape>
        </w:pict>
      </w:r>
      <w:r w:rsidR="002D341E" w:rsidRPr="003B10E2">
        <w:rPr>
          <w:rFonts w:ascii="Times New Roman" w:hAnsi="Times New Roman"/>
          <w:color w:val="000000"/>
          <w:sz w:val="28"/>
          <w:szCs w:val="28"/>
        </w:rPr>
        <w:instrText xml:space="preserve"> </w:instrText>
      </w:r>
      <w:r w:rsidR="002D341E" w:rsidRPr="003B10E2">
        <w:rPr>
          <w:rFonts w:ascii="Times New Roman" w:hAnsi="Times New Roman"/>
          <w:color w:val="000000"/>
          <w:sz w:val="28"/>
          <w:szCs w:val="28"/>
        </w:rPr>
        <w:fldChar w:fldCharType="separate"/>
      </w:r>
      <w:r w:rsidR="00F276E9">
        <w:rPr>
          <w:noProof/>
          <w:position w:val="-6"/>
        </w:rPr>
      </w:r>
      <w:r w:rsidR="00F276E9">
        <w:rPr>
          <w:noProof/>
          <w:position w:val="-6"/>
        </w:rPr>
        <w:pict w14:anchorId="21FB548E">
          <v:shape id="_x0000_i1094" type="#_x0000_t75" style="width:8.4pt;height:14.1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11C61&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711C61&quot; wsp:rsidP=&quot;00711C61&quot;&gt;&lt;m:oMathPara&gt;&lt;m:oMath&gt;&lt;m:r&gt;&lt;w:rPr&gt;&lt;w:rFonts w:ascii=&quot;Cambria Math&quot; w:h-ansi=&quot;Cambria Math&quot;/&gt;&lt;wx:font wx:val=&quot;Cambria Math&quot;/&gt;&lt;w:i/&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7" o:title="" chromakey="white"/>
          </v:shape>
        </w:pict>
      </w:r>
      <w:r w:rsidR="002D341E" w:rsidRPr="003B10E2">
        <w:rPr>
          <w:rFonts w:ascii="Times New Roman" w:hAnsi="Times New Roman"/>
          <w:color w:val="000000"/>
          <w:sz w:val="28"/>
          <w:szCs w:val="28"/>
        </w:rPr>
        <w:fldChar w:fldCharType="end"/>
      </w:r>
      <w:r w:rsidRPr="003B10E2">
        <w:rPr>
          <w:rFonts w:ascii="Times New Roman" w:hAnsi="Times New Roman"/>
          <w:color w:val="000000"/>
          <w:sz w:val="28"/>
          <w:szCs w:val="28"/>
        </w:rPr>
        <w:t>, </w:t>
      </w:r>
      <w:r w:rsidR="002D341E" w:rsidRPr="003B10E2">
        <w:rPr>
          <w:rFonts w:ascii="Times New Roman" w:hAnsi="Times New Roman"/>
          <w:color w:val="000000"/>
          <w:sz w:val="28"/>
          <w:szCs w:val="28"/>
        </w:rPr>
        <w:fldChar w:fldCharType="begin"/>
      </w:r>
      <w:r w:rsidR="002D341E" w:rsidRPr="003B10E2">
        <w:rPr>
          <w:rFonts w:ascii="Times New Roman" w:hAnsi="Times New Roman"/>
          <w:color w:val="000000"/>
          <w:sz w:val="28"/>
          <w:szCs w:val="28"/>
        </w:rPr>
        <w:instrText xml:space="preserve"> QUOTE </w:instrText>
      </w:r>
      <w:r w:rsidR="00F276E9">
        <w:rPr>
          <w:noProof/>
          <w:position w:val="-6"/>
        </w:rPr>
      </w:r>
      <w:r w:rsidR="00F276E9">
        <w:rPr>
          <w:noProof/>
          <w:position w:val="-6"/>
        </w:rPr>
        <w:pict w14:anchorId="41E77F2D">
          <v:shape id="_x0000_i1095" type="#_x0000_t75" style="width:18.1pt;height:14.1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E6826&quot;/&gt;&lt;wsp:rsid wsp:val=&quot;00FF138F&quot;/&gt;&lt;/wsp:rsids&gt;&lt;/w:docPr&gt;&lt;w:body&gt;&lt;wx:sect&gt;&lt;w:p wsp:rsidR=&quot;00000000&quot; wsp:rsidRDefault=&quot;00FE6826&quot; wsp:rsidP=&quot;00FE6826&quot;&gt;&lt;m:oMathPara&gt;&lt;m:oMath&gt;&lt;m:r&gt;&lt;w:rPr&gt;&lt;w:rFonts w:ascii=&quot;Cambria Math&quot; w:h-ansi=&quot;Cambria Math&quot;/&gt;&lt;wx:font wx:val=&quot;Cambria Math&quot;/&gt;&lt;w:i/&gt;&lt;/w:rPr&gt;&lt;m:t&gt;О±,О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2" o:title="" chromakey="white"/>
          </v:shape>
        </w:pict>
      </w:r>
      <w:r w:rsidR="002D341E" w:rsidRPr="003B10E2">
        <w:rPr>
          <w:rFonts w:ascii="Times New Roman" w:hAnsi="Times New Roman"/>
          <w:color w:val="000000"/>
          <w:sz w:val="28"/>
          <w:szCs w:val="28"/>
        </w:rPr>
        <w:instrText xml:space="preserve"> </w:instrText>
      </w:r>
      <w:r w:rsidR="002D341E" w:rsidRPr="003B10E2">
        <w:rPr>
          <w:rFonts w:ascii="Times New Roman" w:hAnsi="Times New Roman"/>
          <w:color w:val="000000"/>
          <w:sz w:val="28"/>
          <w:szCs w:val="28"/>
        </w:rPr>
        <w:fldChar w:fldCharType="separate"/>
      </w:r>
      <w:r w:rsidR="00F276E9">
        <w:rPr>
          <w:noProof/>
          <w:position w:val="-6"/>
        </w:rPr>
      </w:r>
      <w:r w:rsidR="00F276E9">
        <w:rPr>
          <w:noProof/>
          <w:position w:val="-6"/>
        </w:rPr>
        <w:pict w14:anchorId="6906AA4A">
          <v:shape id="_x0000_i1096" type="#_x0000_t75" style="width:18.1pt;height:14.1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E6826&quot;/&gt;&lt;wsp:rsid wsp:val=&quot;00FF138F&quot;/&gt;&lt;/wsp:rsids&gt;&lt;/w:docPr&gt;&lt;w:body&gt;&lt;wx:sect&gt;&lt;w:p wsp:rsidR=&quot;00000000&quot; wsp:rsidRDefault=&quot;00FE6826&quot; wsp:rsidP=&quot;00FE6826&quot;&gt;&lt;m:oMathPara&gt;&lt;m:oMath&gt;&lt;m:r&gt;&lt;w:rPr&gt;&lt;w:rFonts w:ascii=&quot;Cambria Math&quot; w:h-ansi=&quot;Cambria Math&quot;/&gt;&lt;wx:font wx:val=&quot;Cambria Math&quot;/&gt;&lt;w:i/&gt;&lt;/w:rPr&gt;&lt;m:t&gt;О±,О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2" o:title="" chromakey="white"/>
          </v:shape>
        </w:pict>
      </w:r>
      <w:r w:rsidR="002D341E" w:rsidRPr="003B10E2">
        <w:rPr>
          <w:rFonts w:ascii="Times New Roman" w:hAnsi="Times New Roman"/>
          <w:color w:val="000000"/>
          <w:sz w:val="28"/>
          <w:szCs w:val="28"/>
        </w:rPr>
        <w:fldChar w:fldCharType="end"/>
      </w:r>
      <w:r w:rsidRPr="003B10E2">
        <w:rPr>
          <w:rFonts w:ascii="Times New Roman" w:hAnsi="Times New Roman"/>
          <w:color w:val="000000"/>
          <w:sz w:val="28"/>
          <w:szCs w:val="28"/>
        </w:rPr>
        <w:t> — параметры процесса GARCH;</w:t>
      </w:r>
    </w:p>
    <w:p w14:paraId="7201E884" w14:textId="77777777" w:rsidR="005840BB" w:rsidRPr="003B10E2" w:rsidRDefault="005840BB" w:rsidP="005840BB">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 d — фрактальный параметр от 0 до 1, показывающий устойчивость дисперсии шоков;</w:t>
      </w:r>
    </w:p>
    <w:p w14:paraId="4E420B82" w14:textId="77777777" w:rsidR="005840BB" w:rsidRPr="003B10E2" w:rsidRDefault="005840BB" w:rsidP="005840BB">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 </w:t>
      </w:r>
      <w:r w:rsidR="002D341E" w:rsidRPr="003B10E2">
        <w:rPr>
          <w:rFonts w:ascii="Times New Roman" w:hAnsi="Times New Roman"/>
          <w:color w:val="000000"/>
          <w:sz w:val="28"/>
          <w:szCs w:val="28"/>
        </w:rPr>
        <w:fldChar w:fldCharType="begin"/>
      </w:r>
      <w:r w:rsidR="002D341E" w:rsidRPr="003B10E2">
        <w:rPr>
          <w:rFonts w:ascii="Times New Roman" w:hAnsi="Times New Roman"/>
          <w:color w:val="000000"/>
          <w:sz w:val="28"/>
          <w:szCs w:val="28"/>
        </w:rPr>
        <w:instrText xml:space="preserve"> QUOTE </w:instrText>
      </w:r>
      <w:r w:rsidR="00F276E9">
        <w:rPr>
          <w:noProof/>
          <w:position w:val="-8"/>
        </w:rPr>
      </w:r>
      <w:r w:rsidR="00F276E9">
        <w:rPr>
          <w:noProof/>
          <w:position w:val="-8"/>
        </w:rPr>
        <w:pict w14:anchorId="3FBFBF3C">
          <v:shape id="_x0000_i1097" type="#_x0000_t75" style="width:12.35pt;height:15.4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0FEB&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7E0FEB&quot; wsp:rsidP=&quot;007E0FEB&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i,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3" o:title="" chromakey="white"/>
          </v:shape>
        </w:pict>
      </w:r>
      <w:r w:rsidR="002D341E" w:rsidRPr="003B10E2">
        <w:rPr>
          <w:rFonts w:ascii="Times New Roman" w:hAnsi="Times New Roman"/>
          <w:color w:val="000000"/>
          <w:sz w:val="28"/>
          <w:szCs w:val="28"/>
        </w:rPr>
        <w:instrText xml:space="preserve"> </w:instrText>
      </w:r>
      <w:r w:rsidR="002D341E" w:rsidRPr="003B10E2">
        <w:rPr>
          <w:rFonts w:ascii="Times New Roman" w:hAnsi="Times New Roman"/>
          <w:color w:val="000000"/>
          <w:sz w:val="28"/>
          <w:szCs w:val="28"/>
        </w:rPr>
        <w:fldChar w:fldCharType="separate"/>
      </w:r>
      <w:r w:rsidR="00F276E9">
        <w:rPr>
          <w:noProof/>
          <w:position w:val="-8"/>
        </w:rPr>
      </w:r>
      <w:r w:rsidR="00F276E9">
        <w:rPr>
          <w:noProof/>
          <w:position w:val="-8"/>
        </w:rPr>
        <w:pict w14:anchorId="3A183F48">
          <v:shape id="_x0000_i1098" type="#_x0000_t75" style="width:12.35pt;height:15.4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0FEB&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7E0FEB&quot; wsp:rsidP=&quot;007E0FEB&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i,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3" o:title="" chromakey="white"/>
          </v:shape>
        </w:pict>
      </w:r>
      <w:r w:rsidR="002D341E" w:rsidRPr="003B10E2">
        <w:rPr>
          <w:rFonts w:ascii="Times New Roman" w:hAnsi="Times New Roman"/>
          <w:color w:val="000000"/>
          <w:sz w:val="28"/>
          <w:szCs w:val="28"/>
        </w:rPr>
        <w:fldChar w:fldCharType="end"/>
      </w:r>
      <w:r w:rsidRPr="003B10E2">
        <w:rPr>
          <w:rFonts w:ascii="Times New Roman" w:hAnsi="Times New Roman"/>
          <w:color w:val="000000"/>
          <w:sz w:val="28"/>
          <w:szCs w:val="28"/>
        </w:rPr>
        <w:t> — доходности национального индекса;</w:t>
      </w:r>
    </w:p>
    <w:p w14:paraId="56C0684C" w14:textId="77777777" w:rsidR="005840BB" w:rsidRPr="003B10E2" w:rsidRDefault="005840BB" w:rsidP="005840BB">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 </w:t>
      </w:r>
      <w:r w:rsidR="002D341E" w:rsidRPr="003B10E2">
        <w:rPr>
          <w:rFonts w:ascii="Times New Roman" w:hAnsi="Times New Roman"/>
          <w:color w:val="000000"/>
          <w:sz w:val="28"/>
          <w:szCs w:val="28"/>
        </w:rPr>
        <w:fldChar w:fldCharType="begin"/>
      </w:r>
      <w:r w:rsidR="002D341E" w:rsidRPr="003B10E2">
        <w:rPr>
          <w:rFonts w:ascii="Times New Roman" w:hAnsi="Times New Roman"/>
          <w:color w:val="000000"/>
          <w:sz w:val="28"/>
          <w:szCs w:val="28"/>
        </w:rPr>
        <w:instrText xml:space="preserve"> QUOTE </w:instrText>
      </w:r>
      <w:r w:rsidR="00F276E9">
        <w:rPr>
          <w:noProof/>
          <w:position w:val="-8"/>
        </w:rPr>
      </w:r>
      <w:r w:rsidR="00F276E9">
        <w:rPr>
          <w:noProof/>
          <w:position w:val="-8"/>
        </w:rPr>
        <w:pict w14:anchorId="4F4088DE">
          <v:shape id="_x0000_i1099" type="#_x0000_t75" style="width:14.15pt;height:15.4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0776E&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00776E&quot; wsp:rsidP=&quot;0000776E&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i,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4" o:title="" chromakey="white"/>
          </v:shape>
        </w:pict>
      </w:r>
      <w:r w:rsidR="002D341E" w:rsidRPr="003B10E2">
        <w:rPr>
          <w:rFonts w:ascii="Times New Roman" w:hAnsi="Times New Roman"/>
          <w:color w:val="000000"/>
          <w:sz w:val="28"/>
          <w:szCs w:val="28"/>
        </w:rPr>
        <w:instrText xml:space="preserve"> </w:instrText>
      </w:r>
      <w:r w:rsidR="002D341E" w:rsidRPr="003B10E2">
        <w:rPr>
          <w:rFonts w:ascii="Times New Roman" w:hAnsi="Times New Roman"/>
          <w:color w:val="000000"/>
          <w:sz w:val="28"/>
          <w:szCs w:val="28"/>
        </w:rPr>
        <w:fldChar w:fldCharType="separate"/>
      </w:r>
      <w:r w:rsidR="00F276E9">
        <w:rPr>
          <w:noProof/>
          <w:position w:val="-8"/>
        </w:rPr>
      </w:r>
      <w:r w:rsidR="00F276E9">
        <w:rPr>
          <w:noProof/>
          <w:position w:val="-8"/>
        </w:rPr>
        <w:pict w14:anchorId="79CF9312">
          <v:shape id="_x0000_i1100" type="#_x0000_t75" style="width:14.15pt;height:15.4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0776E&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00776E&quot; wsp:rsidP=&quot;0000776E&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i,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4" o:title="" chromakey="white"/>
          </v:shape>
        </w:pict>
      </w:r>
      <w:r w:rsidR="002D341E" w:rsidRPr="003B10E2">
        <w:rPr>
          <w:rFonts w:ascii="Times New Roman" w:hAnsi="Times New Roman"/>
          <w:color w:val="000000"/>
          <w:sz w:val="28"/>
          <w:szCs w:val="28"/>
        </w:rPr>
        <w:fldChar w:fldCharType="end"/>
      </w:r>
      <w:r w:rsidRPr="003B10E2">
        <w:rPr>
          <w:rFonts w:ascii="Times New Roman" w:hAnsi="Times New Roman"/>
          <w:color w:val="000000"/>
          <w:sz w:val="28"/>
          <w:szCs w:val="28"/>
        </w:rPr>
        <w:t> — цена закрытия национального индекса m в момент t;</w:t>
      </w:r>
    </w:p>
    <w:p w14:paraId="2E6DFEEE" w14:textId="77777777" w:rsidR="005840BB" w:rsidRPr="003B10E2" w:rsidRDefault="005840BB" w:rsidP="005840BB">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 </w:t>
      </w:r>
      <w:r w:rsidR="002D341E" w:rsidRPr="003B10E2">
        <w:rPr>
          <w:rFonts w:ascii="Times New Roman" w:hAnsi="Times New Roman"/>
          <w:color w:val="000000"/>
          <w:sz w:val="28"/>
          <w:szCs w:val="28"/>
        </w:rPr>
        <w:fldChar w:fldCharType="begin"/>
      </w:r>
      <w:r w:rsidR="002D341E" w:rsidRPr="003B10E2">
        <w:rPr>
          <w:rFonts w:ascii="Times New Roman" w:hAnsi="Times New Roman"/>
          <w:color w:val="000000"/>
          <w:sz w:val="28"/>
          <w:szCs w:val="28"/>
        </w:rPr>
        <w:instrText xml:space="preserve"> QUOTE </w:instrText>
      </w:r>
      <w:r w:rsidR="00F276E9">
        <w:rPr>
          <w:noProof/>
          <w:position w:val="-6"/>
        </w:rPr>
      </w:r>
      <w:r w:rsidR="00F276E9">
        <w:rPr>
          <w:noProof/>
          <w:position w:val="-6"/>
        </w:rPr>
        <w:pict w14:anchorId="2B4A255B">
          <v:shape id="_x0000_i1101" type="#_x0000_t75" style="width:9.3pt;height:14.1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5F360B&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5F360B&quot; wsp:rsidP=&quot;005F360B&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µ&lt;/m:t&gt;&lt;/m:r&gt;&lt;/m:e&gt;&lt;m:sub&gt;&lt;m:r&gt;&lt;w:rPr&gt;&lt;w:rFonts w:ascii=&quot;Cambria Math&quot; w:h-ansi=&quot;Cambria Math&quot;/&gt;&lt;wx:font wx:val=&quot;Cambria Math&quot;/&gt;&lt;w:i/&gt;&lt;/w:rPr&gt;&lt;m:t&gt;Рµ&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5" o:title="" chromakey="white"/>
          </v:shape>
        </w:pict>
      </w:r>
      <w:r w:rsidR="002D341E" w:rsidRPr="003B10E2">
        <w:rPr>
          <w:rFonts w:ascii="Times New Roman" w:hAnsi="Times New Roman"/>
          <w:color w:val="000000"/>
          <w:sz w:val="28"/>
          <w:szCs w:val="28"/>
        </w:rPr>
        <w:instrText xml:space="preserve"> </w:instrText>
      </w:r>
      <w:r w:rsidR="002D341E" w:rsidRPr="003B10E2">
        <w:rPr>
          <w:rFonts w:ascii="Times New Roman" w:hAnsi="Times New Roman"/>
          <w:color w:val="000000"/>
          <w:sz w:val="28"/>
          <w:szCs w:val="28"/>
        </w:rPr>
        <w:fldChar w:fldCharType="separate"/>
      </w:r>
      <w:r w:rsidR="00F276E9">
        <w:rPr>
          <w:noProof/>
          <w:position w:val="-6"/>
        </w:rPr>
      </w:r>
      <w:r w:rsidR="00F276E9">
        <w:rPr>
          <w:noProof/>
          <w:position w:val="-6"/>
        </w:rPr>
        <w:pict w14:anchorId="5687EBCC">
          <v:shape id="_x0000_i1102" type="#_x0000_t75" style="width:9.3pt;height:14.1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5F360B&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5F360B&quot; wsp:rsidP=&quot;005F360B&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µ&lt;/m:t&gt;&lt;/m:r&gt;&lt;/m:e&gt;&lt;m:sub&gt;&lt;m:r&gt;&lt;w:rPr&gt;&lt;w:rFonts w:ascii=&quot;Cambria Math&quot; w:h-ansi=&quot;Cambria Math&quot;/&gt;&lt;wx:font wx:val=&quot;Cambria Math&quot;/&gt;&lt;w:i/&gt;&lt;/w:rPr&gt;&lt;m:t&gt;Рµ&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5" o:title="" chromakey="white"/>
          </v:shape>
        </w:pict>
      </w:r>
      <w:r w:rsidR="002D341E" w:rsidRPr="003B10E2">
        <w:rPr>
          <w:rFonts w:ascii="Times New Roman" w:hAnsi="Times New Roman"/>
          <w:color w:val="000000"/>
          <w:sz w:val="28"/>
          <w:szCs w:val="28"/>
        </w:rPr>
        <w:fldChar w:fldCharType="end"/>
      </w:r>
      <w:r w:rsidRPr="003B10E2">
        <w:rPr>
          <w:rFonts w:ascii="Times New Roman" w:hAnsi="Times New Roman"/>
          <w:color w:val="000000"/>
          <w:sz w:val="28"/>
          <w:szCs w:val="28"/>
        </w:rPr>
        <w:t> и </w:t>
      </w:r>
      <w:r w:rsidR="002D341E" w:rsidRPr="003B10E2">
        <w:fldChar w:fldCharType="begin"/>
      </w:r>
      <w:r w:rsidR="002D341E" w:rsidRPr="003B10E2">
        <w:instrText xml:space="preserve"> QUOTE </w:instrText>
      </w:r>
      <w:r w:rsidR="00F276E9">
        <w:rPr>
          <w:noProof/>
          <w:position w:val="-6"/>
        </w:rPr>
      </w:r>
      <w:r w:rsidR="00F276E9">
        <w:rPr>
          <w:noProof/>
          <w:position w:val="-6"/>
        </w:rPr>
        <w:pict w14:anchorId="376DE5D9">
          <v:shape id="_x0000_i1103" type="#_x0000_t75" style="width:9.7pt;height:14.1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E54D4&quot;/&gt;&lt;wsp:rsid wsp:val=&quot;00FF138F&quot;/&gt;&lt;/wsp:rsids&gt;&lt;/w:docPr&gt;&lt;w:body&gt;&lt;wx:sect&gt;&lt;w:p wsp:rsidR=&quot;00000000&quot; wsp:rsidRDefault=&quot;00FE54D4&quot; wsp:rsidP=&quot;00FE54D4&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ѕ&lt;/m:t&gt;&lt;/m:r&gt;&lt;/m:e&gt;&lt;m:sub&gt;&lt;m:r&gt;&lt;w:rPr&gt;&lt;w:rFonts w:ascii=&quot;Cambria Math&quot; w:h-ansi=&quot;Cambria Math&quot;/&gt;&lt;wx:font wx:val=&quot;Cambria Math&quot;/&gt;&lt;w:i/&gt;&lt;/w:rPr&gt;&lt;m:t&gt;e&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6" o:title="" chromakey="white"/>
          </v:shape>
        </w:pict>
      </w:r>
      <w:r w:rsidR="002D341E" w:rsidRPr="003B10E2">
        <w:instrText xml:space="preserve"> </w:instrText>
      </w:r>
      <w:r w:rsidR="002D341E" w:rsidRPr="003B10E2">
        <w:fldChar w:fldCharType="separate"/>
      </w:r>
      <w:r w:rsidR="00F276E9">
        <w:rPr>
          <w:noProof/>
          <w:position w:val="-6"/>
        </w:rPr>
      </w:r>
      <w:r w:rsidR="00F276E9">
        <w:rPr>
          <w:noProof/>
          <w:position w:val="-6"/>
        </w:rPr>
        <w:pict w14:anchorId="0E178F86">
          <v:shape id="_x0000_i1104" type="#_x0000_t75" style="width:9.7pt;height:14.15pt" equationxml="&lt;?xml version=&quot;1.0&quot; encoding=&quot;UTF-8&quot; standalone=&quot;yes&quot;?&gt;&#13;&#10;&#13;&#10;&#13;&#10;&#13;&#10;&lt;?mso-application progid=&quot;Word.Document&quot;?&gt;&#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E54D4&quot;/&gt;&lt;wsp:rsid wsp:val=&quot;00FF138F&quot;/&gt;&lt;/wsp:rsids&gt;&lt;/w:docPr&gt;&lt;w:body&gt;&lt;wx:sect&gt;&lt;w:p wsp:rsidR=&quot;00000000&quot; wsp:rsidRDefault=&quot;00FE54D4&quot; wsp:rsidP=&quot;00FE54D4&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ѕ&lt;/m:t&gt;&lt;/m:r&gt;&lt;/m:e&gt;&lt;m:sub&gt;&lt;m:r&gt;&lt;w:rPr&gt;&lt;w:rFonts w:ascii=&quot;Cambria Math&quot; w:h-ansi=&quot;Cambria Math&quot;/&gt;&lt;wx:font wx:val=&quot;Cambria Math&quot;/&gt;&lt;w:i/&gt;&lt;/w:rPr&gt;&lt;m:t&gt;e&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6" o:title="" chromakey="white"/>
          </v:shape>
        </w:pict>
      </w:r>
      <w:r w:rsidR="002D341E" w:rsidRPr="003B10E2">
        <w:fldChar w:fldCharType="end"/>
      </w:r>
      <w:r w:rsidRPr="003B10E2">
        <w:t> </w:t>
      </w:r>
      <w:r w:rsidRPr="003B10E2">
        <w:rPr>
          <w:rFonts w:ascii="Times New Roman" w:hAnsi="Times New Roman"/>
          <w:color w:val="000000"/>
          <w:sz w:val="28"/>
          <w:szCs w:val="28"/>
        </w:rPr>
        <w:t xml:space="preserve">— случайные одинаково распределенные ошибки во взаимосвязи между котировками фондового индекса и национальной валюты, которые используются для тестирования гипотезы распределения. </w:t>
      </w:r>
    </w:p>
    <w:p w14:paraId="4CD9C9B3" w14:textId="77777777" w:rsidR="005840BB" w:rsidRPr="003B10E2" w:rsidRDefault="005840BB" w:rsidP="005840BB">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Исходя из формы распределения полученных значений, будем использовать t-критерий Стьюдента. Набор изначальных данных включает в себя ряды ежедневной динамики фондовых индексов и национальных валют четырех стран с развивающимися рынками: Бразилии (IBOVESPA), Индии (BSE 500), России (MICEX), Китая (SHA), а также соответствующие им значения курса национальной валюты к доллару. Кроме того, использовались в качестве эталона NASDAQ 100 и курс EUR/USD. </w:t>
      </w:r>
    </w:p>
    <w:p w14:paraId="5A1BBEAE" w14:textId="77777777" w:rsidR="005840BB" w:rsidRPr="003B10E2" w:rsidRDefault="005840BB" w:rsidP="00181929">
      <w:pPr>
        <w:spacing w:after="0" w:line="360" w:lineRule="auto"/>
        <w:ind w:firstLine="851"/>
        <w:jc w:val="both"/>
        <w:rPr>
          <w:rFonts w:ascii="Times New Roman" w:hAnsi="Times New Roman"/>
          <w:color w:val="000000"/>
          <w:sz w:val="24"/>
          <w:szCs w:val="24"/>
        </w:rPr>
      </w:pPr>
      <w:r w:rsidRPr="003B10E2">
        <w:rPr>
          <w:rFonts w:ascii="Times New Roman" w:hAnsi="Times New Roman"/>
          <w:color w:val="000000"/>
          <w:sz w:val="28"/>
          <w:szCs w:val="28"/>
        </w:rPr>
        <w:t xml:space="preserve">Данные охватывают диапазоны от 03.03.2009 г. по 03.03.2016 г. для всех фондовых индексов и национальных валют, так как после мирового финансового кризиса 2008 г. появился принципиально новый характер связей между фондовыми индексами и валютами стран БРИКС. Использовались национальные валютные курсы по отношению к евро. </w:t>
      </w:r>
    </w:p>
    <w:p w14:paraId="756EED34" w14:textId="77777777" w:rsidR="005840BB" w:rsidRPr="003B10E2" w:rsidRDefault="00181929" w:rsidP="00805D9F">
      <w:pPr>
        <w:jc w:val="center"/>
        <w:rPr>
          <w:b/>
          <w:bCs/>
        </w:rPr>
      </w:pPr>
      <w:r w:rsidRPr="003B10E2">
        <w:rPr>
          <w:rFonts w:ascii="Times New Roman" w:hAnsi="Times New Roman"/>
          <w:b/>
          <w:bCs/>
          <w:color w:val="000000"/>
          <w:sz w:val="28"/>
          <w:szCs w:val="28"/>
        </w:rPr>
        <w:br w:type="page"/>
      </w:r>
      <w:r w:rsidR="005840BB" w:rsidRPr="003B10E2">
        <w:rPr>
          <w:rFonts w:ascii="Times New Roman" w:hAnsi="Times New Roman"/>
          <w:b/>
          <w:bCs/>
          <w:color w:val="000000"/>
          <w:sz w:val="28"/>
          <w:szCs w:val="28"/>
        </w:rPr>
        <w:t>Приложение Б</w:t>
      </w:r>
    </w:p>
    <w:p w14:paraId="3B8ED57C" w14:textId="77777777" w:rsidR="005840BB" w:rsidRPr="003B10E2" w:rsidRDefault="005840BB" w:rsidP="005840BB">
      <w:pPr>
        <w:spacing w:after="0" w:line="360" w:lineRule="auto"/>
        <w:jc w:val="center"/>
        <w:rPr>
          <w:b/>
          <w:sz w:val="28"/>
          <w:szCs w:val="28"/>
        </w:rPr>
      </w:pPr>
      <w:r w:rsidRPr="003B10E2">
        <w:rPr>
          <w:rFonts w:ascii="Times New Roman" w:hAnsi="Times New Roman"/>
          <w:b/>
          <w:color w:val="000000"/>
          <w:sz w:val="28"/>
          <w:szCs w:val="28"/>
        </w:rPr>
        <w:t>Классификация системы институциональных инвесторов</w:t>
      </w:r>
    </w:p>
    <w:tbl>
      <w:tblPr>
        <w:tblW w:w="9381" w:type="dxa"/>
        <w:tblInd w:w="72" w:type="dxa"/>
        <w:tblLayout w:type="fixed"/>
        <w:tblLook w:val="0000" w:firstRow="0" w:lastRow="0" w:firstColumn="0" w:lastColumn="0" w:noHBand="0" w:noVBand="0"/>
      </w:tblPr>
      <w:tblGrid>
        <w:gridCol w:w="1855"/>
        <w:gridCol w:w="2149"/>
        <w:gridCol w:w="1581"/>
        <w:gridCol w:w="1659"/>
        <w:gridCol w:w="2137"/>
      </w:tblGrid>
      <w:tr w:rsidR="005840BB" w:rsidRPr="003B10E2" w14:paraId="7C5D10E0" w14:textId="77777777" w:rsidTr="005840BB">
        <w:trPr>
          <w:trHeight w:val="997"/>
        </w:trPr>
        <w:tc>
          <w:tcPr>
            <w:tcW w:w="1855" w:type="dxa"/>
            <w:tcBorders>
              <w:top w:val="single" w:sz="4" w:space="0" w:color="000000"/>
              <w:left w:val="single" w:sz="4" w:space="0" w:color="000000"/>
              <w:bottom w:val="double" w:sz="4" w:space="0" w:color="000000"/>
              <w:right w:val="single" w:sz="4" w:space="0" w:color="000000"/>
            </w:tcBorders>
            <w:shd w:val="clear" w:color="auto" w:fill="auto"/>
          </w:tcPr>
          <w:p w14:paraId="71A0B79B" w14:textId="77777777" w:rsidR="005840BB" w:rsidRPr="003B10E2" w:rsidRDefault="005840BB" w:rsidP="005840BB">
            <w:pPr>
              <w:widowControl w:val="0"/>
              <w:spacing w:after="0" w:line="240" w:lineRule="auto"/>
              <w:jc w:val="center"/>
              <w:rPr>
                <w:rFonts w:ascii="Times New Roman" w:hAnsi="Times New Roman"/>
                <w:color w:val="000000"/>
              </w:rPr>
            </w:pPr>
            <w:r w:rsidRPr="003B10E2">
              <w:rPr>
                <w:rFonts w:ascii="Times New Roman" w:hAnsi="Times New Roman"/>
                <w:color w:val="000000"/>
              </w:rPr>
              <w:t>Тип инвестора</w:t>
            </w:r>
          </w:p>
        </w:tc>
        <w:tc>
          <w:tcPr>
            <w:tcW w:w="2149" w:type="dxa"/>
            <w:tcBorders>
              <w:top w:val="single" w:sz="4" w:space="0" w:color="000000"/>
              <w:left w:val="single" w:sz="4" w:space="0" w:color="000000"/>
              <w:bottom w:val="double" w:sz="4" w:space="0" w:color="000000"/>
              <w:right w:val="single" w:sz="4" w:space="0" w:color="000000"/>
            </w:tcBorders>
            <w:shd w:val="clear" w:color="auto" w:fill="auto"/>
          </w:tcPr>
          <w:p w14:paraId="3DB0B30A" w14:textId="77777777" w:rsidR="005840BB" w:rsidRPr="003B10E2" w:rsidRDefault="005840BB" w:rsidP="005840BB">
            <w:pPr>
              <w:widowControl w:val="0"/>
              <w:spacing w:after="0" w:line="240" w:lineRule="auto"/>
              <w:jc w:val="center"/>
              <w:rPr>
                <w:rFonts w:ascii="Times New Roman" w:hAnsi="Times New Roman"/>
                <w:color w:val="000000"/>
              </w:rPr>
            </w:pPr>
            <w:r w:rsidRPr="003B10E2">
              <w:rPr>
                <w:rFonts w:ascii="Times New Roman" w:hAnsi="Times New Roman"/>
                <w:color w:val="000000"/>
              </w:rPr>
              <w:t>Собственник</w:t>
            </w:r>
          </w:p>
        </w:tc>
        <w:tc>
          <w:tcPr>
            <w:tcW w:w="1581" w:type="dxa"/>
            <w:tcBorders>
              <w:top w:val="single" w:sz="4" w:space="0" w:color="000000"/>
              <w:left w:val="single" w:sz="4" w:space="0" w:color="000000"/>
              <w:bottom w:val="double" w:sz="4" w:space="0" w:color="000000"/>
              <w:right w:val="single" w:sz="4" w:space="0" w:color="000000"/>
            </w:tcBorders>
            <w:shd w:val="clear" w:color="auto" w:fill="auto"/>
          </w:tcPr>
          <w:p w14:paraId="3ED158AE" w14:textId="77777777" w:rsidR="005840BB" w:rsidRPr="003B10E2" w:rsidRDefault="005840BB" w:rsidP="005840BB">
            <w:pPr>
              <w:widowControl w:val="0"/>
              <w:spacing w:after="0" w:line="240" w:lineRule="auto"/>
              <w:jc w:val="center"/>
              <w:rPr>
                <w:rFonts w:ascii="Times New Roman" w:hAnsi="Times New Roman"/>
                <w:color w:val="000000"/>
              </w:rPr>
            </w:pPr>
            <w:r w:rsidRPr="003B10E2">
              <w:rPr>
                <w:rFonts w:ascii="Times New Roman" w:hAnsi="Times New Roman"/>
                <w:color w:val="000000"/>
              </w:rPr>
              <w:t>Управление активами</w:t>
            </w:r>
          </w:p>
        </w:tc>
        <w:tc>
          <w:tcPr>
            <w:tcW w:w="1659" w:type="dxa"/>
            <w:tcBorders>
              <w:top w:val="single" w:sz="4" w:space="0" w:color="000000"/>
              <w:left w:val="single" w:sz="4" w:space="0" w:color="000000"/>
              <w:bottom w:val="double" w:sz="4" w:space="0" w:color="000000"/>
              <w:right w:val="single" w:sz="4" w:space="0" w:color="000000"/>
            </w:tcBorders>
            <w:shd w:val="clear" w:color="auto" w:fill="auto"/>
          </w:tcPr>
          <w:p w14:paraId="0043E115" w14:textId="77777777" w:rsidR="005840BB" w:rsidRPr="003B10E2" w:rsidRDefault="005840BB" w:rsidP="005840BB">
            <w:pPr>
              <w:widowControl w:val="0"/>
              <w:spacing w:after="0" w:line="240" w:lineRule="auto"/>
              <w:jc w:val="center"/>
              <w:rPr>
                <w:rFonts w:ascii="Times New Roman" w:hAnsi="Times New Roman"/>
                <w:color w:val="000000"/>
              </w:rPr>
            </w:pPr>
            <w:r w:rsidRPr="003B10E2">
              <w:rPr>
                <w:rFonts w:ascii="Times New Roman" w:hAnsi="Times New Roman"/>
                <w:color w:val="000000"/>
              </w:rPr>
              <w:t>Мониторинг и оценка эффективности</w:t>
            </w:r>
          </w:p>
        </w:tc>
        <w:tc>
          <w:tcPr>
            <w:tcW w:w="2137" w:type="dxa"/>
            <w:tcBorders>
              <w:top w:val="single" w:sz="4" w:space="0" w:color="000000"/>
              <w:left w:val="single" w:sz="4" w:space="0" w:color="000000"/>
              <w:bottom w:val="double" w:sz="4" w:space="0" w:color="000000"/>
              <w:right w:val="single" w:sz="4" w:space="0" w:color="000000"/>
            </w:tcBorders>
            <w:shd w:val="clear" w:color="auto" w:fill="auto"/>
          </w:tcPr>
          <w:p w14:paraId="471E9C40" w14:textId="77777777" w:rsidR="005840BB" w:rsidRPr="003B10E2" w:rsidRDefault="005840BB" w:rsidP="005840BB">
            <w:pPr>
              <w:widowControl w:val="0"/>
              <w:spacing w:after="0" w:line="240" w:lineRule="auto"/>
              <w:jc w:val="center"/>
              <w:rPr>
                <w:rFonts w:ascii="Times New Roman" w:hAnsi="Times New Roman"/>
                <w:color w:val="000000"/>
              </w:rPr>
            </w:pPr>
            <w:r w:rsidRPr="003B10E2">
              <w:rPr>
                <w:rFonts w:ascii="Times New Roman" w:hAnsi="Times New Roman"/>
                <w:color w:val="000000"/>
              </w:rPr>
              <w:t>Конечный носитель рисков</w:t>
            </w:r>
          </w:p>
        </w:tc>
      </w:tr>
      <w:tr w:rsidR="005840BB" w:rsidRPr="003B10E2" w14:paraId="5E9D3BB8" w14:textId="77777777" w:rsidTr="0021499F">
        <w:trPr>
          <w:trHeight w:val="765"/>
        </w:trPr>
        <w:tc>
          <w:tcPr>
            <w:tcW w:w="1855" w:type="dxa"/>
            <w:vMerge w:val="restart"/>
            <w:tcBorders>
              <w:top w:val="double" w:sz="4" w:space="0" w:color="000000"/>
              <w:left w:val="single" w:sz="4" w:space="0" w:color="000000"/>
              <w:bottom w:val="single" w:sz="4" w:space="0" w:color="000000"/>
              <w:right w:val="single" w:sz="4" w:space="0" w:color="000000"/>
            </w:tcBorders>
            <w:shd w:val="clear" w:color="auto" w:fill="auto"/>
          </w:tcPr>
          <w:p w14:paraId="195D507F" w14:textId="77777777" w:rsidR="005840BB" w:rsidRPr="003B10E2" w:rsidRDefault="005840BB" w:rsidP="005840BB">
            <w:pPr>
              <w:widowControl w:val="0"/>
              <w:spacing w:after="0" w:line="240" w:lineRule="auto"/>
              <w:rPr>
                <w:rFonts w:ascii="Times New Roman" w:hAnsi="Times New Roman"/>
                <w:color w:val="000000"/>
              </w:rPr>
            </w:pPr>
            <w:r w:rsidRPr="003B10E2">
              <w:rPr>
                <w:rFonts w:ascii="Times New Roman" w:hAnsi="Times New Roman"/>
                <w:color w:val="000000"/>
              </w:rPr>
              <w:t>Инвестиционные фонды (розничный бизнес)</w:t>
            </w:r>
          </w:p>
        </w:tc>
        <w:tc>
          <w:tcPr>
            <w:tcW w:w="2149" w:type="dxa"/>
            <w:tcBorders>
              <w:top w:val="double" w:sz="4" w:space="0" w:color="000000"/>
              <w:right w:val="single" w:sz="4" w:space="0" w:color="000000"/>
            </w:tcBorders>
            <w:shd w:val="clear" w:color="auto" w:fill="auto"/>
          </w:tcPr>
          <w:p w14:paraId="2BE5DA00" w14:textId="77777777"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Домашние хозяйства</w:t>
            </w:r>
          </w:p>
        </w:tc>
        <w:tc>
          <w:tcPr>
            <w:tcW w:w="1581" w:type="dxa"/>
            <w:vMerge w:val="restart"/>
            <w:tcBorders>
              <w:top w:val="double" w:sz="4" w:space="0" w:color="000000"/>
              <w:left w:val="single" w:sz="4" w:space="0" w:color="000000"/>
              <w:bottom w:val="single" w:sz="4" w:space="0" w:color="000000"/>
              <w:right w:val="single" w:sz="4" w:space="0" w:color="000000"/>
            </w:tcBorders>
            <w:shd w:val="clear" w:color="auto" w:fill="auto"/>
          </w:tcPr>
          <w:p w14:paraId="2BE8FEE1" w14:textId="77777777"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Управление собственными активами</w:t>
            </w:r>
          </w:p>
        </w:tc>
        <w:tc>
          <w:tcPr>
            <w:tcW w:w="1659" w:type="dxa"/>
            <w:vMerge w:val="restart"/>
            <w:tcBorders>
              <w:top w:val="double" w:sz="4" w:space="0" w:color="000000"/>
              <w:left w:val="single" w:sz="4" w:space="0" w:color="000000"/>
              <w:bottom w:val="single" w:sz="4" w:space="0" w:color="000000"/>
              <w:right w:val="single" w:sz="4" w:space="0" w:color="000000"/>
            </w:tcBorders>
            <w:shd w:val="clear" w:color="auto" w:fill="auto"/>
          </w:tcPr>
          <w:p w14:paraId="2486BF27" w14:textId="77777777"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Инвесторы, рейтинговые агентства</w:t>
            </w:r>
          </w:p>
        </w:tc>
        <w:tc>
          <w:tcPr>
            <w:tcW w:w="2137" w:type="dxa"/>
            <w:tcBorders>
              <w:top w:val="double" w:sz="4" w:space="0" w:color="000000"/>
              <w:right w:val="single" w:sz="4" w:space="0" w:color="000000"/>
            </w:tcBorders>
            <w:shd w:val="clear" w:color="auto" w:fill="auto"/>
          </w:tcPr>
          <w:p w14:paraId="60600499" w14:textId="77777777"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Домашние хозяйства</w:t>
            </w:r>
          </w:p>
        </w:tc>
      </w:tr>
      <w:tr w:rsidR="005840BB" w:rsidRPr="003B10E2" w14:paraId="04E49690" w14:textId="77777777" w:rsidTr="0021499F">
        <w:trPr>
          <w:trHeight w:val="510"/>
        </w:trPr>
        <w:tc>
          <w:tcPr>
            <w:tcW w:w="1855" w:type="dxa"/>
            <w:vMerge/>
            <w:tcBorders>
              <w:left w:val="single" w:sz="4" w:space="0" w:color="000000"/>
              <w:bottom w:val="single" w:sz="4" w:space="0" w:color="000000"/>
              <w:right w:val="single" w:sz="4" w:space="0" w:color="000000"/>
            </w:tcBorders>
            <w:vAlign w:val="center"/>
          </w:tcPr>
          <w:p w14:paraId="5108EF63" w14:textId="77777777" w:rsidR="005840BB" w:rsidRPr="003B10E2" w:rsidRDefault="005840BB" w:rsidP="005840BB">
            <w:pPr>
              <w:widowControl w:val="0"/>
              <w:spacing w:after="0" w:line="240" w:lineRule="auto"/>
              <w:rPr>
                <w:rFonts w:ascii="Times New Roman" w:hAnsi="Times New Roman"/>
                <w:color w:val="000000"/>
              </w:rPr>
            </w:pPr>
          </w:p>
        </w:tc>
        <w:tc>
          <w:tcPr>
            <w:tcW w:w="2149" w:type="dxa"/>
            <w:tcBorders>
              <w:bottom w:val="single" w:sz="4" w:space="0" w:color="000000"/>
              <w:right w:val="single" w:sz="4" w:space="0" w:color="000000"/>
            </w:tcBorders>
            <w:shd w:val="clear" w:color="auto" w:fill="auto"/>
          </w:tcPr>
          <w:p w14:paraId="5ED4983B" w14:textId="77777777"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Юридические лица</w:t>
            </w:r>
          </w:p>
        </w:tc>
        <w:tc>
          <w:tcPr>
            <w:tcW w:w="1581" w:type="dxa"/>
            <w:vMerge/>
            <w:tcBorders>
              <w:left w:val="single" w:sz="4" w:space="0" w:color="000000"/>
              <w:bottom w:val="single" w:sz="4" w:space="0" w:color="000000"/>
              <w:right w:val="single" w:sz="4" w:space="0" w:color="000000"/>
            </w:tcBorders>
            <w:vAlign w:val="center"/>
          </w:tcPr>
          <w:p w14:paraId="1CE10586" w14:textId="77777777" w:rsidR="005840BB" w:rsidRPr="003B10E2" w:rsidRDefault="005840BB" w:rsidP="005840BB">
            <w:pPr>
              <w:widowControl w:val="0"/>
              <w:spacing w:after="0" w:line="240" w:lineRule="auto"/>
              <w:jc w:val="both"/>
              <w:rPr>
                <w:rFonts w:ascii="Times New Roman" w:hAnsi="Times New Roman"/>
                <w:color w:val="000000"/>
              </w:rPr>
            </w:pPr>
          </w:p>
        </w:tc>
        <w:tc>
          <w:tcPr>
            <w:tcW w:w="1659" w:type="dxa"/>
            <w:vMerge/>
            <w:tcBorders>
              <w:left w:val="single" w:sz="4" w:space="0" w:color="000000"/>
              <w:bottom w:val="single" w:sz="4" w:space="0" w:color="000000"/>
              <w:right w:val="single" w:sz="4" w:space="0" w:color="000000"/>
            </w:tcBorders>
            <w:vAlign w:val="center"/>
          </w:tcPr>
          <w:p w14:paraId="7F9DA358" w14:textId="77777777" w:rsidR="005840BB" w:rsidRPr="003B10E2" w:rsidRDefault="005840BB" w:rsidP="005840BB">
            <w:pPr>
              <w:widowControl w:val="0"/>
              <w:spacing w:after="0" w:line="240" w:lineRule="auto"/>
              <w:jc w:val="both"/>
              <w:rPr>
                <w:rFonts w:ascii="Times New Roman" w:hAnsi="Times New Roman"/>
                <w:color w:val="000000"/>
              </w:rPr>
            </w:pPr>
          </w:p>
        </w:tc>
        <w:tc>
          <w:tcPr>
            <w:tcW w:w="2137" w:type="dxa"/>
            <w:tcBorders>
              <w:bottom w:val="single" w:sz="4" w:space="0" w:color="000000"/>
              <w:right w:val="single" w:sz="4" w:space="0" w:color="000000"/>
            </w:tcBorders>
            <w:shd w:val="clear" w:color="auto" w:fill="auto"/>
          </w:tcPr>
          <w:p w14:paraId="5D90539D" w14:textId="77777777"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Юридические лица</w:t>
            </w:r>
          </w:p>
        </w:tc>
      </w:tr>
      <w:tr w:rsidR="005840BB" w:rsidRPr="003B10E2" w14:paraId="27D04B44" w14:textId="77777777" w:rsidTr="0021499F">
        <w:trPr>
          <w:trHeight w:val="765"/>
        </w:trPr>
        <w:tc>
          <w:tcPr>
            <w:tcW w:w="1855" w:type="dxa"/>
            <w:vMerge w:val="restart"/>
            <w:tcBorders>
              <w:left w:val="single" w:sz="4" w:space="0" w:color="000000"/>
              <w:bottom w:val="single" w:sz="4" w:space="0" w:color="000000"/>
              <w:right w:val="single" w:sz="4" w:space="0" w:color="000000"/>
            </w:tcBorders>
            <w:shd w:val="clear" w:color="auto" w:fill="auto"/>
          </w:tcPr>
          <w:p w14:paraId="5070D4B3" w14:textId="77777777" w:rsidR="005840BB" w:rsidRPr="003B10E2" w:rsidRDefault="005840BB" w:rsidP="005840BB">
            <w:pPr>
              <w:widowControl w:val="0"/>
              <w:spacing w:after="0" w:line="240" w:lineRule="auto"/>
              <w:rPr>
                <w:rFonts w:ascii="Times New Roman" w:hAnsi="Times New Roman"/>
                <w:color w:val="000000"/>
              </w:rPr>
            </w:pPr>
            <w:r w:rsidRPr="003B10E2">
              <w:rPr>
                <w:rFonts w:ascii="Times New Roman" w:hAnsi="Times New Roman"/>
                <w:color w:val="000000"/>
              </w:rPr>
              <w:t>Управляющие активами (оптовый бизнес)</w:t>
            </w:r>
          </w:p>
        </w:tc>
        <w:tc>
          <w:tcPr>
            <w:tcW w:w="2149" w:type="dxa"/>
            <w:tcBorders>
              <w:right w:val="single" w:sz="4" w:space="0" w:color="000000"/>
            </w:tcBorders>
            <w:shd w:val="clear" w:color="auto" w:fill="auto"/>
          </w:tcPr>
          <w:p w14:paraId="139CAE52" w14:textId="77777777"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Институциональные инвесторы</w:t>
            </w:r>
          </w:p>
        </w:tc>
        <w:tc>
          <w:tcPr>
            <w:tcW w:w="1581" w:type="dxa"/>
            <w:vMerge w:val="restart"/>
            <w:tcBorders>
              <w:left w:val="single" w:sz="4" w:space="0" w:color="000000"/>
              <w:bottom w:val="single" w:sz="4" w:space="0" w:color="000000"/>
              <w:right w:val="single" w:sz="4" w:space="0" w:color="000000"/>
            </w:tcBorders>
            <w:shd w:val="clear" w:color="auto" w:fill="auto"/>
          </w:tcPr>
          <w:p w14:paraId="7CD84AB7" w14:textId="77777777"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Управление внешними активами</w:t>
            </w:r>
          </w:p>
        </w:tc>
        <w:tc>
          <w:tcPr>
            <w:tcW w:w="1659" w:type="dxa"/>
            <w:vMerge w:val="restart"/>
            <w:tcBorders>
              <w:left w:val="single" w:sz="4" w:space="0" w:color="000000"/>
              <w:bottom w:val="single" w:sz="4" w:space="0" w:color="000000"/>
              <w:right w:val="single" w:sz="4" w:space="0" w:color="000000"/>
            </w:tcBorders>
            <w:shd w:val="clear" w:color="auto" w:fill="auto"/>
          </w:tcPr>
          <w:p w14:paraId="10B740E6" w14:textId="77777777"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Инвесторы, консультанты</w:t>
            </w:r>
          </w:p>
        </w:tc>
        <w:tc>
          <w:tcPr>
            <w:tcW w:w="2137" w:type="dxa"/>
            <w:tcBorders>
              <w:right w:val="single" w:sz="4" w:space="0" w:color="000000"/>
            </w:tcBorders>
            <w:shd w:val="clear" w:color="auto" w:fill="auto"/>
          </w:tcPr>
          <w:p w14:paraId="6141791E" w14:textId="77777777"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Институциональные инвесторы</w:t>
            </w:r>
          </w:p>
        </w:tc>
      </w:tr>
      <w:tr w:rsidR="005840BB" w:rsidRPr="003B10E2" w14:paraId="6FD86A9A" w14:textId="77777777" w:rsidTr="005840BB">
        <w:trPr>
          <w:trHeight w:val="70"/>
        </w:trPr>
        <w:tc>
          <w:tcPr>
            <w:tcW w:w="1855" w:type="dxa"/>
            <w:vMerge/>
            <w:tcBorders>
              <w:left w:val="single" w:sz="4" w:space="0" w:color="000000"/>
              <w:bottom w:val="single" w:sz="4" w:space="0" w:color="000000"/>
              <w:right w:val="single" w:sz="4" w:space="0" w:color="000000"/>
            </w:tcBorders>
            <w:vAlign w:val="center"/>
          </w:tcPr>
          <w:p w14:paraId="7CE44199" w14:textId="77777777" w:rsidR="005840BB" w:rsidRPr="003B10E2" w:rsidRDefault="005840BB" w:rsidP="005840BB">
            <w:pPr>
              <w:widowControl w:val="0"/>
              <w:spacing w:after="0" w:line="240" w:lineRule="auto"/>
              <w:rPr>
                <w:rFonts w:ascii="Times New Roman" w:hAnsi="Times New Roman"/>
                <w:color w:val="000000"/>
              </w:rPr>
            </w:pPr>
          </w:p>
        </w:tc>
        <w:tc>
          <w:tcPr>
            <w:tcW w:w="2149" w:type="dxa"/>
            <w:tcBorders>
              <w:bottom w:val="single" w:sz="4" w:space="0" w:color="000000"/>
              <w:right w:val="single" w:sz="4" w:space="0" w:color="000000"/>
            </w:tcBorders>
            <w:shd w:val="clear" w:color="auto" w:fill="auto"/>
          </w:tcPr>
          <w:p w14:paraId="5BB578E0" w14:textId="77777777" w:rsidR="005840BB" w:rsidRPr="003B10E2" w:rsidRDefault="005840BB" w:rsidP="005840BB">
            <w:pPr>
              <w:widowControl w:val="0"/>
              <w:spacing w:after="0" w:line="240" w:lineRule="auto"/>
              <w:jc w:val="both"/>
              <w:rPr>
                <w:rFonts w:ascii="Times New Roman" w:hAnsi="Times New Roman"/>
                <w:color w:val="000000"/>
              </w:rPr>
            </w:pPr>
          </w:p>
        </w:tc>
        <w:tc>
          <w:tcPr>
            <w:tcW w:w="1581" w:type="dxa"/>
            <w:vMerge/>
            <w:tcBorders>
              <w:left w:val="single" w:sz="4" w:space="0" w:color="000000"/>
              <w:bottom w:val="single" w:sz="4" w:space="0" w:color="000000"/>
              <w:right w:val="single" w:sz="4" w:space="0" w:color="000000"/>
            </w:tcBorders>
            <w:vAlign w:val="center"/>
          </w:tcPr>
          <w:p w14:paraId="5BEB1199" w14:textId="77777777" w:rsidR="005840BB" w:rsidRPr="003B10E2" w:rsidRDefault="005840BB" w:rsidP="005840BB">
            <w:pPr>
              <w:widowControl w:val="0"/>
              <w:spacing w:after="0" w:line="240" w:lineRule="auto"/>
              <w:jc w:val="both"/>
              <w:rPr>
                <w:rFonts w:ascii="Times New Roman" w:hAnsi="Times New Roman"/>
                <w:color w:val="000000"/>
              </w:rPr>
            </w:pPr>
          </w:p>
        </w:tc>
        <w:tc>
          <w:tcPr>
            <w:tcW w:w="1659" w:type="dxa"/>
            <w:vMerge/>
            <w:tcBorders>
              <w:left w:val="single" w:sz="4" w:space="0" w:color="000000"/>
              <w:bottom w:val="single" w:sz="4" w:space="0" w:color="000000"/>
              <w:right w:val="single" w:sz="4" w:space="0" w:color="000000"/>
            </w:tcBorders>
            <w:vAlign w:val="center"/>
          </w:tcPr>
          <w:p w14:paraId="640F0DD2" w14:textId="77777777" w:rsidR="005840BB" w:rsidRPr="003B10E2" w:rsidRDefault="005840BB" w:rsidP="005840BB">
            <w:pPr>
              <w:widowControl w:val="0"/>
              <w:spacing w:after="0" w:line="240" w:lineRule="auto"/>
              <w:jc w:val="both"/>
              <w:rPr>
                <w:rFonts w:ascii="Times New Roman" w:hAnsi="Times New Roman"/>
                <w:color w:val="000000"/>
              </w:rPr>
            </w:pPr>
          </w:p>
        </w:tc>
        <w:tc>
          <w:tcPr>
            <w:tcW w:w="2137" w:type="dxa"/>
            <w:tcBorders>
              <w:bottom w:val="single" w:sz="4" w:space="0" w:color="000000"/>
              <w:right w:val="single" w:sz="4" w:space="0" w:color="000000"/>
            </w:tcBorders>
            <w:shd w:val="clear" w:color="auto" w:fill="auto"/>
          </w:tcPr>
          <w:p w14:paraId="30921911" w14:textId="77777777" w:rsidR="005840BB" w:rsidRPr="003B10E2" w:rsidRDefault="005840BB" w:rsidP="005840BB">
            <w:pPr>
              <w:widowControl w:val="0"/>
              <w:spacing w:after="0" w:line="240" w:lineRule="auto"/>
              <w:jc w:val="both"/>
              <w:rPr>
                <w:rFonts w:ascii="Times New Roman" w:hAnsi="Times New Roman"/>
                <w:color w:val="000000"/>
              </w:rPr>
            </w:pPr>
          </w:p>
        </w:tc>
      </w:tr>
      <w:tr w:rsidR="005840BB" w:rsidRPr="003B10E2" w14:paraId="2D6B94F6" w14:textId="77777777" w:rsidTr="0021499F">
        <w:trPr>
          <w:trHeight w:val="510"/>
        </w:trPr>
        <w:tc>
          <w:tcPr>
            <w:tcW w:w="1855" w:type="dxa"/>
            <w:tcBorders>
              <w:top w:val="single" w:sz="4" w:space="0" w:color="000000"/>
              <w:left w:val="single" w:sz="4" w:space="0" w:color="000000"/>
              <w:bottom w:val="single" w:sz="4" w:space="0" w:color="000000"/>
              <w:right w:val="single" w:sz="4" w:space="0" w:color="000000"/>
            </w:tcBorders>
            <w:vAlign w:val="center"/>
          </w:tcPr>
          <w:p w14:paraId="5C7E9672" w14:textId="77777777" w:rsidR="005840BB" w:rsidRPr="003B10E2" w:rsidRDefault="005840BB" w:rsidP="005840BB">
            <w:pPr>
              <w:widowControl w:val="0"/>
              <w:spacing w:after="0" w:line="240" w:lineRule="auto"/>
              <w:rPr>
                <w:rFonts w:ascii="Times New Roman" w:hAnsi="Times New Roman"/>
                <w:color w:val="000000"/>
              </w:rPr>
            </w:pPr>
            <w:r w:rsidRPr="003B10E2">
              <w:rPr>
                <w:rFonts w:ascii="Times New Roman" w:hAnsi="Times New Roman"/>
                <w:color w:val="000000"/>
              </w:rPr>
              <w:t>Общие фонды банковского управления</w:t>
            </w:r>
          </w:p>
        </w:tc>
        <w:tc>
          <w:tcPr>
            <w:tcW w:w="2149" w:type="dxa"/>
            <w:tcBorders>
              <w:top w:val="single" w:sz="4" w:space="0" w:color="000000"/>
              <w:left w:val="single" w:sz="4" w:space="0" w:color="000000"/>
              <w:bottom w:val="single" w:sz="4" w:space="0" w:color="000000"/>
              <w:right w:val="single" w:sz="4" w:space="0" w:color="000000"/>
            </w:tcBorders>
            <w:shd w:val="clear" w:color="auto" w:fill="auto"/>
          </w:tcPr>
          <w:p w14:paraId="7F5E8108" w14:textId="77777777"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Бенефициары</w:t>
            </w:r>
          </w:p>
        </w:tc>
        <w:tc>
          <w:tcPr>
            <w:tcW w:w="1581" w:type="dxa"/>
            <w:tcBorders>
              <w:top w:val="single" w:sz="4" w:space="0" w:color="000000"/>
              <w:left w:val="single" w:sz="4" w:space="0" w:color="000000"/>
              <w:bottom w:val="single" w:sz="4" w:space="0" w:color="000000"/>
              <w:right w:val="single" w:sz="4" w:space="0" w:color="000000"/>
            </w:tcBorders>
          </w:tcPr>
          <w:p w14:paraId="67890624" w14:textId="77777777"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Управление собственными и внешними активами</w:t>
            </w:r>
          </w:p>
        </w:tc>
        <w:tc>
          <w:tcPr>
            <w:tcW w:w="1659" w:type="dxa"/>
            <w:tcBorders>
              <w:top w:val="single" w:sz="4" w:space="0" w:color="000000"/>
              <w:left w:val="single" w:sz="4" w:space="0" w:color="000000"/>
              <w:bottom w:val="single" w:sz="4" w:space="0" w:color="000000"/>
              <w:right w:val="single" w:sz="4" w:space="0" w:color="000000"/>
            </w:tcBorders>
          </w:tcPr>
          <w:p w14:paraId="0EBD8532" w14:textId="77777777"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Доверенные лица, консультанты</w:t>
            </w:r>
          </w:p>
        </w:tc>
        <w:tc>
          <w:tcPr>
            <w:tcW w:w="2137" w:type="dxa"/>
            <w:tcBorders>
              <w:top w:val="single" w:sz="4" w:space="0" w:color="000000"/>
              <w:left w:val="single" w:sz="4" w:space="0" w:color="000000"/>
              <w:bottom w:val="single" w:sz="4" w:space="0" w:color="000000"/>
              <w:right w:val="single" w:sz="4" w:space="0" w:color="000000"/>
            </w:tcBorders>
            <w:shd w:val="clear" w:color="auto" w:fill="auto"/>
          </w:tcPr>
          <w:p w14:paraId="17AB9B25" w14:textId="77777777"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Бенефициары</w:t>
            </w:r>
          </w:p>
        </w:tc>
      </w:tr>
      <w:tr w:rsidR="005840BB" w:rsidRPr="003B10E2" w14:paraId="2F5B4296" w14:textId="77777777" w:rsidTr="0021499F">
        <w:trPr>
          <w:trHeight w:val="510"/>
        </w:trPr>
        <w:tc>
          <w:tcPr>
            <w:tcW w:w="1855" w:type="dxa"/>
            <w:tcBorders>
              <w:top w:val="single" w:sz="4" w:space="0" w:color="000000"/>
              <w:left w:val="single" w:sz="4" w:space="0" w:color="000000"/>
              <w:bottom w:val="single" w:sz="4" w:space="0" w:color="000000"/>
              <w:right w:val="single" w:sz="4" w:space="0" w:color="000000"/>
            </w:tcBorders>
            <w:vAlign w:val="center"/>
          </w:tcPr>
          <w:p w14:paraId="133E75E4" w14:textId="77777777" w:rsidR="005840BB" w:rsidRPr="003B10E2" w:rsidRDefault="005840BB" w:rsidP="005840BB">
            <w:pPr>
              <w:widowControl w:val="0"/>
              <w:spacing w:after="0" w:line="240" w:lineRule="auto"/>
              <w:rPr>
                <w:rFonts w:ascii="Times New Roman" w:hAnsi="Times New Roman"/>
                <w:color w:val="000000"/>
              </w:rPr>
            </w:pPr>
            <w:r w:rsidRPr="003B10E2">
              <w:rPr>
                <w:rFonts w:ascii="Times New Roman" w:hAnsi="Times New Roman"/>
                <w:color w:val="000000"/>
              </w:rPr>
              <w:t>Пенсионные фонды (система пенсионных вкладов)</w:t>
            </w:r>
          </w:p>
        </w:tc>
        <w:tc>
          <w:tcPr>
            <w:tcW w:w="2149" w:type="dxa"/>
            <w:tcBorders>
              <w:top w:val="single" w:sz="4" w:space="0" w:color="000000"/>
              <w:bottom w:val="single" w:sz="4" w:space="0" w:color="000000"/>
              <w:right w:val="single" w:sz="4" w:space="0" w:color="000000"/>
            </w:tcBorders>
            <w:shd w:val="clear" w:color="auto" w:fill="auto"/>
          </w:tcPr>
          <w:p w14:paraId="5E3D5B1B" w14:textId="77777777"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Бенефициары</w:t>
            </w:r>
          </w:p>
        </w:tc>
        <w:tc>
          <w:tcPr>
            <w:tcW w:w="1581" w:type="dxa"/>
            <w:tcBorders>
              <w:top w:val="single" w:sz="4" w:space="0" w:color="000000"/>
              <w:left w:val="single" w:sz="4" w:space="0" w:color="000000"/>
              <w:bottom w:val="single" w:sz="4" w:space="0" w:color="000000"/>
              <w:right w:val="single" w:sz="4" w:space="0" w:color="000000"/>
            </w:tcBorders>
          </w:tcPr>
          <w:p w14:paraId="72DD0C3F" w14:textId="77777777"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Управление собственными и внешними активами</w:t>
            </w:r>
          </w:p>
        </w:tc>
        <w:tc>
          <w:tcPr>
            <w:tcW w:w="1659" w:type="dxa"/>
            <w:tcBorders>
              <w:top w:val="single" w:sz="4" w:space="0" w:color="000000"/>
              <w:left w:val="single" w:sz="4" w:space="0" w:color="000000"/>
              <w:bottom w:val="single" w:sz="4" w:space="0" w:color="000000"/>
              <w:right w:val="single" w:sz="4" w:space="0" w:color="000000"/>
            </w:tcBorders>
          </w:tcPr>
          <w:p w14:paraId="252BCD3E" w14:textId="77777777"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Доверенные лица, консультанты</w:t>
            </w:r>
          </w:p>
        </w:tc>
        <w:tc>
          <w:tcPr>
            <w:tcW w:w="2137" w:type="dxa"/>
            <w:tcBorders>
              <w:top w:val="single" w:sz="4" w:space="0" w:color="000000"/>
              <w:bottom w:val="single" w:sz="4" w:space="0" w:color="000000"/>
              <w:right w:val="single" w:sz="4" w:space="0" w:color="000000"/>
            </w:tcBorders>
            <w:shd w:val="clear" w:color="auto" w:fill="auto"/>
          </w:tcPr>
          <w:p w14:paraId="1C6D7CD9" w14:textId="77777777"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Бенефициары</w:t>
            </w:r>
          </w:p>
        </w:tc>
      </w:tr>
      <w:tr w:rsidR="005840BB" w:rsidRPr="003B10E2" w14:paraId="43B10A4D" w14:textId="77777777" w:rsidTr="0021499F">
        <w:trPr>
          <w:trHeight w:val="510"/>
        </w:trPr>
        <w:tc>
          <w:tcPr>
            <w:tcW w:w="1855" w:type="dxa"/>
            <w:tcBorders>
              <w:left w:val="single" w:sz="4" w:space="0" w:color="000000"/>
              <w:bottom w:val="single" w:sz="4" w:space="0" w:color="000000"/>
              <w:right w:val="single" w:sz="4" w:space="0" w:color="000000"/>
            </w:tcBorders>
            <w:vAlign w:val="center"/>
          </w:tcPr>
          <w:p w14:paraId="5B163F58" w14:textId="77777777" w:rsidR="005840BB" w:rsidRPr="003B10E2" w:rsidRDefault="005840BB" w:rsidP="005840BB">
            <w:pPr>
              <w:widowControl w:val="0"/>
              <w:spacing w:after="0" w:line="240" w:lineRule="auto"/>
              <w:rPr>
                <w:rFonts w:ascii="Times New Roman" w:hAnsi="Times New Roman"/>
                <w:color w:val="000000"/>
              </w:rPr>
            </w:pPr>
            <w:r w:rsidRPr="003B10E2">
              <w:rPr>
                <w:rFonts w:ascii="Times New Roman" w:hAnsi="Times New Roman"/>
                <w:color w:val="000000"/>
              </w:rPr>
              <w:t>Страховые компании</w:t>
            </w:r>
          </w:p>
        </w:tc>
        <w:tc>
          <w:tcPr>
            <w:tcW w:w="2149" w:type="dxa"/>
            <w:tcBorders>
              <w:bottom w:val="single" w:sz="4" w:space="0" w:color="000000"/>
              <w:right w:val="single" w:sz="4" w:space="0" w:color="000000"/>
            </w:tcBorders>
            <w:shd w:val="clear" w:color="auto" w:fill="auto"/>
          </w:tcPr>
          <w:p w14:paraId="7F88FE6A" w14:textId="77777777"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Страховые компании</w:t>
            </w:r>
          </w:p>
        </w:tc>
        <w:tc>
          <w:tcPr>
            <w:tcW w:w="1581" w:type="dxa"/>
            <w:tcBorders>
              <w:left w:val="single" w:sz="4" w:space="0" w:color="000000"/>
              <w:bottom w:val="single" w:sz="4" w:space="0" w:color="000000"/>
              <w:right w:val="single" w:sz="4" w:space="0" w:color="000000"/>
            </w:tcBorders>
          </w:tcPr>
          <w:p w14:paraId="4595147B" w14:textId="77777777"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Управление собственными и внешними активами</w:t>
            </w:r>
          </w:p>
        </w:tc>
        <w:tc>
          <w:tcPr>
            <w:tcW w:w="1659" w:type="dxa"/>
            <w:tcBorders>
              <w:left w:val="single" w:sz="4" w:space="0" w:color="000000"/>
              <w:bottom w:val="single" w:sz="4" w:space="0" w:color="000000"/>
              <w:right w:val="single" w:sz="4" w:space="0" w:color="000000"/>
            </w:tcBorders>
          </w:tcPr>
          <w:p w14:paraId="033F82C9" w14:textId="77777777"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Страховые компании, консультанты</w:t>
            </w:r>
          </w:p>
        </w:tc>
        <w:tc>
          <w:tcPr>
            <w:tcW w:w="2137" w:type="dxa"/>
            <w:tcBorders>
              <w:bottom w:val="single" w:sz="4" w:space="0" w:color="000000"/>
              <w:right w:val="single" w:sz="4" w:space="0" w:color="000000"/>
            </w:tcBorders>
            <w:shd w:val="clear" w:color="auto" w:fill="auto"/>
          </w:tcPr>
          <w:p w14:paraId="3689132A" w14:textId="77777777"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Страховые компании, владельцы страховых полисов</w:t>
            </w:r>
          </w:p>
        </w:tc>
      </w:tr>
      <w:tr w:rsidR="005840BB" w:rsidRPr="003B10E2" w14:paraId="1F9EBF42" w14:textId="77777777" w:rsidTr="005840BB">
        <w:trPr>
          <w:trHeight w:val="960"/>
        </w:trPr>
        <w:tc>
          <w:tcPr>
            <w:tcW w:w="1855" w:type="dxa"/>
            <w:tcBorders>
              <w:left w:val="single" w:sz="4" w:space="0" w:color="000000"/>
              <w:bottom w:val="single" w:sz="4" w:space="0" w:color="000000"/>
              <w:right w:val="single" w:sz="4" w:space="0" w:color="000000"/>
            </w:tcBorders>
            <w:shd w:val="clear" w:color="auto" w:fill="auto"/>
          </w:tcPr>
          <w:p w14:paraId="79E506DC" w14:textId="77777777" w:rsidR="005840BB" w:rsidRPr="003B10E2" w:rsidRDefault="005840BB" w:rsidP="005840BB">
            <w:pPr>
              <w:widowControl w:val="0"/>
              <w:spacing w:after="0" w:line="240" w:lineRule="auto"/>
              <w:rPr>
                <w:rFonts w:ascii="Times New Roman" w:hAnsi="Times New Roman"/>
                <w:color w:val="000000"/>
              </w:rPr>
            </w:pPr>
            <w:r w:rsidRPr="003B10E2">
              <w:rPr>
                <w:rFonts w:ascii="Times New Roman" w:hAnsi="Times New Roman"/>
                <w:color w:val="000000"/>
              </w:rPr>
              <w:t xml:space="preserve">Доверительное управление </w:t>
            </w:r>
          </w:p>
        </w:tc>
        <w:tc>
          <w:tcPr>
            <w:tcW w:w="2149" w:type="dxa"/>
            <w:tcBorders>
              <w:bottom w:val="single" w:sz="4" w:space="0" w:color="000000"/>
              <w:right w:val="single" w:sz="4" w:space="0" w:color="000000"/>
            </w:tcBorders>
            <w:shd w:val="clear" w:color="auto" w:fill="auto"/>
          </w:tcPr>
          <w:p w14:paraId="62450C6C" w14:textId="77777777"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Домашние хозяйства</w:t>
            </w:r>
          </w:p>
        </w:tc>
        <w:tc>
          <w:tcPr>
            <w:tcW w:w="1581" w:type="dxa"/>
            <w:tcBorders>
              <w:bottom w:val="single" w:sz="4" w:space="0" w:color="000000"/>
              <w:right w:val="single" w:sz="4" w:space="0" w:color="000000"/>
            </w:tcBorders>
            <w:shd w:val="clear" w:color="auto" w:fill="auto"/>
          </w:tcPr>
          <w:p w14:paraId="0DFA77A9" w14:textId="77777777"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Управление внешними активами</w:t>
            </w:r>
          </w:p>
        </w:tc>
        <w:tc>
          <w:tcPr>
            <w:tcW w:w="1659" w:type="dxa"/>
            <w:tcBorders>
              <w:bottom w:val="single" w:sz="4" w:space="0" w:color="000000"/>
              <w:right w:val="single" w:sz="4" w:space="0" w:color="000000"/>
            </w:tcBorders>
            <w:shd w:val="clear" w:color="auto" w:fill="auto"/>
          </w:tcPr>
          <w:p w14:paraId="5CCD3B80" w14:textId="77777777"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Доверенные лица, консультанты</w:t>
            </w:r>
          </w:p>
        </w:tc>
        <w:tc>
          <w:tcPr>
            <w:tcW w:w="2137" w:type="dxa"/>
            <w:tcBorders>
              <w:bottom w:val="single" w:sz="4" w:space="0" w:color="000000"/>
              <w:right w:val="single" w:sz="4" w:space="0" w:color="000000"/>
            </w:tcBorders>
            <w:shd w:val="clear" w:color="auto" w:fill="auto"/>
          </w:tcPr>
          <w:p w14:paraId="487084AD" w14:textId="77777777"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Домашние хозяйства</w:t>
            </w:r>
          </w:p>
        </w:tc>
      </w:tr>
      <w:tr w:rsidR="005840BB" w:rsidRPr="003B10E2" w14:paraId="4B640CDB" w14:textId="77777777" w:rsidTr="005840BB">
        <w:trPr>
          <w:trHeight w:val="1092"/>
        </w:trPr>
        <w:tc>
          <w:tcPr>
            <w:tcW w:w="1855" w:type="dxa"/>
            <w:tcBorders>
              <w:left w:val="single" w:sz="4" w:space="0" w:color="000000"/>
              <w:bottom w:val="single" w:sz="4" w:space="0" w:color="000000"/>
              <w:right w:val="single" w:sz="4" w:space="0" w:color="000000"/>
            </w:tcBorders>
            <w:shd w:val="clear" w:color="auto" w:fill="auto"/>
          </w:tcPr>
          <w:p w14:paraId="281C1BB9" w14:textId="77777777" w:rsidR="005840BB" w:rsidRPr="003B10E2" w:rsidRDefault="005840BB" w:rsidP="005840BB">
            <w:pPr>
              <w:widowControl w:val="0"/>
              <w:spacing w:after="0" w:line="240" w:lineRule="auto"/>
              <w:rPr>
                <w:rFonts w:ascii="Times New Roman" w:hAnsi="Times New Roman"/>
                <w:color w:val="000000"/>
              </w:rPr>
            </w:pPr>
            <w:r w:rsidRPr="003B10E2">
              <w:rPr>
                <w:rFonts w:ascii="Times New Roman" w:hAnsi="Times New Roman"/>
                <w:color w:val="000000"/>
              </w:rPr>
              <w:t>Кредитные союзы</w:t>
            </w:r>
          </w:p>
        </w:tc>
        <w:tc>
          <w:tcPr>
            <w:tcW w:w="2149" w:type="dxa"/>
            <w:tcBorders>
              <w:bottom w:val="single" w:sz="4" w:space="0" w:color="000000"/>
              <w:right w:val="single" w:sz="4" w:space="0" w:color="000000"/>
            </w:tcBorders>
            <w:shd w:val="clear" w:color="auto" w:fill="auto"/>
          </w:tcPr>
          <w:p w14:paraId="59604C64" w14:textId="77777777"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Домашние хозяйства</w:t>
            </w:r>
          </w:p>
        </w:tc>
        <w:tc>
          <w:tcPr>
            <w:tcW w:w="1581" w:type="dxa"/>
            <w:tcBorders>
              <w:bottom w:val="single" w:sz="4" w:space="0" w:color="000000"/>
              <w:right w:val="single" w:sz="4" w:space="0" w:color="000000"/>
            </w:tcBorders>
            <w:shd w:val="clear" w:color="auto" w:fill="auto"/>
          </w:tcPr>
          <w:p w14:paraId="5E5F7D68" w14:textId="77777777"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Управление собственными активами</w:t>
            </w:r>
          </w:p>
        </w:tc>
        <w:tc>
          <w:tcPr>
            <w:tcW w:w="1659" w:type="dxa"/>
            <w:tcBorders>
              <w:bottom w:val="single" w:sz="4" w:space="0" w:color="000000"/>
              <w:right w:val="single" w:sz="4" w:space="0" w:color="000000"/>
            </w:tcBorders>
            <w:shd w:val="clear" w:color="auto" w:fill="auto"/>
          </w:tcPr>
          <w:p w14:paraId="105AD9E6" w14:textId="77777777"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Домашние хозяйства, рейтинговые агентства</w:t>
            </w:r>
          </w:p>
        </w:tc>
        <w:tc>
          <w:tcPr>
            <w:tcW w:w="2137" w:type="dxa"/>
            <w:tcBorders>
              <w:bottom w:val="single" w:sz="4" w:space="0" w:color="000000"/>
              <w:right w:val="single" w:sz="4" w:space="0" w:color="000000"/>
            </w:tcBorders>
            <w:shd w:val="clear" w:color="auto" w:fill="auto"/>
          </w:tcPr>
          <w:p w14:paraId="0865FB3D" w14:textId="77777777"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Домашние хозяйства</w:t>
            </w:r>
          </w:p>
        </w:tc>
      </w:tr>
    </w:tbl>
    <w:p w14:paraId="584E0227" w14:textId="77777777" w:rsidR="005840BB" w:rsidRPr="003B10E2" w:rsidRDefault="005840BB" w:rsidP="005840BB">
      <w:pPr>
        <w:spacing w:after="0" w:line="360" w:lineRule="auto"/>
      </w:pPr>
      <w:r w:rsidRPr="003B10E2">
        <w:rPr>
          <w:rFonts w:ascii="Times New Roman" w:hAnsi="Times New Roman"/>
          <w:color w:val="000000"/>
          <w:sz w:val="24"/>
          <w:szCs w:val="24"/>
        </w:rPr>
        <w:t>Источник: составлено автором.</w:t>
      </w:r>
    </w:p>
    <w:p w14:paraId="43B56EC8" w14:textId="77777777" w:rsidR="005840BB" w:rsidRPr="003B10E2" w:rsidRDefault="005840BB" w:rsidP="005840BB">
      <w:pPr>
        <w:spacing w:after="0" w:line="360" w:lineRule="auto"/>
        <w:ind w:firstLine="851"/>
        <w:jc w:val="both"/>
        <w:rPr>
          <w:rFonts w:ascii="Times New Roman" w:hAnsi="Times New Roman"/>
          <w:color w:val="000000"/>
          <w:sz w:val="28"/>
          <w:szCs w:val="28"/>
        </w:rPr>
      </w:pPr>
    </w:p>
    <w:p w14:paraId="2267B59E" w14:textId="77777777" w:rsidR="005840BB" w:rsidRPr="003B10E2" w:rsidRDefault="005840BB" w:rsidP="005840BB">
      <w:pPr>
        <w:spacing w:after="0" w:line="360" w:lineRule="auto"/>
        <w:ind w:firstLine="851"/>
        <w:jc w:val="both"/>
        <w:rPr>
          <w:rFonts w:ascii="Times New Roman" w:hAnsi="Times New Roman"/>
          <w:color w:val="000000"/>
          <w:sz w:val="28"/>
          <w:szCs w:val="28"/>
        </w:rPr>
      </w:pPr>
    </w:p>
    <w:p w14:paraId="7FAF2265" w14:textId="77777777" w:rsidR="005840BB" w:rsidRPr="003B10E2" w:rsidRDefault="005840BB" w:rsidP="005840BB">
      <w:pPr>
        <w:spacing w:after="0" w:line="360" w:lineRule="auto"/>
        <w:ind w:firstLine="851"/>
        <w:jc w:val="both"/>
        <w:rPr>
          <w:rFonts w:ascii="Times New Roman" w:hAnsi="Times New Roman"/>
          <w:color w:val="000000"/>
          <w:sz w:val="28"/>
          <w:szCs w:val="28"/>
        </w:rPr>
      </w:pPr>
    </w:p>
    <w:p w14:paraId="7CC77F23" w14:textId="77777777" w:rsidR="005840BB" w:rsidRPr="003B10E2" w:rsidRDefault="005840BB" w:rsidP="005840BB">
      <w:pPr>
        <w:spacing w:after="0" w:line="360" w:lineRule="auto"/>
        <w:ind w:firstLine="851"/>
        <w:jc w:val="both"/>
        <w:rPr>
          <w:rFonts w:ascii="Times New Roman" w:hAnsi="Times New Roman"/>
          <w:color w:val="000000"/>
          <w:sz w:val="28"/>
          <w:szCs w:val="28"/>
        </w:rPr>
      </w:pPr>
    </w:p>
    <w:p w14:paraId="0C656B10" w14:textId="77777777" w:rsidR="005840BB" w:rsidRPr="003B10E2" w:rsidRDefault="005840BB" w:rsidP="005840BB">
      <w:pPr>
        <w:spacing w:after="0" w:line="360" w:lineRule="auto"/>
        <w:ind w:firstLine="851"/>
        <w:jc w:val="both"/>
        <w:rPr>
          <w:rFonts w:ascii="Times New Roman" w:hAnsi="Times New Roman"/>
          <w:color w:val="000000"/>
          <w:sz w:val="28"/>
          <w:szCs w:val="28"/>
        </w:rPr>
      </w:pPr>
    </w:p>
    <w:p w14:paraId="29C8F657" w14:textId="77777777" w:rsidR="005840BB" w:rsidRPr="003B10E2" w:rsidRDefault="005840BB" w:rsidP="005840BB">
      <w:pPr>
        <w:spacing w:after="0" w:line="360" w:lineRule="auto"/>
        <w:ind w:firstLine="851"/>
        <w:jc w:val="both"/>
        <w:rPr>
          <w:rFonts w:ascii="Times New Roman" w:hAnsi="Times New Roman"/>
          <w:color w:val="000000"/>
          <w:sz w:val="28"/>
          <w:szCs w:val="28"/>
        </w:rPr>
      </w:pPr>
    </w:p>
    <w:p w14:paraId="1D9F43EB" w14:textId="77777777" w:rsidR="005840BB" w:rsidRPr="003B10E2" w:rsidRDefault="005840BB" w:rsidP="005840BB">
      <w:pPr>
        <w:spacing w:after="0" w:line="360" w:lineRule="auto"/>
        <w:ind w:firstLine="851"/>
        <w:jc w:val="both"/>
        <w:rPr>
          <w:rFonts w:ascii="Times New Roman" w:hAnsi="Times New Roman"/>
          <w:color w:val="000000"/>
          <w:sz w:val="28"/>
          <w:szCs w:val="28"/>
        </w:rPr>
      </w:pPr>
    </w:p>
    <w:p w14:paraId="01FD5FD2" w14:textId="77777777" w:rsidR="005840BB" w:rsidRPr="003B10E2" w:rsidRDefault="005840BB" w:rsidP="005840BB">
      <w:pPr>
        <w:spacing w:after="0" w:line="360" w:lineRule="auto"/>
        <w:ind w:firstLine="851"/>
        <w:jc w:val="both"/>
        <w:rPr>
          <w:rFonts w:ascii="Times New Roman" w:hAnsi="Times New Roman"/>
          <w:color w:val="000000"/>
          <w:sz w:val="28"/>
          <w:szCs w:val="28"/>
        </w:rPr>
      </w:pPr>
    </w:p>
    <w:p w14:paraId="7051BFC5" w14:textId="77777777" w:rsidR="005840BB" w:rsidRPr="003B10E2" w:rsidRDefault="005840BB" w:rsidP="005840BB">
      <w:pPr>
        <w:spacing w:after="0" w:line="360" w:lineRule="auto"/>
        <w:ind w:firstLine="851"/>
        <w:jc w:val="right"/>
        <w:rPr>
          <w:rFonts w:ascii="Times New Roman" w:hAnsi="Times New Roman"/>
          <w:color w:val="000000"/>
          <w:sz w:val="28"/>
          <w:szCs w:val="28"/>
        </w:rPr>
      </w:pPr>
    </w:p>
    <w:p w14:paraId="0B36E986" w14:textId="77777777" w:rsidR="00F77F9F" w:rsidRPr="003B10E2" w:rsidRDefault="00F77F9F">
      <w:pPr>
        <w:suppressAutoHyphens w:val="0"/>
        <w:rPr>
          <w:rFonts w:ascii="Times New Roman" w:hAnsi="Times New Roman"/>
          <w:color w:val="000000"/>
          <w:sz w:val="28"/>
          <w:szCs w:val="28"/>
        </w:rPr>
      </w:pPr>
      <w:r w:rsidRPr="003B10E2">
        <w:rPr>
          <w:rFonts w:ascii="Times New Roman" w:hAnsi="Times New Roman"/>
          <w:color w:val="000000"/>
          <w:sz w:val="28"/>
          <w:szCs w:val="28"/>
        </w:rPr>
        <w:br w:type="page"/>
      </w:r>
    </w:p>
    <w:p w14:paraId="54A974F2" w14:textId="77777777" w:rsidR="00F77F9F" w:rsidRPr="00AA5F29" w:rsidRDefault="00F77F9F" w:rsidP="00F77F9F">
      <w:pPr>
        <w:spacing w:after="0" w:line="360" w:lineRule="auto"/>
        <w:jc w:val="center"/>
        <w:rPr>
          <w:rFonts w:ascii="Times New Roman" w:hAnsi="Times New Roman"/>
          <w:b/>
          <w:bCs/>
          <w:color w:val="000000"/>
          <w:sz w:val="28"/>
          <w:szCs w:val="28"/>
          <w:lang w:val="en-US"/>
        </w:rPr>
      </w:pPr>
      <w:r w:rsidRPr="003B10E2">
        <w:rPr>
          <w:rFonts w:ascii="Times New Roman" w:hAnsi="Times New Roman"/>
          <w:b/>
          <w:bCs/>
          <w:color w:val="000000"/>
          <w:sz w:val="28"/>
          <w:szCs w:val="28"/>
        </w:rPr>
        <w:t xml:space="preserve">Приложение </w:t>
      </w:r>
      <w:r w:rsidR="00AA5F29">
        <w:rPr>
          <w:rFonts w:ascii="Times New Roman" w:hAnsi="Times New Roman"/>
          <w:b/>
          <w:bCs/>
          <w:color w:val="000000"/>
          <w:sz w:val="28"/>
          <w:szCs w:val="28"/>
          <w:lang w:val="en-US"/>
        </w:rPr>
        <w:t>B</w:t>
      </w:r>
    </w:p>
    <w:p w14:paraId="03F85BC2" w14:textId="77777777" w:rsidR="00F77F9F" w:rsidRPr="003B10E2" w:rsidRDefault="00F276E9" w:rsidP="00F77F9F">
      <w:pPr>
        <w:spacing w:after="0" w:line="360" w:lineRule="auto"/>
        <w:jc w:val="center"/>
        <w:rPr>
          <w:rFonts w:ascii="Times New Roman" w:hAnsi="Times New Roman"/>
          <w:color w:val="000000"/>
          <w:sz w:val="28"/>
          <w:szCs w:val="28"/>
        </w:rPr>
      </w:pPr>
      <w:r w:rsidRPr="003B10E2">
        <w:rPr>
          <w:noProof/>
        </w:rPr>
      </w:r>
      <w:r w:rsidR="003D16B6" w:rsidRPr="003B10E2">
        <w:rPr>
          <w:noProof/>
        </w:rPr>
        <w:object w:dxaOrig="9370" w:dyaOrig="4368" w14:anchorId="38E9CB6A">
          <v:shape id="Объект75" o:spid="_x0000_i1105" type="#_x0000_t75" style="width:469.1pt;height:218.2pt;visibility:visible" o:ole="">
            <v:imagedata r:id="rId167" o:title=""/>
            <o:lock v:ext="edit" aspectratio="f"/>
          </v:shape>
          <o:OLEObject Type="Embed" ProgID="Excel.Sheet.8" ShapeID="Объект75" DrawAspect="Content" ObjectID="_1790070522" r:id="rId168">
            <o:FieldCodes>\s</o:FieldCodes>
          </o:OLEObject>
        </w:object>
      </w:r>
    </w:p>
    <w:p w14:paraId="69E4CDE8" w14:textId="77777777" w:rsidR="00F77F9F" w:rsidRPr="003B10E2" w:rsidRDefault="00F77F9F" w:rsidP="00F77F9F">
      <w:pPr>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Источник: Центральный банк Российской Федерации.</w:t>
      </w:r>
    </w:p>
    <w:p w14:paraId="09BC3279" w14:textId="77777777" w:rsidR="00F77F9F" w:rsidRPr="003B10E2" w:rsidRDefault="00F77F9F" w:rsidP="00F77F9F">
      <w:pPr>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Рисунок 1 – Ключевая ставка ЦБ РФ на конец года (2013 – 2021), %</w:t>
      </w:r>
    </w:p>
    <w:p w14:paraId="13E902BC" w14:textId="77777777" w:rsidR="00B05051" w:rsidRPr="003B10E2" w:rsidRDefault="00B05051" w:rsidP="00F77F9F">
      <w:pPr>
        <w:spacing w:after="0" w:line="240" w:lineRule="auto"/>
        <w:contextualSpacing/>
        <w:jc w:val="center"/>
        <w:rPr>
          <w:rFonts w:ascii="Times New Roman" w:hAnsi="Times New Roman"/>
          <w:color w:val="000000"/>
          <w:sz w:val="24"/>
          <w:szCs w:val="24"/>
        </w:rPr>
      </w:pPr>
    </w:p>
    <w:p w14:paraId="6D1A914E" w14:textId="77777777" w:rsidR="00B05051" w:rsidRPr="00AA5F29" w:rsidRDefault="00B05051" w:rsidP="00B05051">
      <w:pPr>
        <w:spacing w:after="0" w:line="360" w:lineRule="auto"/>
        <w:jc w:val="center"/>
        <w:rPr>
          <w:rFonts w:ascii="Times New Roman" w:hAnsi="Times New Roman"/>
          <w:b/>
          <w:bCs/>
          <w:color w:val="000000"/>
          <w:sz w:val="28"/>
          <w:szCs w:val="28"/>
        </w:rPr>
      </w:pPr>
      <w:r w:rsidRPr="003B10E2">
        <w:rPr>
          <w:rFonts w:ascii="Times New Roman" w:hAnsi="Times New Roman"/>
          <w:b/>
          <w:bCs/>
          <w:color w:val="000000"/>
          <w:sz w:val="28"/>
          <w:szCs w:val="28"/>
        </w:rPr>
        <w:t xml:space="preserve">Приложение </w:t>
      </w:r>
      <w:r w:rsidR="00AA5F29">
        <w:rPr>
          <w:rFonts w:ascii="Times New Roman" w:hAnsi="Times New Roman"/>
          <w:b/>
          <w:bCs/>
          <w:color w:val="000000"/>
          <w:sz w:val="28"/>
          <w:szCs w:val="28"/>
        </w:rPr>
        <w:t>Г</w:t>
      </w:r>
    </w:p>
    <w:p w14:paraId="2F454137" w14:textId="77777777" w:rsidR="00B05051" w:rsidRPr="003B10E2" w:rsidRDefault="00C72198" w:rsidP="00F77F9F">
      <w:pPr>
        <w:spacing w:after="0" w:line="240" w:lineRule="auto"/>
        <w:contextualSpacing/>
        <w:jc w:val="center"/>
        <w:rPr>
          <w:rFonts w:ascii="Times New Roman" w:hAnsi="Times New Roman"/>
          <w:color w:val="000000"/>
          <w:sz w:val="24"/>
          <w:szCs w:val="24"/>
        </w:rPr>
      </w:pPr>
      <w:r w:rsidRPr="003B10E2">
        <w:rPr>
          <w:noProof/>
        </w:rPr>
        <w:drawing>
          <wp:anchor distT="0" distB="0" distL="114300" distR="114300" simplePos="0" relativeHeight="251646464" behindDoc="0" locked="0" layoutInCell="1" allowOverlap="1" wp14:anchorId="7C2D8323" wp14:editId="790CC98D">
            <wp:simplePos x="0" y="0"/>
            <wp:positionH relativeFrom="column">
              <wp:posOffset>0</wp:posOffset>
            </wp:positionH>
            <wp:positionV relativeFrom="paragraph">
              <wp:posOffset>170815</wp:posOffset>
            </wp:positionV>
            <wp:extent cx="5819775" cy="2743200"/>
            <wp:effectExtent l="0" t="0" r="0" b="0"/>
            <wp:wrapSquare wrapText="bothSides"/>
            <wp:docPr id="1220647766" name="Изображение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Изображение2"/>
                    <pic:cNvPicPr>
                      <a:picLocks/>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121275" cy="2413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3B9C5" w14:textId="77777777" w:rsidR="00B05051" w:rsidRPr="003B10E2" w:rsidRDefault="00B05051" w:rsidP="00B05051">
      <w:pPr>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Источник: составлено автором.</w:t>
      </w:r>
    </w:p>
    <w:p w14:paraId="515A656D" w14:textId="77777777" w:rsidR="00B05051" w:rsidRPr="003B10E2" w:rsidRDefault="00B05051" w:rsidP="00B05051">
      <w:pPr>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Рисунок 1 – Функционирование открытого инвестиционного фонда</w:t>
      </w:r>
    </w:p>
    <w:p w14:paraId="13F1DC8B" w14:textId="77777777" w:rsidR="00A0308E" w:rsidRPr="003B10E2" w:rsidRDefault="00A0308E" w:rsidP="00B05051">
      <w:pPr>
        <w:spacing w:after="0" w:line="240" w:lineRule="auto"/>
        <w:contextualSpacing/>
        <w:jc w:val="center"/>
        <w:rPr>
          <w:rFonts w:ascii="Times New Roman" w:hAnsi="Times New Roman"/>
          <w:color w:val="000000"/>
          <w:sz w:val="24"/>
          <w:szCs w:val="24"/>
        </w:rPr>
      </w:pPr>
    </w:p>
    <w:p w14:paraId="40A68116" w14:textId="77777777" w:rsidR="00A0308E" w:rsidRPr="003B10E2" w:rsidRDefault="00A0308E" w:rsidP="00B05051">
      <w:pPr>
        <w:spacing w:after="0" w:line="240" w:lineRule="auto"/>
        <w:contextualSpacing/>
        <w:jc w:val="center"/>
        <w:rPr>
          <w:rFonts w:ascii="Times New Roman" w:hAnsi="Times New Roman"/>
          <w:color w:val="000000"/>
          <w:sz w:val="24"/>
          <w:szCs w:val="24"/>
        </w:rPr>
      </w:pPr>
    </w:p>
    <w:p w14:paraId="4EB2F27F" w14:textId="77777777" w:rsidR="00A0308E" w:rsidRPr="003B10E2" w:rsidRDefault="00A0308E" w:rsidP="00B05051">
      <w:pPr>
        <w:spacing w:after="0" w:line="240" w:lineRule="auto"/>
        <w:contextualSpacing/>
        <w:jc w:val="center"/>
        <w:rPr>
          <w:rFonts w:ascii="Times New Roman" w:hAnsi="Times New Roman"/>
          <w:color w:val="000000"/>
          <w:sz w:val="24"/>
          <w:szCs w:val="24"/>
        </w:rPr>
      </w:pPr>
    </w:p>
    <w:p w14:paraId="420DD33E" w14:textId="77777777" w:rsidR="00A0308E" w:rsidRPr="003B10E2" w:rsidRDefault="00A0308E" w:rsidP="00B05051">
      <w:pPr>
        <w:spacing w:after="0" w:line="240" w:lineRule="auto"/>
        <w:contextualSpacing/>
        <w:jc w:val="center"/>
        <w:rPr>
          <w:rFonts w:ascii="Times New Roman" w:hAnsi="Times New Roman"/>
          <w:color w:val="000000"/>
          <w:sz w:val="24"/>
          <w:szCs w:val="24"/>
        </w:rPr>
      </w:pPr>
    </w:p>
    <w:p w14:paraId="276DDAF3" w14:textId="77777777" w:rsidR="00A0308E" w:rsidRPr="003B10E2" w:rsidRDefault="00A0308E" w:rsidP="00B05051">
      <w:pPr>
        <w:spacing w:after="0" w:line="240" w:lineRule="auto"/>
        <w:contextualSpacing/>
        <w:jc w:val="center"/>
        <w:rPr>
          <w:rFonts w:ascii="Times New Roman" w:hAnsi="Times New Roman"/>
          <w:color w:val="000000"/>
          <w:sz w:val="24"/>
          <w:szCs w:val="24"/>
        </w:rPr>
      </w:pPr>
    </w:p>
    <w:p w14:paraId="3C75658F" w14:textId="77777777" w:rsidR="00A0308E" w:rsidRPr="003B10E2" w:rsidRDefault="00A0308E" w:rsidP="00B05051">
      <w:pPr>
        <w:spacing w:after="0" w:line="240" w:lineRule="auto"/>
        <w:contextualSpacing/>
        <w:jc w:val="center"/>
        <w:rPr>
          <w:rFonts w:ascii="Times New Roman" w:hAnsi="Times New Roman"/>
          <w:color w:val="000000"/>
          <w:sz w:val="24"/>
          <w:szCs w:val="24"/>
        </w:rPr>
      </w:pPr>
    </w:p>
    <w:p w14:paraId="7EC5EB26" w14:textId="77777777" w:rsidR="00A0308E" w:rsidRPr="003B10E2" w:rsidRDefault="00A0308E" w:rsidP="00A0308E">
      <w:pPr>
        <w:spacing w:after="0" w:line="360" w:lineRule="auto"/>
        <w:jc w:val="center"/>
        <w:rPr>
          <w:rFonts w:ascii="Times New Roman" w:hAnsi="Times New Roman"/>
          <w:b/>
          <w:bCs/>
          <w:color w:val="000000"/>
          <w:sz w:val="28"/>
          <w:szCs w:val="28"/>
        </w:rPr>
      </w:pPr>
      <w:r w:rsidRPr="003B10E2">
        <w:rPr>
          <w:rFonts w:ascii="Times New Roman" w:hAnsi="Times New Roman"/>
          <w:b/>
          <w:bCs/>
          <w:color w:val="000000"/>
          <w:sz w:val="28"/>
          <w:szCs w:val="28"/>
        </w:rPr>
        <w:t xml:space="preserve">Приложение </w:t>
      </w:r>
      <w:r w:rsidR="00AA5F29">
        <w:rPr>
          <w:rFonts w:ascii="Times New Roman" w:hAnsi="Times New Roman"/>
          <w:b/>
          <w:bCs/>
          <w:color w:val="000000"/>
          <w:sz w:val="28"/>
          <w:szCs w:val="28"/>
        </w:rPr>
        <w:t>Д</w:t>
      </w:r>
    </w:p>
    <w:p w14:paraId="09DB0698" w14:textId="77777777" w:rsidR="00A0308E" w:rsidRPr="003B10E2" w:rsidRDefault="00A0308E" w:rsidP="00A0308E">
      <w:pPr>
        <w:spacing w:after="0" w:line="360" w:lineRule="auto"/>
        <w:jc w:val="center"/>
        <w:rPr>
          <w:rFonts w:ascii="Times New Roman" w:hAnsi="Times New Roman"/>
          <w:b/>
          <w:bCs/>
          <w:sz w:val="28"/>
          <w:szCs w:val="28"/>
        </w:rPr>
      </w:pPr>
      <w:r w:rsidRPr="003B10E2">
        <w:rPr>
          <w:rFonts w:ascii="Times New Roman" w:hAnsi="Times New Roman"/>
          <w:b/>
          <w:bCs/>
          <w:sz w:val="28"/>
          <w:szCs w:val="28"/>
        </w:rPr>
        <w:t>Параметры акций в листинге Шанхайской Фондовой биржи на 13.06.2023</w:t>
      </w:r>
    </w:p>
    <w:p w14:paraId="3298BD60" w14:textId="77777777" w:rsidR="00A0308E" w:rsidRPr="003B10E2" w:rsidRDefault="00A0308E" w:rsidP="00A0308E">
      <w:pPr>
        <w:spacing w:after="0" w:line="360" w:lineRule="auto"/>
        <w:rPr>
          <w:bCs/>
          <w:sz w:val="24"/>
          <w:szCs w:val="24"/>
        </w:rPr>
      </w:pPr>
      <w:r w:rsidRPr="003B10E2">
        <w:rPr>
          <w:rFonts w:ascii="Times New Roman" w:hAnsi="Times New Roman"/>
          <w:bCs/>
          <w:sz w:val="24"/>
          <w:szCs w:val="24"/>
        </w:rPr>
        <w:t xml:space="preserve">Таблица </w:t>
      </w:r>
      <w:r w:rsidR="00AA5F29">
        <w:rPr>
          <w:rFonts w:ascii="Times New Roman" w:hAnsi="Times New Roman"/>
          <w:bCs/>
          <w:sz w:val="24"/>
          <w:szCs w:val="24"/>
        </w:rPr>
        <w:t>Д</w:t>
      </w:r>
      <w:r w:rsidRPr="003B10E2">
        <w:rPr>
          <w:rFonts w:ascii="Times New Roman" w:hAnsi="Times New Roman"/>
          <w:bCs/>
          <w:sz w:val="24"/>
          <w:szCs w:val="24"/>
        </w:rPr>
        <w:t>.1.</w:t>
      </w:r>
    </w:p>
    <w:tbl>
      <w:tblPr>
        <w:tblW w:w="8926" w:type="dxa"/>
        <w:tblLook w:val="04A0" w:firstRow="1" w:lastRow="0" w:firstColumn="1" w:lastColumn="0" w:noHBand="0" w:noVBand="1"/>
      </w:tblPr>
      <w:tblGrid>
        <w:gridCol w:w="4815"/>
        <w:gridCol w:w="1736"/>
        <w:gridCol w:w="957"/>
        <w:gridCol w:w="1418"/>
      </w:tblGrid>
      <w:tr w:rsidR="00A0308E" w:rsidRPr="003B10E2" w14:paraId="39CEFBF9" w14:textId="77777777" w:rsidTr="00A0308E">
        <w:trPr>
          <w:trHeight w:val="300"/>
        </w:trPr>
        <w:tc>
          <w:tcPr>
            <w:tcW w:w="4815"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14:paraId="28A5E2A5" w14:textId="77777777" w:rsidR="00A0308E" w:rsidRPr="003B10E2" w:rsidRDefault="00A0308E" w:rsidP="00A0308E">
            <w:pPr>
              <w:suppressAutoHyphens w:val="0"/>
              <w:spacing w:after="0" w:line="240" w:lineRule="auto"/>
              <w:rPr>
                <w:rFonts w:eastAsia="Times New Roman" w:cs="Calibri"/>
                <w:b/>
                <w:bCs/>
                <w:color w:val="000000"/>
              </w:rPr>
            </w:pPr>
            <w:r w:rsidRPr="003B10E2">
              <w:rPr>
                <w:rFonts w:eastAsia="Times New Roman" w:cs="Calibri"/>
                <w:b/>
                <w:bCs/>
                <w:color w:val="000000"/>
              </w:rPr>
              <w:t>Название акции</w:t>
            </w:r>
          </w:p>
        </w:tc>
        <w:tc>
          <w:tcPr>
            <w:tcW w:w="1736" w:type="dxa"/>
            <w:tcBorders>
              <w:top w:val="single" w:sz="4" w:space="0" w:color="000000"/>
              <w:left w:val="nil"/>
              <w:bottom w:val="single" w:sz="4" w:space="0" w:color="000000"/>
              <w:right w:val="single" w:sz="4" w:space="0" w:color="000000"/>
            </w:tcBorders>
            <w:shd w:val="clear" w:color="000000" w:fill="C0C0C0"/>
            <w:noWrap/>
            <w:vAlign w:val="bottom"/>
            <w:hideMark/>
          </w:tcPr>
          <w:p w14:paraId="7EF49473" w14:textId="77777777" w:rsidR="00A0308E" w:rsidRPr="003B10E2" w:rsidRDefault="00A0308E" w:rsidP="00A0308E">
            <w:pPr>
              <w:suppressAutoHyphens w:val="0"/>
              <w:spacing w:after="0" w:line="240" w:lineRule="auto"/>
              <w:rPr>
                <w:rFonts w:eastAsia="Times New Roman" w:cs="Calibri"/>
                <w:b/>
                <w:bCs/>
                <w:color w:val="000000"/>
              </w:rPr>
            </w:pPr>
            <w:r w:rsidRPr="003B10E2">
              <w:rPr>
                <w:rFonts w:eastAsia="Times New Roman" w:cs="Calibri"/>
                <w:b/>
                <w:bCs/>
                <w:color w:val="000000"/>
              </w:rPr>
              <w:t>Капитализация, млн</w:t>
            </w:r>
            <w:r w:rsidRPr="003B10E2">
              <w:rPr>
                <w:rFonts w:eastAsia="Times New Roman" w:cs="Calibri"/>
                <w:b/>
                <w:bCs/>
                <w:color w:val="000000"/>
                <w:lang w:val="en-US"/>
              </w:rPr>
              <w:t>.</w:t>
            </w:r>
            <w:r w:rsidRPr="003B10E2">
              <w:rPr>
                <w:rFonts w:eastAsia="Times New Roman" w:cs="Calibri"/>
                <w:b/>
                <w:bCs/>
                <w:color w:val="000000"/>
              </w:rPr>
              <w:t xml:space="preserve"> USD</w:t>
            </w:r>
          </w:p>
        </w:tc>
        <w:tc>
          <w:tcPr>
            <w:tcW w:w="957" w:type="dxa"/>
            <w:tcBorders>
              <w:top w:val="single" w:sz="4" w:space="0" w:color="000000"/>
              <w:left w:val="nil"/>
              <w:bottom w:val="single" w:sz="4" w:space="0" w:color="000000"/>
              <w:right w:val="single" w:sz="4" w:space="0" w:color="000000"/>
            </w:tcBorders>
            <w:shd w:val="clear" w:color="000000" w:fill="C0C0C0"/>
            <w:noWrap/>
            <w:vAlign w:val="bottom"/>
            <w:hideMark/>
          </w:tcPr>
          <w:p w14:paraId="07F00F0B" w14:textId="77777777" w:rsidR="00A0308E" w:rsidRPr="003B10E2" w:rsidRDefault="00A0308E" w:rsidP="00A0308E">
            <w:pPr>
              <w:suppressAutoHyphens w:val="0"/>
              <w:spacing w:after="0" w:line="240" w:lineRule="auto"/>
              <w:rPr>
                <w:rFonts w:eastAsia="Times New Roman" w:cs="Calibri"/>
                <w:b/>
                <w:bCs/>
                <w:color w:val="000000"/>
                <w:lang w:val="en-US"/>
              </w:rPr>
            </w:pPr>
            <w:r w:rsidRPr="003B10E2">
              <w:rPr>
                <w:rFonts w:eastAsia="Times New Roman" w:cs="Calibri"/>
                <w:b/>
                <w:bCs/>
                <w:color w:val="000000"/>
              </w:rPr>
              <w:t xml:space="preserve">Цена, </w:t>
            </w:r>
            <w:r w:rsidRPr="003B10E2">
              <w:rPr>
                <w:rFonts w:eastAsia="Times New Roman" w:cs="Calibri"/>
                <w:b/>
                <w:bCs/>
                <w:color w:val="000000"/>
                <w:lang w:val="en-US"/>
              </w:rPr>
              <w:t>CNY</w:t>
            </w:r>
          </w:p>
        </w:tc>
        <w:tc>
          <w:tcPr>
            <w:tcW w:w="1418" w:type="dxa"/>
            <w:tcBorders>
              <w:top w:val="single" w:sz="4" w:space="0" w:color="000000"/>
              <w:left w:val="nil"/>
              <w:bottom w:val="single" w:sz="4" w:space="0" w:color="000000"/>
              <w:right w:val="single" w:sz="4" w:space="0" w:color="000000"/>
            </w:tcBorders>
            <w:shd w:val="clear" w:color="000000" w:fill="C0C0C0"/>
            <w:noWrap/>
            <w:vAlign w:val="bottom"/>
            <w:hideMark/>
          </w:tcPr>
          <w:p w14:paraId="1F7DD7DD" w14:textId="77777777" w:rsidR="00A0308E" w:rsidRPr="003B10E2" w:rsidRDefault="00A0308E" w:rsidP="00A0308E">
            <w:pPr>
              <w:suppressAutoHyphens w:val="0"/>
              <w:spacing w:after="0" w:line="240" w:lineRule="auto"/>
              <w:rPr>
                <w:rFonts w:eastAsia="Times New Roman" w:cs="Calibri"/>
                <w:b/>
                <w:bCs/>
                <w:color w:val="000000"/>
                <w:lang w:val="en-US"/>
              </w:rPr>
            </w:pPr>
            <w:r w:rsidRPr="003B10E2">
              <w:rPr>
                <w:rFonts w:eastAsia="Times New Roman" w:cs="Calibri"/>
                <w:b/>
                <w:bCs/>
                <w:color w:val="000000"/>
              </w:rPr>
              <w:t>Оборот, млн</w:t>
            </w:r>
            <w:r w:rsidRPr="003B10E2">
              <w:rPr>
                <w:rFonts w:eastAsia="Times New Roman" w:cs="Calibri"/>
                <w:b/>
                <w:bCs/>
                <w:color w:val="000000"/>
                <w:lang w:val="en-US"/>
              </w:rPr>
              <w:t>.</w:t>
            </w:r>
            <w:r w:rsidRPr="003B10E2">
              <w:rPr>
                <w:rFonts w:eastAsia="Times New Roman" w:cs="Calibri"/>
                <w:b/>
                <w:bCs/>
                <w:color w:val="000000"/>
              </w:rPr>
              <w:t xml:space="preserve"> </w:t>
            </w:r>
            <w:r w:rsidRPr="003B10E2">
              <w:rPr>
                <w:rFonts w:eastAsia="Times New Roman" w:cs="Calibri"/>
                <w:b/>
                <w:bCs/>
                <w:color w:val="000000"/>
                <w:lang w:val="en-US"/>
              </w:rPr>
              <w:t>USD</w:t>
            </w:r>
          </w:p>
        </w:tc>
      </w:tr>
      <w:tr w:rsidR="00A0308E" w:rsidRPr="003B10E2" w14:paraId="306D678A"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4A54C42"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360 Security Technology,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646B60C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15 379.71</w:t>
            </w:r>
          </w:p>
        </w:tc>
        <w:tc>
          <w:tcPr>
            <w:tcW w:w="957" w:type="dxa"/>
            <w:tcBorders>
              <w:top w:val="nil"/>
              <w:left w:val="nil"/>
              <w:bottom w:val="single" w:sz="4" w:space="0" w:color="000000"/>
              <w:right w:val="single" w:sz="4" w:space="0" w:color="000000"/>
            </w:tcBorders>
            <w:shd w:val="clear" w:color="auto" w:fill="auto"/>
            <w:noWrap/>
            <w:vAlign w:val="bottom"/>
            <w:hideMark/>
          </w:tcPr>
          <w:p w14:paraId="066CCC9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15.38</w:t>
            </w:r>
          </w:p>
        </w:tc>
        <w:tc>
          <w:tcPr>
            <w:tcW w:w="1418" w:type="dxa"/>
            <w:tcBorders>
              <w:top w:val="nil"/>
              <w:left w:val="nil"/>
              <w:bottom w:val="single" w:sz="4" w:space="0" w:color="000000"/>
              <w:right w:val="single" w:sz="4" w:space="0" w:color="000000"/>
            </w:tcBorders>
            <w:shd w:val="clear" w:color="auto" w:fill="auto"/>
            <w:noWrap/>
            <w:vAlign w:val="bottom"/>
            <w:hideMark/>
          </w:tcPr>
          <w:p w14:paraId="16F0D6C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8 010.29</w:t>
            </w:r>
          </w:p>
        </w:tc>
      </w:tr>
      <w:tr w:rsidR="00A0308E" w:rsidRPr="003B10E2" w14:paraId="7A057DF4"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029F6A4"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3Peak Incorporated,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14E7E5C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2 738.61</w:t>
            </w:r>
          </w:p>
        </w:tc>
        <w:tc>
          <w:tcPr>
            <w:tcW w:w="957" w:type="dxa"/>
            <w:tcBorders>
              <w:top w:val="nil"/>
              <w:left w:val="nil"/>
              <w:bottom w:val="single" w:sz="4" w:space="0" w:color="000000"/>
              <w:right w:val="single" w:sz="4" w:space="0" w:color="000000"/>
            </w:tcBorders>
            <w:shd w:val="clear" w:color="auto" w:fill="auto"/>
            <w:noWrap/>
            <w:vAlign w:val="bottom"/>
            <w:hideMark/>
          </w:tcPr>
          <w:p w14:paraId="1F676C1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243.89</w:t>
            </w:r>
          </w:p>
        </w:tc>
        <w:tc>
          <w:tcPr>
            <w:tcW w:w="1418" w:type="dxa"/>
            <w:tcBorders>
              <w:top w:val="nil"/>
              <w:left w:val="nil"/>
              <w:bottom w:val="single" w:sz="4" w:space="0" w:color="000000"/>
              <w:right w:val="single" w:sz="4" w:space="0" w:color="000000"/>
            </w:tcBorders>
            <w:shd w:val="clear" w:color="auto" w:fill="auto"/>
            <w:noWrap/>
            <w:vAlign w:val="bottom"/>
            <w:hideMark/>
          </w:tcPr>
          <w:p w14:paraId="5DAABC4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444.76</w:t>
            </w:r>
          </w:p>
        </w:tc>
      </w:tr>
      <w:tr w:rsidR="00A0308E" w:rsidRPr="003B10E2" w14:paraId="1F786039"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FBDE02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A-Zenith Home Furnishings,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24CB17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186.80</w:t>
            </w:r>
          </w:p>
        </w:tc>
        <w:tc>
          <w:tcPr>
            <w:tcW w:w="957" w:type="dxa"/>
            <w:tcBorders>
              <w:top w:val="nil"/>
              <w:left w:val="nil"/>
              <w:bottom w:val="single" w:sz="4" w:space="0" w:color="000000"/>
              <w:right w:val="single" w:sz="4" w:space="0" w:color="000000"/>
            </w:tcBorders>
            <w:shd w:val="clear" w:color="auto" w:fill="auto"/>
            <w:noWrap/>
            <w:vAlign w:val="bottom"/>
            <w:hideMark/>
          </w:tcPr>
          <w:p w14:paraId="03424EF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5.08</w:t>
            </w:r>
          </w:p>
        </w:tc>
        <w:tc>
          <w:tcPr>
            <w:tcW w:w="1418" w:type="dxa"/>
            <w:tcBorders>
              <w:top w:val="nil"/>
              <w:left w:val="nil"/>
              <w:bottom w:val="single" w:sz="4" w:space="0" w:color="000000"/>
              <w:right w:val="single" w:sz="4" w:space="0" w:color="000000"/>
            </w:tcBorders>
            <w:shd w:val="clear" w:color="auto" w:fill="auto"/>
            <w:noWrap/>
            <w:vAlign w:val="bottom"/>
            <w:hideMark/>
          </w:tcPr>
          <w:p w14:paraId="21DC676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13.71</w:t>
            </w:r>
          </w:p>
        </w:tc>
      </w:tr>
      <w:tr w:rsidR="00A0308E" w:rsidRPr="003B10E2" w14:paraId="2E0E62BF"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81027D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AA Industrial Belting Shanghai,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ED5921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249.26</w:t>
            </w:r>
          </w:p>
        </w:tc>
        <w:tc>
          <w:tcPr>
            <w:tcW w:w="957" w:type="dxa"/>
            <w:tcBorders>
              <w:top w:val="nil"/>
              <w:left w:val="nil"/>
              <w:bottom w:val="single" w:sz="4" w:space="0" w:color="000000"/>
              <w:right w:val="single" w:sz="4" w:space="0" w:color="000000"/>
            </w:tcBorders>
            <w:shd w:val="clear" w:color="auto" w:fill="auto"/>
            <w:noWrap/>
            <w:vAlign w:val="bottom"/>
            <w:hideMark/>
          </w:tcPr>
          <w:p w14:paraId="72514EA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13.63</w:t>
            </w:r>
          </w:p>
        </w:tc>
        <w:tc>
          <w:tcPr>
            <w:tcW w:w="1418" w:type="dxa"/>
            <w:tcBorders>
              <w:top w:val="nil"/>
              <w:left w:val="nil"/>
              <w:bottom w:val="single" w:sz="4" w:space="0" w:color="000000"/>
              <w:right w:val="single" w:sz="4" w:space="0" w:color="000000"/>
            </w:tcBorders>
            <w:shd w:val="clear" w:color="auto" w:fill="auto"/>
            <w:noWrap/>
            <w:vAlign w:val="bottom"/>
            <w:hideMark/>
          </w:tcPr>
          <w:p w14:paraId="3443F4A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10.47</w:t>
            </w:r>
          </w:p>
        </w:tc>
      </w:tr>
      <w:tr w:rsidR="00A0308E" w:rsidRPr="003B10E2" w14:paraId="3E9CAFC0"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8EF015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ACM Research (Shanghai),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41268A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7 688.80</w:t>
            </w:r>
          </w:p>
        </w:tc>
        <w:tc>
          <w:tcPr>
            <w:tcW w:w="957" w:type="dxa"/>
            <w:tcBorders>
              <w:top w:val="nil"/>
              <w:left w:val="nil"/>
              <w:bottom w:val="single" w:sz="4" w:space="0" w:color="000000"/>
              <w:right w:val="single" w:sz="4" w:space="0" w:color="000000"/>
            </w:tcBorders>
            <w:shd w:val="clear" w:color="auto" w:fill="auto"/>
            <w:noWrap/>
            <w:vAlign w:val="bottom"/>
            <w:hideMark/>
          </w:tcPr>
          <w:p w14:paraId="51459B9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126.72</w:t>
            </w:r>
          </w:p>
        </w:tc>
        <w:tc>
          <w:tcPr>
            <w:tcW w:w="1418" w:type="dxa"/>
            <w:tcBorders>
              <w:top w:val="nil"/>
              <w:left w:val="nil"/>
              <w:bottom w:val="single" w:sz="4" w:space="0" w:color="000000"/>
              <w:right w:val="single" w:sz="4" w:space="0" w:color="000000"/>
            </w:tcBorders>
            <w:shd w:val="clear" w:color="auto" w:fill="auto"/>
            <w:noWrap/>
            <w:vAlign w:val="bottom"/>
            <w:hideMark/>
          </w:tcPr>
          <w:p w14:paraId="766FEB2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285.15</w:t>
            </w:r>
          </w:p>
        </w:tc>
      </w:tr>
      <w:tr w:rsidR="00A0308E" w:rsidRPr="003B10E2" w14:paraId="2EBFC6AB"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C0F335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Acter Technology Integration Group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E315B3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1685E35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61.15</w:t>
            </w:r>
          </w:p>
        </w:tc>
        <w:tc>
          <w:tcPr>
            <w:tcW w:w="1418" w:type="dxa"/>
            <w:tcBorders>
              <w:top w:val="nil"/>
              <w:left w:val="nil"/>
              <w:bottom w:val="single" w:sz="4" w:space="0" w:color="000000"/>
              <w:right w:val="single" w:sz="4" w:space="0" w:color="000000"/>
            </w:tcBorders>
            <w:shd w:val="clear" w:color="auto" w:fill="auto"/>
            <w:noWrap/>
            <w:vAlign w:val="bottom"/>
            <w:hideMark/>
          </w:tcPr>
          <w:p w14:paraId="296F529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84.26</w:t>
            </w:r>
          </w:p>
        </w:tc>
      </w:tr>
      <w:tr w:rsidR="00A0308E" w:rsidRPr="003B10E2" w14:paraId="0AE6AD2A"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E354BDE"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Actions Technology,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2DAC2A8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686.36</w:t>
            </w:r>
          </w:p>
        </w:tc>
        <w:tc>
          <w:tcPr>
            <w:tcW w:w="957" w:type="dxa"/>
            <w:tcBorders>
              <w:top w:val="nil"/>
              <w:left w:val="nil"/>
              <w:bottom w:val="single" w:sz="4" w:space="0" w:color="000000"/>
              <w:right w:val="single" w:sz="4" w:space="0" w:color="000000"/>
            </w:tcBorders>
            <w:shd w:val="clear" w:color="auto" w:fill="auto"/>
            <w:noWrap/>
            <w:vAlign w:val="bottom"/>
            <w:hideMark/>
          </w:tcPr>
          <w:p w14:paraId="40E8AE0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40.20</w:t>
            </w:r>
          </w:p>
        </w:tc>
        <w:tc>
          <w:tcPr>
            <w:tcW w:w="1418" w:type="dxa"/>
            <w:tcBorders>
              <w:top w:val="nil"/>
              <w:left w:val="nil"/>
              <w:bottom w:val="single" w:sz="4" w:space="0" w:color="000000"/>
              <w:right w:val="single" w:sz="4" w:space="0" w:color="000000"/>
            </w:tcBorders>
            <w:shd w:val="clear" w:color="auto" w:fill="auto"/>
            <w:noWrap/>
            <w:vAlign w:val="bottom"/>
            <w:hideMark/>
          </w:tcPr>
          <w:p w14:paraId="3968F75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94.66</w:t>
            </w:r>
          </w:p>
        </w:tc>
      </w:tr>
      <w:tr w:rsidR="00A0308E" w:rsidRPr="003B10E2" w14:paraId="0305A185"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E8DD9D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ADD Industry Zhejiang,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2EA955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268.41</w:t>
            </w:r>
          </w:p>
        </w:tc>
        <w:tc>
          <w:tcPr>
            <w:tcW w:w="957" w:type="dxa"/>
            <w:tcBorders>
              <w:top w:val="nil"/>
              <w:left w:val="nil"/>
              <w:bottom w:val="single" w:sz="4" w:space="0" w:color="000000"/>
              <w:right w:val="single" w:sz="4" w:space="0" w:color="000000"/>
            </w:tcBorders>
            <w:shd w:val="clear" w:color="auto" w:fill="auto"/>
            <w:noWrap/>
            <w:vAlign w:val="bottom"/>
            <w:hideMark/>
          </w:tcPr>
          <w:p w14:paraId="6C70506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8.62</w:t>
            </w:r>
          </w:p>
        </w:tc>
        <w:tc>
          <w:tcPr>
            <w:tcW w:w="1418" w:type="dxa"/>
            <w:tcBorders>
              <w:top w:val="nil"/>
              <w:left w:val="nil"/>
              <w:bottom w:val="single" w:sz="4" w:space="0" w:color="000000"/>
              <w:right w:val="single" w:sz="4" w:space="0" w:color="000000"/>
            </w:tcBorders>
            <w:shd w:val="clear" w:color="auto" w:fill="auto"/>
            <w:noWrap/>
            <w:vAlign w:val="bottom"/>
            <w:hideMark/>
          </w:tcPr>
          <w:p w14:paraId="2BCA17F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19.91</w:t>
            </w:r>
          </w:p>
        </w:tc>
      </w:tr>
      <w:tr w:rsidR="00A0308E" w:rsidRPr="003B10E2" w14:paraId="4C40A3E6"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A120F6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Advanced Micro Fabrication,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1E6DDE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13 667.68</w:t>
            </w:r>
          </w:p>
        </w:tc>
        <w:tc>
          <w:tcPr>
            <w:tcW w:w="957" w:type="dxa"/>
            <w:tcBorders>
              <w:top w:val="nil"/>
              <w:left w:val="nil"/>
              <w:bottom w:val="single" w:sz="4" w:space="0" w:color="000000"/>
              <w:right w:val="single" w:sz="4" w:space="0" w:color="000000"/>
            </w:tcBorders>
            <w:shd w:val="clear" w:color="auto" w:fill="auto"/>
            <w:noWrap/>
            <w:vAlign w:val="bottom"/>
            <w:hideMark/>
          </w:tcPr>
          <w:p w14:paraId="40DCE4A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158.48</w:t>
            </w:r>
          </w:p>
        </w:tc>
        <w:tc>
          <w:tcPr>
            <w:tcW w:w="1418" w:type="dxa"/>
            <w:tcBorders>
              <w:top w:val="nil"/>
              <w:left w:val="nil"/>
              <w:bottom w:val="single" w:sz="4" w:space="0" w:color="000000"/>
              <w:right w:val="single" w:sz="4" w:space="0" w:color="000000"/>
            </w:tcBorders>
            <w:shd w:val="clear" w:color="auto" w:fill="auto"/>
            <w:noWrap/>
            <w:vAlign w:val="bottom"/>
            <w:hideMark/>
          </w:tcPr>
          <w:p w14:paraId="753D505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1 983.05</w:t>
            </w:r>
          </w:p>
        </w:tc>
      </w:tr>
      <w:tr w:rsidR="00A0308E" w:rsidRPr="003B10E2" w14:paraId="66CF38F3" w14:textId="77777777" w:rsidTr="00A0308E">
        <w:trPr>
          <w:trHeight w:val="300"/>
        </w:trPr>
        <w:tc>
          <w:tcPr>
            <w:tcW w:w="4815" w:type="dxa"/>
            <w:tcBorders>
              <w:top w:val="nil"/>
              <w:left w:val="single" w:sz="4" w:space="0" w:color="000000"/>
              <w:bottom w:val="single" w:sz="4" w:space="0" w:color="auto"/>
              <w:right w:val="single" w:sz="4" w:space="0" w:color="000000"/>
            </w:tcBorders>
            <w:shd w:val="clear" w:color="auto" w:fill="auto"/>
            <w:noWrap/>
            <w:vAlign w:val="bottom"/>
            <w:hideMark/>
          </w:tcPr>
          <w:p w14:paraId="66DC9DA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AECC Aero Science and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auto"/>
              <w:right w:val="single" w:sz="4" w:space="0" w:color="000000"/>
            </w:tcBorders>
            <w:shd w:val="clear" w:color="auto" w:fill="auto"/>
            <w:noWrap/>
            <w:vAlign w:val="bottom"/>
            <w:hideMark/>
          </w:tcPr>
          <w:p w14:paraId="3899B7A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966.06</w:t>
            </w:r>
          </w:p>
        </w:tc>
        <w:tc>
          <w:tcPr>
            <w:tcW w:w="957" w:type="dxa"/>
            <w:tcBorders>
              <w:top w:val="nil"/>
              <w:left w:val="nil"/>
              <w:bottom w:val="single" w:sz="4" w:space="0" w:color="auto"/>
              <w:right w:val="single" w:sz="4" w:space="0" w:color="000000"/>
            </w:tcBorders>
            <w:shd w:val="clear" w:color="auto" w:fill="auto"/>
            <w:noWrap/>
            <w:vAlign w:val="bottom"/>
            <w:hideMark/>
          </w:tcPr>
          <w:p w14:paraId="7C26AE1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20.91</w:t>
            </w:r>
          </w:p>
        </w:tc>
        <w:tc>
          <w:tcPr>
            <w:tcW w:w="1418" w:type="dxa"/>
            <w:tcBorders>
              <w:top w:val="nil"/>
              <w:left w:val="nil"/>
              <w:bottom w:val="single" w:sz="4" w:space="0" w:color="auto"/>
              <w:right w:val="single" w:sz="4" w:space="0" w:color="000000"/>
            </w:tcBorders>
            <w:shd w:val="clear" w:color="auto" w:fill="auto"/>
            <w:noWrap/>
            <w:vAlign w:val="bottom"/>
            <w:hideMark/>
          </w:tcPr>
          <w:p w14:paraId="72F2C72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78.80</w:t>
            </w:r>
          </w:p>
        </w:tc>
      </w:tr>
      <w:tr w:rsidR="00A0308E" w:rsidRPr="003B10E2" w14:paraId="4C57946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8A003"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Aeolus Tyre,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AF75D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671.23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8C8B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A02B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318.22</w:t>
            </w:r>
          </w:p>
        </w:tc>
      </w:tr>
      <w:tr w:rsidR="00A0308E" w:rsidRPr="003B10E2" w14:paraId="4D33E80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41BE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Aerospace Nanhu Electronic Information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FAF3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15DD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25.28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AF0C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110.47</w:t>
            </w:r>
          </w:p>
        </w:tc>
      </w:tr>
      <w:tr w:rsidR="00A0308E" w:rsidRPr="003B10E2" w14:paraId="1D4335B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9E176"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Aerosun,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B4DA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879.65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EB4B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14.92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7C16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246.70</w:t>
            </w:r>
          </w:p>
        </w:tc>
      </w:tr>
      <w:tr w:rsidR="00A0308E" w:rsidRPr="003B10E2" w14:paraId="73DCBCB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0177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Agricultural Bank of China,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0878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163 967.01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9CC78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E317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1 272.01</w:t>
            </w:r>
          </w:p>
        </w:tc>
      </w:tr>
      <w:tr w:rsidR="00A0308E" w:rsidRPr="003B10E2" w14:paraId="0163FEE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140C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AIMA Technology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DF87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1 876.00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1CAA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32.66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8C90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365.76</w:t>
            </w:r>
          </w:p>
        </w:tc>
      </w:tr>
      <w:tr w:rsidR="00A0308E" w:rsidRPr="003B10E2" w14:paraId="73906C6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6F87F"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Air China,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E827C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11 669.31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A1A0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8.37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4CB8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341.57</w:t>
            </w:r>
          </w:p>
        </w:tc>
      </w:tr>
      <w:tr w:rsidR="00A0308E" w:rsidRPr="003B10E2" w14:paraId="1C8D266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BA987"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Aisino,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3482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3 827.38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2FAA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14.76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671E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327.67</w:t>
            </w:r>
          </w:p>
        </w:tc>
      </w:tr>
      <w:tr w:rsidR="00A0308E" w:rsidRPr="003B10E2" w14:paraId="5CFEC58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62131"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Allgens Medical,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4395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457.72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8928E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24.53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325D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23.82</w:t>
            </w:r>
          </w:p>
        </w:tc>
      </w:tr>
      <w:tr w:rsidR="00A0308E" w:rsidRPr="003B10E2" w14:paraId="215CEAC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EC9699"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Allied Machinery,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A3B2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871.60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C439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25.95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B1FB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11.59</w:t>
            </w:r>
          </w:p>
        </w:tc>
      </w:tr>
      <w:tr w:rsidR="00A0308E" w:rsidRPr="003B10E2" w14:paraId="4C4D533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8983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Aluminum Corporation of China Limited (Chalco),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40C0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10 121.79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D920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6EBB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447.25</w:t>
            </w:r>
          </w:p>
        </w:tc>
      </w:tr>
      <w:tr w:rsidR="00A0308E" w:rsidRPr="003B10E2" w14:paraId="4093C88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D9A3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Amethystum Storage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18C1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19.45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827F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0.73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2383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4.66</w:t>
            </w:r>
          </w:p>
        </w:tc>
      </w:tr>
      <w:tr w:rsidR="00A0308E" w:rsidRPr="003B10E2" w14:paraId="1964CFB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103D8"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Amlogic Shanghai,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7D214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5 397.41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36AC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93.81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4379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421.55</w:t>
            </w:r>
          </w:p>
        </w:tc>
      </w:tr>
      <w:tr w:rsidR="00A0308E" w:rsidRPr="003B10E2" w14:paraId="26E7BD0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1FDCB"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Angel Yeast,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22BD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4 296.31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7A6F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36.86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C90B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185.31</w:t>
            </w:r>
          </w:p>
        </w:tc>
      </w:tr>
      <w:tr w:rsidR="00A0308E" w:rsidRPr="003B10E2" w14:paraId="08616A3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B908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Andeli Department Store,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F3925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734.65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1AF2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46.87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A4B8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16.02</w:t>
            </w:r>
          </w:p>
        </w:tc>
      </w:tr>
      <w:tr w:rsidR="00A0308E" w:rsidRPr="003B10E2" w14:paraId="65BC82A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5965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Conch Cement,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4EB2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14 380.01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D504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25.69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E180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473.81</w:t>
            </w:r>
          </w:p>
        </w:tc>
      </w:tr>
      <w:tr w:rsidR="00A0308E" w:rsidRPr="003B10E2" w14:paraId="7619DA5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D572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Construction Engineering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4364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1 334.44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2F87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3C42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244.91</w:t>
            </w:r>
          </w:p>
        </w:tc>
      </w:tr>
      <w:tr w:rsidR="00A0308E" w:rsidRPr="003B10E2" w14:paraId="149CF2F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A66A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Estone Materials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17BF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751.55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DCEB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29.48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0BC8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22.87</w:t>
            </w:r>
          </w:p>
        </w:tc>
      </w:tr>
      <w:tr w:rsidR="00A0308E" w:rsidRPr="003B10E2" w14:paraId="5FD2165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1AD7E"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Anhui Expressway,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9AAB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1 776.42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7168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10.89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92AF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49.97</w:t>
            </w:r>
          </w:p>
        </w:tc>
      </w:tr>
      <w:tr w:rsidR="00A0308E" w:rsidRPr="003B10E2" w14:paraId="202C41A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0659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Genuine New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73FF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483.71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D608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C588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25.49</w:t>
            </w:r>
          </w:p>
        </w:tc>
      </w:tr>
      <w:tr w:rsidR="00A0308E" w:rsidRPr="003B10E2" w14:paraId="64CE100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06A8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Golden Seed Winery,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62BCD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2 326.29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3661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25.27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1307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182.27</w:t>
            </w:r>
          </w:p>
        </w:tc>
      </w:tr>
      <w:tr w:rsidR="00A0308E" w:rsidRPr="003B10E2" w14:paraId="06F773D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A274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Gourgen Traffic Construction,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27C6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606.32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FA730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C7D1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17.85</w:t>
            </w:r>
          </w:p>
        </w:tc>
      </w:tr>
      <w:tr w:rsidR="00A0308E" w:rsidRPr="003B10E2" w14:paraId="776785F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4819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Great Wall Military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D0A7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1 334.84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D7A4C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13.17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8C0C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113.90</w:t>
            </w:r>
          </w:p>
        </w:tc>
      </w:tr>
      <w:tr w:rsidR="00A0308E" w:rsidRPr="003B10E2" w14:paraId="7502C84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AB35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Guangxin Agrochemical,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DDD9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1 672.83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B391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25.73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AAAA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202.15</w:t>
            </w:r>
          </w:p>
        </w:tc>
      </w:tr>
      <w:tr w:rsidR="00A0308E" w:rsidRPr="003B10E2" w14:paraId="4325F3C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CB0BD1"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Anhui Heli,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90FC4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1 833.49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C430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17.70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5608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100.75</w:t>
            </w:r>
          </w:p>
        </w:tc>
      </w:tr>
      <w:tr w:rsidR="00A0308E" w:rsidRPr="003B10E2" w14:paraId="1CF9C1F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65BC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Hengyuan Coal Industry and Electricity 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CDC5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1 321.68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E65D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5368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136.37</w:t>
            </w:r>
          </w:p>
        </w:tc>
      </w:tr>
      <w:tr w:rsidR="00A0308E" w:rsidRPr="003B10E2" w14:paraId="5FCB106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21FC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Huaheng Biotechnology,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9FE5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1 656.00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FF42C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109.16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1605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108.49</w:t>
            </w:r>
          </w:p>
        </w:tc>
      </w:tr>
      <w:tr w:rsidR="00A0308E" w:rsidRPr="003B10E2" w14:paraId="55FBE92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1FF71"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Anhui Hwasu,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13D5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1 840.70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BCBC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56B8C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13.52</w:t>
            </w:r>
          </w:p>
        </w:tc>
      </w:tr>
      <w:tr w:rsidR="00A0308E" w:rsidRPr="003B10E2" w14:paraId="5E76459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2BAFC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Jianghuai Automobile,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2DA0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3 728.91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41B7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F3A2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790.44</w:t>
            </w:r>
          </w:p>
        </w:tc>
      </w:tr>
      <w:tr w:rsidR="00A0308E" w:rsidRPr="003B10E2" w14:paraId="0746CF7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90C9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Jiuhuashan Tourism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41EE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570.01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219B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1A29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207.36</w:t>
            </w:r>
          </w:p>
        </w:tc>
      </w:tr>
      <w:tr w:rsidR="00A0308E" w:rsidRPr="003B10E2" w14:paraId="695D25F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2284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Kouzi Distillery,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0050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4 571.27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DEA8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54.44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CC441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213.20</w:t>
            </w:r>
          </w:p>
        </w:tc>
      </w:tr>
      <w:tr w:rsidR="00A0308E" w:rsidRPr="003B10E2" w14:paraId="11E9942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860EA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Liuguo Chemical,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D170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378.85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932C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D977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15.02</w:t>
            </w:r>
          </w:p>
        </w:tc>
      </w:tr>
      <w:tr w:rsidR="00A0308E" w:rsidRPr="003B10E2" w14:paraId="7100BF2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4FB2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Province Natural Gas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2D07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395.93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551C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E4D1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18.12</w:t>
            </w:r>
          </w:p>
        </w:tc>
      </w:tr>
      <w:tr w:rsidR="00A0308E" w:rsidRPr="003B10E2" w14:paraId="5852D86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30E4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Quanchai Engine,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8314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518.78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76F6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8.51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A5B0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28.99</w:t>
            </w:r>
          </w:p>
        </w:tc>
      </w:tr>
      <w:tr w:rsidR="00A0308E" w:rsidRPr="003B10E2" w14:paraId="22EEC7B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4145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Ronds Science &amp;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C7D2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940.52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9583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122.49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93DA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96.65</w:t>
            </w:r>
          </w:p>
        </w:tc>
      </w:tr>
      <w:tr w:rsidR="00A0308E" w:rsidRPr="003B10E2" w14:paraId="6945C28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0C37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Sun Create 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6D1F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683.45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0E91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30.68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BB9D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36.44</w:t>
            </w:r>
          </w:p>
        </w:tc>
      </w:tr>
      <w:tr w:rsidR="00A0308E" w:rsidRPr="003B10E2" w14:paraId="37C953C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38E5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Tongfeng 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B8009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588.42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B4CB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B9DFB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162.23</w:t>
            </w:r>
          </w:p>
        </w:tc>
      </w:tr>
      <w:tr w:rsidR="00A0308E" w:rsidRPr="003B10E2" w14:paraId="6BD56D4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F549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Transport Consulting and Design Institute,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C8B7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833.32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ECB3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7C4C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348.43</w:t>
            </w:r>
          </w:p>
        </w:tc>
      </w:tr>
      <w:tr w:rsidR="00A0308E" w:rsidRPr="003B10E2" w14:paraId="4497DA8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ED65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Wanwei Updated High-Tech Material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2EBB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1 371.88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A2A1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DA74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36.31</w:t>
            </w:r>
          </w:p>
        </w:tc>
      </w:tr>
      <w:tr w:rsidR="00A0308E" w:rsidRPr="003B10E2" w14:paraId="038FFEF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6AD8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Wanyi Science and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B068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424.34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5582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22.74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2DEF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42.96</w:t>
            </w:r>
          </w:p>
        </w:tc>
      </w:tr>
      <w:tr w:rsidR="00A0308E" w:rsidRPr="003B10E2" w14:paraId="3D973A2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46EB1"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Anhui Xinhua Media,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761E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2 984.29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3C07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10.72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BAB3F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602.73</w:t>
            </w:r>
          </w:p>
        </w:tc>
      </w:tr>
      <w:tr w:rsidR="00A0308E" w:rsidRPr="003B10E2" w14:paraId="0599A93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9E330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Xinke New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82CA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521.31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58A1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F472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15.70</w:t>
            </w:r>
          </w:p>
        </w:tc>
      </w:tr>
      <w:tr w:rsidR="00A0308E" w:rsidRPr="003B10E2" w14:paraId="0792D00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D7B18"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Anhui Xinli Finance,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6838F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453.49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D145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266E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41.86</w:t>
            </w:r>
          </w:p>
        </w:tc>
      </w:tr>
      <w:tr w:rsidR="00A0308E" w:rsidRPr="003B10E2" w14:paraId="0E28636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444E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Yingjia Distillery,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4EAC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6 664.89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0096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59.53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6B27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248.50</w:t>
            </w:r>
          </w:p>
        </w:tc>
      </w:tr>
      <w:tr w:rsidR="00A0308E" w:rsidRPr="003B10E2" w14:paraId="1D75A87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9614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Yingliu Electromechanical,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5768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1 553.58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0C01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5B17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99.90</w:t>
            </w:r>
          </w:p>
        </w:tc>
      </w:tr>
      <w:tr w:rsidR="00A0308E" w:rsidRPr="003B10E2" w14:paraId="1123DE1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C208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Yuanchen Environmental,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9230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349.76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195A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15.62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7779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127.26</w:t>
            </w:r>
          </w:p>
        </w:tc>
      </w:tr>
      <w:tr w:rsidR="00A0308E" w:rsidRPr="003B10E2" w14:paraId="2266701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0B99C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Zhongyuan New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7527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431.99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2892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12.66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4575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63.25</w:t>
            </w:r>
          </w:p>
        </w:tc>
      </w:tr>
      <w:tr w:rsidR="00A0308E" w:rsidRPr="003B10E2" w14:paraId="3A44C62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77FB1"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Anji Foodstuff,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A98D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307.10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7683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9.33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70C6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20.59</w:t>
            </w:r>
          </w:p>
        </w:tc>
      </w:tr>
      <w:tr w:rsidR="00A0308E" w:rsidRPr="003B10E2" w14:paraId="02CA9C3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3B3F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Anji Microelectronics 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C021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1 742.86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913D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234.00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AA64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220.06</w:t>
            </w:r>
          </w:p>
        </w:tc>
      </w:tr>
      <w:tr w:rsidR="00A0308E" w:rsidRPr="003B10E2" w14:paraId="445D09F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86F7B"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Antong Holdings,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998A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1 740.71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3114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A578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25.62</w:t>
            </w:r>
          </w:p>
        </w:tc>
      </w:tr>
      <w:tr w:rsidR="00A0308E" w:rsidRPr="003B10E2" w14:paraId="1616E6C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36753"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Anxin Trust,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AFAFE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2 893.20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BCEB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70DB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42.99</w:t>
            </w:r>
          </w:p>
        </w:tc>
      </w:tr>
      <w:tr w:rsidR="00A0308E" w:rsidRPr="003B10E2" w14:paraId="6CE2DDE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00EF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Anyang Iron &amp; Steel,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B468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803.98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D0A8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A797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24.59</w:t>
            </w:r>
          </w:p>
        </w:tc>
      </w:tr>
      <w:tr w:rsidR="00A0308E" w:rsidRPr="003B10E2" w14:paraId="0CE7359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8345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Anyuan Coal Industry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DFCB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392.08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61C3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5CC3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14.04</w:t>
            </w:r>
          </w:p>
        </w:tc>
      </w:tr>
      <w:tr w:rsidR="00A0308E" w:rsidRPr="003B10E2" w14:paraId="4DC160D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FA7C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Anzheng Fashion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3CFB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423.31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54EB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9A02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16.46</w:t>
            </w:r>
          </w:p>
        </w:tc>
      </w:tr>
      <w:tr w:rsidR="00A0308E" w:rsidRPr="003B10E2" w14:paraId="6432342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DEBA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Aofu Environmental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7538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276.88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8CD37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25.60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9392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19.65</w:t>
            </w:r>
          </w:p>
        </w:tc>
      </w:tr>
      <w:tr w:rsidR="00A0308E" w:rsidRPr="003B10E2" w14:paraId="77DB45D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6D84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Apple Flavor &amp; Fragrance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463D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492.89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977B7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737F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9.60</w:t>
            </w:r>
          </w:p>
        </w:tc>
      </w:tr>
      <w:tr w:rsidR="00A0308E" w:rsidRPr="003B10E2" w14:paraId="25AC798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22E28"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Appotronics,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1761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1 301.47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C4E1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20.54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C740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40.18</w:t>
            </w:r>
          </w:p>
        </w:tc>
      </w:tr>
      <w:tr w:rsidR="00A0308E" w:rsidRPr="003B10E2" w14:paraId="6E431FF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E037B"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APT Medical,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879A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3 340.64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09C3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358.04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5D6E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91.76</w:t>
            </w:r>
          </w:p>
        </w:tc>
      </w:tr>
      <w:tr w:rsidR="00A0308E" w:rsidRPr="003B10E2" w14:paraId="6CB32F2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2ED0E1"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Arcplus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0026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728.87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9323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91B9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533.67</w:t>
            </w:r>
          </w:p>
        </w:tc>
      </w:tr>
      <w:tr w:rsidR="00A0308E" w:rsidRPr="003B10E2" w14:paraId="3437E60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44B07"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ArcSoft,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F0D8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2 654.58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7DB6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46.72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8B79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503.88</w:t>
            </w:r>
          </w:p>
        </w:tc>
      </w:tr>
      <w:tr w:rsidR="00A0308E" w:rsidRPr="003B10E2" w14:paraId="6318835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0BA5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Arctech Solar 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A6C7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1 356.30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09DB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71.41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EAEE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278.28</w:t>
            </w:r>
          </w:p>
        </w:tc>
      </w:tr>
      <w:tr w:rsidR="00A0308E" w:rsidRPr="003B10E2" w14:paraId="04991C4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3C65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Argus Shanghai Textile Chemicals,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8D161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384.30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4DDA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14.35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70D6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50.10</w:t>
            </w:r>
          </w:p>
        </w:tc>
      </w:tr>
      <w:tr w:rsidR="00A0308E" w:rsidRPr="003B10E2" w14:paraId="143DA86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DF9C8E"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ARTS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59A4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420.57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B589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10.79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2D8A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26.04</w:t>
            </w:r>
          </w:p>
        </w:tc>
      </w:tr>
      <w:tr w:rsidR="00A0308E" w:rsidRPr="003B10E2" w14:paraId="597350D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1C4F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Asia Cuanon Technology Shanghai,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9F14B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393.08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BC06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FE65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49.10</w:t>
            </w:r>
          </w:p>
        </w:tc>
      </w:tr>
      <w:tr w:rsidR="00A0308E" w:rsidRPr="003B10E2" w14:paraId="5C3DF7E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0664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Asiainfo Security Technologies,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F768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1 326.18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3B5C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23.69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1296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24.65</w:t>
            </w:r>
          </w:p>
        </w:tc>
      </w:tr>
      <w:tr w:rsidR="00A0308E" w:rsidRPr="003B10E2" w14:paraId="1625C4F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D696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Asian Star Anchor Chain,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A1B5F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1 378.92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E8FE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10.27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72B20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193.53</w:t>
            </w:r>
          </w:p>
        </w:tc>
      </w:tr>
      <w:tr w:rsidR="00A0308E" w:rsidRPr="003B10E2" w14:paraId="58D1D88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0FCB6"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ASR Microelectronics,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B9D9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4 943.74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8C08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E063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300.18</w:t>
            </w:r>
          </w:p>
        </w:tc>
      </w:tr>
      <w:tr w:rsidR="00A0308E" w:rsidRPr="003B10E2" w14:paraId="51E0629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C9DD2"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Assure Tech,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F2E8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571.75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97F9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66.61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159D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15.17</w:t>
            </w:r>
          </w:p>
        </w:tc>
      </w:tr>
      <w:tr w:rsidR="00A0308E" w:rsidRPr="003B10E2" w14:paraId="7905D27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336B1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Atlantic China Welding Consumables,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00D3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482.37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8229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2ECD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60.14</w:t>
            </w:r>
          </w:p>
        </w:tc>
      </w:tr>
      <w:tr w:rsidR="00A0308E" w:rsidRPr="003B10E2" w14:paraId="2105C9D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682CEB"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AUCMA,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01FC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625.53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0824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33F0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35.19</w:t>
            </w:r>
          </w:p>
        </w:tc>
      </w:tr>
      <w:tr w:rsidR="00A0308E" w:rsidRPr="003B10E2" w14:paraId="12E3581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CC57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Aupu Home Style Corporation,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1802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646.44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E9BC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11.41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C11C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23.71</w:t>
            </w:r>
          </w:p>
        </w:tc>
      </w:tr>
      <w:tr w:rsidR="00A0308E" w:rsidRPr="003B10E2" w14:paraId="3C9EACF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623F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Aurisco Pharmaceutical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8DD55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1 382.22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EC0C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24.63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75648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14.16</w:t>
            </w:r>
          </w:p>
        </w:tc>
      </w:tr>
      <w:tr w:rsidR="00A0308E" w:rsidRPr="003B10E2" w14:paraId="0FC0983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5F6238"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Aurora Optoelectronics,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7BEE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434.56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4A05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797A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17.93</w:t>
            </w:r>
          </w:p>
        </w:tc>
      </w:tr>
      <w:tr w:rsidR="00A0308E" w:rsidRPr="003B10E2" w14:paraId="1CADE01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B32B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Autel Intelligent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5890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2 017.60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760C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31.97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8C72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291.73</w:t>
            </w:r>
          </w:p>
        </w:tc>
      </w:tr>
      <w:tr w:rsidR="00A0308E" w:rsidRPr="003B10E2" w14:paraId="1F6DE84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7B9F69"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Autobio Diagnostics,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F680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4 380.53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7533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53.39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09AC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72.37</w:t>
            </w:r>
          </w:p>
        </w:tc>
      </w:tr>
      <w:tr w:rsidR="00A0308E" w:rsidRPr="003B10E2" w14:paraId="6E85048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74E9E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AVE Science &amp;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DEAE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206.13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A862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21.66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949E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10.42</w:t>
            </w:r>
          </w:p>
        </w:tc>
      </w:tr>
      <w:tr w:rsidR="00A0308E" w:rsidRPr="003B10E2" w14:paraId="5B7DAAA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C62C7"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AVIC (Chengdu) UAS,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61FC4"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D9A3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49.43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2FD5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189.80</w:t>
            </w:r>
          </w:p>
        </w:tc>
      </w:tr>
      <w:tr w:rsidR="00A0308E" w:rsidRPr="003B10E2" w14:paraId="2AD6E7A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89D6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AVIC Aviation 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BAFB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14 727.82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FFE8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39.48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46A1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295.22</w:t>
            </w:r>
          </w:p>
        </w:tc>
      </w:tr>
      <w:tr w:rsidR="00A0308E" w:rsidRPr="003B10E2" w14:paraId="45726D7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8279DE"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AVIC Capital,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9FEF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4 831.05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6D78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6CCF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232.67</w:t>
            </w:r>
          </w:p>
        </w:tc>
      </w:tr>
      <w:tr w:rsidR="00A0308E" w:rsidRPr="003B10E2" w14:paraId="105C694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EFFA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Avic Heavy Machinery,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22F5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3 536.61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DFD52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24.03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044C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142.98</w:t>
            </w:r>
          </w:p>
        </w:tc>
      </w:tr>
      <w:tr w:rsidR="00A0308E" w:rsidRPr="003B10E2" w14:paraId="735ABA5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0A05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AVIC Hi-Tech (Nantong),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53FC9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4 497.61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F69D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23.07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CC76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176.25</w:t>
            </w:r>
          </w:p>
        </w:tc>
      </w:tr>
      <w:tr w:rsidR="00A0308E" w:rsidRPr="003B10E2" w14:paraId="53BF93E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AB7F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AVIC Shenyang Aircraft,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FCF4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15 208.59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097B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55.43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8F9B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250.48</w:t>
            </w:r>
          </w:p>
        </w:tc>
      </w:tr>
      <w:tr w:rsidR="00A0308E" w:rsidRPr="003B10E2" w14:paraId="5191E7C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8E86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Bafang Electric Suzhou,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8335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1 303.81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7A4D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77.44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BCA6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37.54</w:t>
            </w:r>
          </w:p>
        </w:tc>
      </w:tr>
      <w:tr w:rsidR="00A0308E" w:rsidRPr="003B10E2" w14:paraId="5E3AEDE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4B26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BAIC BluePark New Energy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BEFD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3 306.01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D7C6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9443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190.18</w:t>
            </w:r>
          </w:p>
        </w:tc>
      </w:tr>
      <w:tr w:rsidR="00A0308E" w:rsidRPr="003B10E2" w14:paraId="4FF5C8D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5EE1F"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Baida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CD30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486.00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7D2F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9.23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4FC0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11.11</w:t>
            </w:r>
          </w:p>
        </w:tc>
      </w:tr>
      <w:tr w:rsidR="00A0308E" w:rsidRPr="003B10E2" w14:paraId="212C6BC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7160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Baiyin Nonferrous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50BA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2 860.15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C918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6F68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35.97</w:t>
            </w:r>
          </w:p>
        </w:tc>
      </w:tr>
      <w:tr w:rsidR="00A0308E" w:rsidRPr="003B10E2" w14:paraId="5189741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F060F"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BanBao,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84EB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1 208.37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046C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71B2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51.44</w:t>
            </w:r>
          </w:p>
        </w:tc>
      </w:tr>
      <w:tr w:rsidR="00A0308E" w:rsidRPr="003B10E2" w14:paraId="610CE7F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891A5"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Bangyan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82C41"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66DC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25.09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DBBD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27.73</w:t>
            </w:r>
          </w:p>
        </w:tc>
      </w:tr>
      <w:tr w:rsidR="00A0308E" w:rsidRPr="003B10E2" w14:paraId="042E4DC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B26E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Bank of Beijing,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F31C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14 321.19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6317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420E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174.48</w:t>
            </w:r>
          </w:p>
        </w:tc>
      </w:tr>
      <w:tr w:rsidR="00A0308E" w:rsidRPr="003B10E2" w14:paraId="339939B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699BC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Bank of Changsha,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8B44F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4 682.57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19FC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8.32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BC872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44.37</w:t>
            </w:r>
          </w:p>
        </w:tc>
      </w:tr>
      <w:tr w:rsidR="00A0308E" w:rsidRPr="003B10E2" w14:paraId="06FF83C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48A9F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Bank of Chengdu,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ADBD0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6 485.93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8996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12.83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617CD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120.06</w:t>
            </w:r>
          </w:p>
        </w:tc>
      </w:tr>
      <w:tr w:rsidR="00A0308E" w:rsidRPr="003B10E2" w14:paraId="54E193E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F0ED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Bank of China,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8DB4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119 754.81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21A4E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F6DB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584.67</w:t>
            </w:r>
          </w:p>
        </w:tc>
      </w:tr>
      <w:tr w:rsidR="00A0308E" w:rsidRPr="003B10E2" w14:paraId="323F325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3A6C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Bank of Chongqing,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24AC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2 238.88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AB0F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32FDC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43.81</w:t>
            </w:r>
          </w:p>
        </w:tc>
      </w:tr>
      <w:tr w:rsidR="00A0308E" w:rsidRPr="003B10E2" w14:paraId="2BFD4F3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ABBB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Bank of Communications,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7F8D2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32 574.01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7FEA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D1C19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384.47</w:t>
            </w:r>
          </w:p>
        </w:tc>
      </w:tr>
      <w:tr w:rsidR="00A0308E" w:rsidRPr="003B10E2" w14:paraId="7CE00A9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3FC9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Bank of Guiyang,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F0FD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2 747.71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082A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113C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81.65</w:t>
            </w:r>
          </w:p>
        </w:tc>
      </w:tr>
      <w:tr w:rsidR="00A0308E" w:rsidRPr="003B10E2" w14:paraId="409CF3F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3FCA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Bank of Hangzhou,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087C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10 183.22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5D9D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12.27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2492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86.60</w:t>
            </w:r>
          </w:p>
        </w:tc>
      </w:tr>
      <w:tr w:rsidR="00A0308E" w:rsidRPr="003B10E2" w14:paraId="6B25709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76D2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Bank of Jiangsu,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3034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15 605.72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2792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F121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321.95</w:t>
            </w:r>
          </w:p>
        </w:tc>
      </w:tr>
      <w:tr w:rsidR="00A0308E" w:rsidRPr="003B10E2" w14:paraId="299A349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D3D3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Bank of Nanjing,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1C08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12 100.10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4675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E56F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100.34</w:t>
            </w:r>
          </w:p>
        </w:tc>
      </w:tr>
      <w:tr w:rsidR="00A0308E" w:rsidRPr="003B10E2" w14:paraId="31E7F29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F706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Bank of Ruifeng,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8BF9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1 077.28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AF45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4BE04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48.05</w:t>
            </w:r>
          </w:p>
        </w:tc>
      </w:tr>
      <w:tr w:rsidR="00A0308E" w:rsidRPr="003B10E2" w14:paraId="4DBC49C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33D5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Bank Of Shanghai,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3FC7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12 386.45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8D88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7FD4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114.34</w:t>
            </w:r>
          </w:p>
        </w:tc>
      </w:tr>
      <w:tr w:rsidR="00A0308E" w:rsidRPr="003B10E2" w14:paraId="3277520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77850"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Bank of Xi'an,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F7C2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2 344.91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B2EB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B61E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91.11</w:t>
            </w:r>
          </w:p>
        </w:tc>
      </w:tr>
      <w:tr w:rsidR="00A0308E" w:rsidRPr="003B10E2" w14:paraId="5E4C4DF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1B29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Baoding Tianwei Baobian Electric,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D874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1 306.63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C682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F41EC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68.97</w:t>
            </w:r>
          </w:p>
        </w:tc>
      </w:tr>
      <w:tr w:rsidR="00A0308E" w:rsidRPr="003B10E2" w14:paraId="278A993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8E37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BaoJi Titanium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C008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2 183.78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E591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32.66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CE42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147.02</w:t>
            </w:r>
          </w:p>
        </w:tc>
      </w:tr>
      <w:tr w:rsidR="00A0308E" w:rsidRPr="003B10E2" w14:paraId="50A8703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4D16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Baoshan Iron &amp; Steel,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186D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18 137.59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F226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778EA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344.29</w:t>
            </w:r>
          </w:p>
        </w:tc>
      </w:tr>
      <w:tr w:rsidR="00A0308E" w:rsidRPr="003B10E2" w14:paraId="0D272F3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5B5C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Baosheng Science and Technology Innovation,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AD42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928.89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8CB1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4B1D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51.14</w:t>
            </w:r>
          </w:p>
        </w:tc>
      </w:tr>
      <w:tr w:rsidR="00A0308E" w:rsidRPr="003B10E2" w14:paraId="489017A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B2DF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Baotailong New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F468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957.09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1952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44A3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25.59</w:t>
            </w:r>
          </w:p>
        </w:tc>
      </w:tr>
      <w:tr w:rsidR="00A0308E" w:rsidRPr="003B10E2" w14:paraId="73D4792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7CB7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Baotou Huazi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65D3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404.48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3DD6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1960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12.90</w:t>
            </w:r>
          </w:p>
        </w:tc>
      </w:tr>
      <w:tr w:rsidR="00A0308E" w:rsidRPr="003B10E2" w14:paraId="31A9885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9CB3A"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BBMG Corporation,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36511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2 625.82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234E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444F7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26.70</w:t>
            </w:r>
          </w:p>
        </w:tc>
      </w:tr>
      <w:tr w:rsidR="00A0308E" w:rsidRPr="003B10E2" w14:paraId="798C84D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0FC20"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Befar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5352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1 298.96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44D9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082F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27.47</w:t>
            </w:r>
          </w:p>
        </w:tc>
      </w:tr>
      <w:tr w:rsidR="00A0308E" w:rsidRPr="003B10E2" w14:paraId="5B68042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1CAEF"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Beh-Property,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2F29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287.11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1546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10E8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118.78</w:t>
            </w:r>
          </w:p>
        </w:tc>
      </w:tr>
      <w:tr w:rsidR="00A0308E" w:rsidRPr="003B10E2" w14:paraId="6D668CE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4FABB"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BeiGene,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39D3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2 127.37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42E0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132.12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6F94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196.53</w:t>
            </w:r>
          </w:p>
        </w:tc>
      </w:tr>
      <w:tr w:rsidR="00A0308E" w:rsidRPr="003B10E2" w14:paraId="60D0FD8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8983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Beihai Gofar Marine Biological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5550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302.98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B7A2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9319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14.10</w:t>
            </w:r>
          </w:p>
        </w:tc>
      </w:tr>
      <w:tr w:rsidR="00A0308E" w:rsidRPr="003B10E2" w14:paraId="414D5AB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BAF7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Aerospace Changfeng,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7264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803.08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40E3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12.74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1419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58.23</w:t>
            </w:r>
          </w:p>
        </w:tc>
      </w:tr>
      <w:tr w:rsidR="00A0308E" w:rsidRPr="003B10E2" w14:paraId="399B7AC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E5F7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Airport High-Tech Park,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2616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362.75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EA2B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48C6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28.12</w:t>
            </w:r>
          </w:p>
        </w:tc>
      </w:tr>
      <w:tr w:rsidR="00A0308E" w:rsidRPr="003B10E2" w14:paraId="21156A9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0FE9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AriTime Intelligent Control,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F3B92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430.36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1EB6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13.75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07BA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164.95</w:t>
            </w:r>
          </w:p>
        </w:tc>
      </w:tr>
      <w:tr w:rsidR="00A0308E" w:rsidRPr="003B10E2" w14:paraId="13287AC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745C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Balance Medical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BAC3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1 386.08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BAA0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102.70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6B0C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27.58</w:t>
            </w:r>
          </w:p>
        </w:tc>
      </w:tr>
      <w:tr w:rsidR="00A0308E" w:rsidRPr="003B10E2" w14:paraId="6138D9D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B6FB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Baolande Software,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9EBF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355.97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E41D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63.59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FB5A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37.13</w:t>
            </w:r>
          </w:p>
        </w:tc>
      </w:tr>
      <w:tr w:rsidR="00A0308E" w:rsidRPr="003B10E2" w14:paraId="6A257BF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A68A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Bashi Media,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D63B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514.62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78B9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41D5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74.59</w:t>
            </w:r>
          </w:p>
        </w:tc>
      </w:tr>
      <w:tr w:rsidR="00A0308E" w:rsidRPr="003B10E2" w14:paraId="783163C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2E21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Bayi Space LCD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8813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352.38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30F2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6906A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44.00</w:t>
            </w:r>
          </w:p>
        </w:tc>
      </w:tr>
      <w:tr w:rsidR="00A0308E" w:rsidRPr="003B10E2" w14:paraId="5E6506A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D8FB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Bohui Science &amp;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FA28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315.42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A9AE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39.68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4D6E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94.52</w:t>
            </w:r>
          </w:p>
        </w:tc>
      </w:tr>
      <w:tr w:rsidR="00A0308E" w:rsidRPr="003B10E2" w14:paraId="7D22CD7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C167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Caishikou Department Store,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B7CEF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1 265.91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8BC8D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11.63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514F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30.09</w:t>
            </w:r>
          </w:p>
        </w:tc>
      </w:tr>
      <w:tr w:rsidR="00A0308E" w:rsidRPr="003B10E2" w14:paraId="6E33CC8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0C70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Capital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093B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1 509.00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EA49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D5D5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83.18</w:t>
            </w:r>
          </w:p>
        </w:tc>
      </w:tr>
      <w:tr w:rsidR="00A0308E" w:rsidRPr="003B10E2" w14:paraId="21D0E03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AE8D4"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Beijing Capital,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3026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3 061.36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101A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28B5B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124.30</w:t>
            </w:r>
          </w:p>
        </w:tc>
      </w:tr>
      <w:tr w:rsidR="00A0308E" w:rsidRPr="003B10E2" w14:paraId="787D921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7501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Changjiu Logistics,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74FB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791.94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A6B3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FCBE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156.01</w:t>
            </w:r>
          </w:p>
        </w:tc>
      </w:tr>
      <w:tr w:rsidR="00A0308E" w:rsidRPr="003B10E2" w14:paraId="764A69F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95E6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Chunlizhengda Medical Instruments,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7998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1 315.90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93FB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32.60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DEC2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19.71</w:t>
            </w:r>
          </w:p>
        </w:tc>
      </w:tr>
      <w:tr w:rsidR="00A0308E" w:rsidRPr="003B10E2" w14:paraId="2E29836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1017A"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Beijing Cuiwei Tower,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274D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1 142.41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86B6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10.22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FD942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107.28</w:t>
            </w:r>
          </w:p>
        </w:tc>
      </w:tr>
      <w:tr w:rsidR="00A0308E" w:rsidRPr="003B10E2" w14:paraId="6344751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3854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Dahao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BB8D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1 855.01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02DE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14.34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F0B6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31.45</w:t>
            </w:r>
          </w:p>
        </w:tc>
      </w:tr>
      <w:tr w:rsidR="00A0308E" w:rsidRPr="003B10E2" w14:paraId="0EBFD3C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D8A1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Dalong Weiye Real Estate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762C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322.92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6597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B41CC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101.70</w:t>
            </w:r>
          </w:p>
        </w:tc>
      </w:tr>
      <w:tr w:rsidR="00A0308E" w:rsidRPr="003B10E2" w14:paraId="4627A46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B836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Deep Glint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DF78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993.83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D53C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38.39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4B8F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135.37</w:t>
            </w:r>
          </w:p>
        </w:tc>
      </w:tr>
      <w:tr w:rsidR="00A0308E" w:rsidRPr="003B10E2" w14:paraId="7F78CA2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A0B3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Dynamic 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DC92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454.49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A943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5D56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71.17</w:t>
            </w:r>
          </w:p>
        </w:tc>
      </w:tr>
      <w:tr w:rsidR="00A0308E" w:rsidRPr="003B10E2" w14:paraId="7221624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1008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Electronic Zone Investment and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F2A1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904.82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F954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E3FC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76.89</w:t>
            </w:r>
          </w:p>
        </w:tc>
      </w:tr>
      <w:tr w:rsidR="00A0308E" w:rsidRPr="003B10E2" w14:paraId="28DAC93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3217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Fjr Optoelectronic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8BC8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203.26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4A9F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9EB7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6.57</w:t>
            </w:r>
          </w:p>
        </w:tc>
      </w:tr>
      <w:tr w:rsidR="00A0308E" w:rsidRPr="003B10E2" w14:paraId="262BD86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5F10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Gehua CATV Network,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DC17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1 784.16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4A7C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4A50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246.86</w:t>
            </w:r>
          </w:p>
        </w:tc>
      </w:tr>
      <w:tr w:rsidR="00A0308E" w:rsidRPr="003B10E2" w14:paraId="1098655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ADA7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Geoenviron Engineering &amp;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BCD4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1 329.77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F636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63AB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62.83</w:t>
            </w:r>
          </w:p>
        </w:tc>
      </w:tr>
      <w:tr w:rsidR="00A0308E" w:rsidRPr="003B10E2" w14:paraId="021F330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3832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Haitian Ruisheng Science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C62B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691.82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4BD2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115.50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89E5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550.71</w:t>
            </w:r>
          </w:p>
        </w:tc>
      </w:tr>
      <w:tr w:rsidR="00A0308E" w:rsidRPr="003B10E2" w14:paraId="53DA925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5F2C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Hanjian Heshan Pipeline,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EB41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276.47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F253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2E1B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20.68</w:t>
            </w:r>
          </w:p>
        </w:tc>
      </w:tr>
      <w:tr w:rsidR="00A0308E" w:rsidRPr="003B10E2" w14:paraId="126048A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2D9B9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Haohua Energy Resource,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6538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1 017.70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F6F4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D1D0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32.95</w:t>
            </w:r>
          </w:p>
        </w:tc>
      </w:tr>
      <w:tr w:rsidR="00A0308E" w:rsidRPr="003B10E2" w14:paraId="392FAEB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0DD4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Hotgen Biotech,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6C59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375.59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7EE6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43.15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2B61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31.42</w:t>
            </w:r>
          </w:p>
        </w:tc>
      </w:tr>
      <w:tr w:rsidR="00A0308E" w:rsidRPr="003B10E2" w14:paraId="2C58CC9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4ED57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Huafeng Test &amp; Control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0CD9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1 402.01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AED2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163.35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288A9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175.30</w:t>
            </w:r>
          </w:p>
        </w:tc>
      </w:tr>
      <w:tr w:rsidR="00A0308E" w:rsidRPr="003B10E2" w14:paraId="1117D68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EB17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Hualian Hypermarket,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B544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462.17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C57F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89A6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12.26</w:t>
            </w:r>
          </w:p>
        </w:tc>
      </w:tr>
      <w:tr w:rsidR="00A0308E" w:rsidRPr="003B10E2" w14:paraId="6C4C06D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ED276"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Beijing Infosec,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CE0A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556.51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B2E35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42.70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98DA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44.83</w:t>
            </w:r>
          </w:p>
        </w:tc>
      </w:tr>
      <w:tr w:rsidR="00A0308E" w:rsidRPr="003B10E2" w14:paraId="72BC46D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FA21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Inhand Networks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EA8F3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511.26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6288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69.68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D5ED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48.15</w:t>
            </w:r>
          </w:p>
        </w:tc>
      </w:tr>
      <w:tr w:rsidR="00A0308E" w:rsidRPr="003B10E2" w14:paraId="11F7CAA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F716D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Integrity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4743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A9B8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69.19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E2D9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63.80</w:t>
            </w:r>
          </w:p>
        </w:tc>
      </w:tr>
      <w:tr w:rsidR="00A0308E" w:rsidRPr="003B10E2" w14:paraId="5BE8091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554F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JCZ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A20D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B858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30.62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EF55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36.03</w:t>
            </w:r>
          </w:p>
        </w:tc>
      </w:tr>
      <w:tr w:rsidR="00A0308E" w:rsidRPr="003B10E2" w14:paraId="4FEC6D2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281F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Jingcheng Machinery Electric,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2FBD5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567.36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E79E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10.53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79CF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40.63</w:t>
            </w:r>
          </w:p>
        </w:tc>
      </w:tr>
      <w:tr w:rsidR="00A0308E" w:rsidRPr="003B10E2" w14:paraId="542F705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23E2A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Jingneng 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BA318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3 442.19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BB9C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E1D82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70.96</w:t>
            </w:r>
          </w:p>
        </w:tc>
      </w:tr>
      <w:tr w:rsidR="00A0308E" w:rsidRPr="003B10E2" w14:paraId="65F2826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4CD2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JingPinTeZhuang Science and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0644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400A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B344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16.03</w:t>
            </w:r>
          </w:p>
        </w:tc>
      </w:tr>
      <w:tr w:rsidR="00A0308E" w:rsidRPr="003B10E2" w14:paraId="7325916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1A31B"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Beijing Jingwei Hirain,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AF5AF"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0213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147.00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7821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384.53</w:t>
            </w:r>
          </w:p>
        </w:tc>
      </w:tr>
      <w:tr w:rsidR="00A0308E" w:rsidRPr="003B10E2" w14:paraId="4048BA5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8045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Jingyuntong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B7B6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1 943.04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A440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001F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87.81</w:t>
            </w:r>
          </w:p>
        </w:tc>
      </w:tr>
      <w:tr w:rsidR="00A0308E" w:rsidRPr="003B10E2" w14:paraId="7D8D01A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0C83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Jiuzhouyigui Environmental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D931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09A2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15.61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7420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3.90</w:t>
            </w:r>
          </w:p>
        </w:tc>
      </w:tr>
      <w:tr w:rsidR="00A0308E" w:rsidRPr="003B10E2" w14:paraId="0A2060F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527D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Kawin Technology Share-Holding,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6BB6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634.35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1074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26.69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1485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21.91</w:t>
            </w:r>
          </w:p>
        </w:tc>
      </w:tr>
      <w:tr w:rsidR="00A0308E" w:rsidRPr="003B10E2" w14:paraId="04F9D8A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4B45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Kingsoft Office Software,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713A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30 991.61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9B37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480.37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7627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2 284.12</w:t>
            </w:r>
          </w:p>
        </w:tc>
      </w:tr>
      <w:tr w:rsidR="00A0308E" w:rsidRPr="003B10E2" w14:paraId="11AFDD4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F8916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Konruns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FBC8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698.62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FFD8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DFB5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48.37</w:t>
            </w:r>
          </w:p>
        </w:tc>
      </w:tr>
      <w:tr w:rsidR="00A0308E" w:rsidRPr="003B10E2" w14:paraId="4168085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78CF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LabTech Instruments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863E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347.96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CA1C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63BF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27.54</w:t>
            </w:r>
          </w:p>
        </w:tc>
      </w:tr>
      <w:tr w:rsidR="00A0308E" w:rsidRPr="003B10E2" w14:paraId="1C85C37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4CA9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Navigation Control,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E078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658.75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2E69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53.49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4D2C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36.20</w:t>
            </w:r>
          </w:p>
        </w:tc>
      </w:tr>
      <w:tr w:rsidR="00A0308E" w:rsidRPr="003B10E2" w14:paraId="39B340A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7F95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New Space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15FC1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336.56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4C4A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24.23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8899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308.45</w:t>
            </w:r>
          </w:p>
        </w:tc>
      </w:tr>
      <w:tr w:rsidR="00A0308E" w:rsidRPr="003B10E2" w14:paraId="0DDDF99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4BFA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North Star,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965A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778.03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E68E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C261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117.91</w:t>
            </w:r>
          </w:p>
        </w:tc>
      </w:tr>
      <w:tr w:rsidR="00A0308E" w:rsidRPr="003B10E2" w14:paraId="496F3CF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D5A1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Piesat Information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619B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1 440.49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84865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55.81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3DA0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124.27</w:t>
            </w:r>
          </w:p>
        </w:tc>
      </w:tr>
      <w:tr w:rsidR="00A0308E" w:rsidRPr="003B10E2" w14:paraId="0F0941A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3B3F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Qianjing Landscape,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AEBF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475.92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AF3D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85C4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47.42</w:t>
            </w:r>
          </w:p>
        </w:tc>
      </w:tr>
      <w:tr w:rsidR="00A0308E" w:rsidRPr="003B10E2" w14:paraId="0FA84F0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9459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Roborock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E9C9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3 011.73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A7A0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322.13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7BC8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291.39</w:t>
            </w:r>
          </w:p>
        </w:tc>
      </w:tr>
      <w:tr w:rsidR="00A0308E" w:rsidRPr="003B10E2" w14:paraId="6FED6A7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D6E8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Sanyuan Foods,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7065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1 005.99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B1FC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E1B6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15.13</w:t>
            </w:r>
          </w:p>
        </w:tc>
      </w:tr>
      <w:tr w:rsidR="00A0308E" w:rsidRPr="003B10E2" w14:paraId="45DE767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B798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Seeyon Internet Software,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31A5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848.93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59E8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78.79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003AD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265.49</w:t>
            </w:r>
          </w:p>
        </w:tc>
      </w:tr>
      <w:tr w:rsidR="00A0308E" w:rsidRPr="003B10E2" w14:paraId="7224FE5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29E3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Sifang Automation,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BD98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1 660.37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3EE9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14.59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45D8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141.66</w:t>
            </w:r>
          </w:p>
        </w:tc>
      </w:tr>
      <w:tr w:rsidR="00A0308E" w:rsidRPr="003B10E2" w14:paraId="464ED1F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3DA0C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Succeeder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4DB80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580.01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AA8A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50.76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4612E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17.51</w:t>
            </w:r>
          </w:p>
        </w:tc>
      </w:tr>
      <w:tr w:rsidR="00A0308E" w:rsidRPr="003B10E2" w14:paraId="272C86E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B0D6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Sun-Novo Pharmaceutical Research,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F477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677.24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4BE6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60.49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83A2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37.17</w:t>
            </w:r>
          </w:p>
        </w:tc>
      </w:tr>
      <w:tr w:rsidR="00A0308E" w:rsidRPr="003B10E2" w14:paraId="73B87E7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FE20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Teamsun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ECA1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1 314.71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A7F2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8.55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E10D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1 811.89</w:t>
            </w:r>
          </w:p>
        </w:tc>
      </w:tr>
      <w:tr w:rsidR="00A0308E" w:rsidRPr="003B10E2" w14:paraId="3E12268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77E5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Tiantan Biological Products,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64F3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5 140.64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EA67C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26.75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9CBD2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226.56</w:t>
            </w:r>
          </w:p>
        </w:tc>
      </w:tr>
      <w:tr w:rsidR="00A0308E" w:rsidRPr="003B10E2" w14:paraId="0C8C83C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C4E2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Tianyishangjia New Material,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2EEA7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1 073.88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6795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A578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46.01</w:t>
            </w:r>
          </w:p>
        </w:tc>
      </w:tr>
      <w:tr w:rsidR="00A0308E" w:rsidRPr="003B10E2" w14:paraId="271BB14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72EF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Tieke Shougang Railway-Tech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0DDB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1 045.74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6B39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35.47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44FF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78.47</w:t>
            </w:r>
          </w:p>
        </w:tc>
      </w:tr>
      <w:tr w:rsidR="00A0308E" w:rsidRPr="003B10E2" w14:paraId="0A1898D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D0419"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Beijing Tongrentang,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3375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10 746.43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AE824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8EC2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306.04</w:t>
            </w:r>
          </w:p>
        </w:tc>
      </w:tr>
      <w:tr w:rsidR="00A0308E" w:rsidRPr="003B10E2" w14:paraId="15CA6E7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D4A7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Tongyizhong New Material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FDFC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542.37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88FA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C335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25.62</w:t>
            </w:r>
          </w:p>
        </w:tc>
      </w:tr>
      <w:tr w:rsidR="00A0308E" w:rsidRPr="003B10E2" w14:paraId="479B2CD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DA22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Tricolor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3805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595.15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FB4A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22.82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E2D1E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86.85</w:t>
            </w:r>
          </w:p>
        </w:tc>
      </w:tr>
      <w:tr w:rsidR="00A0308E" w:rsidRPr="003B10E2" w14:paraId="10B493C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4D8B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United Information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CA30A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2 563.31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8760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53.26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4560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344.63</w:t>
            </w:r>
          </w:p>
        </w:tc>
      </w:tr>
      <w:tr w:rsidR="00A0308E" w:rsidRPr="003B10E2" w14:paraId="2C0F09A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5CEF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Urban Construction Investment&amp;Development,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106B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1 755.84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DB441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F12C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298.28</w:t>
            </w:r>
          </w:p>
        </w:tc>
      </w:tr>
      <w:tr w:rsidR="00A0308E" w:rsidRPr="003B10E2" w14:paraId="6B6703A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2CE9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Urban Rural Commercial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D7A0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1 014.41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E8D2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22.88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2AA0C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25.18</w:t>
            </w:r>
          </w:p>
        </w:tc>
      </w:tr>
      <w:tr w:rsidR="00A0308E" w:rsidRPr="003B10E2" w14:paraId="3DD7E25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04063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Vantone Real Estate,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E6EA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1 667.24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6CE6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872C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312.69</w:t>
            </w:r>
          </w:p>
        </w:tc>
      </w:tr>
      <w:tr w:rsidR="00A0308E" w:rsidRPr="003B10E2" w14:paraId="0FC1B20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3A16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Vastdata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3351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864.26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9BE2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C0BA8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209.65</w:t>
            </w:r>
          </w:p>
        </w:tc>
      </w:tr>
      <w:tr w:rsidR="00A0308E" w:rsidRPr="003B10E2" w14:paraId="74F225B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690B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Wandong Medical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B0A8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1 524.32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FF0E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20.14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8A9A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57.13</w:t>
            </w:r>
          </w:p>
        </w:tc>
      </w:tr>
      <w:tr w:rsidR="00A0308E" w:rsidRPr="003B10E2" w14:paraId="41E75ED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CDAF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Wantai Biological Pharmacy Enterprise,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88B2F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5 786.23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46459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74FA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397.19</w:t>
            </w:r>
          </w:p>
        </w:tc>
      </w:tr>
      <w:tr w:rsidR="00A0308E" w:rsidRPr="003B10E2" w14:paraId="649D412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DEED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Winsunny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2F8EC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66E9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16.63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D9D6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42.72</w:t>
            </w:r>
          </w:p>
        </w:tc>
      </w:tr>
      <w:tr w:rsidR="00A0308E" w:rsidRPr="003B10E2" w14:paraId="01182FB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8635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Worldia Diamond Tools,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8882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231.08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B2D6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20.64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8E8C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16.18</w:t>
            </w:r>
          </w:p>
        </w:tc>
      </w:tr>
      <w:tr w:rsidR="00A0308E" w:rsidRPr="003B10E2" w14:paraId="1DBCD0B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BED4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Yandong Microelectronic,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FB910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831D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22.05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9C06C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119.85</w:t>
            </w:r>
          </w:p>
        </w:tc>
      </w:tr>
      <w:tr w:rsidR="00A0308E" w:rsidRPr="003B10E2" w14:paraId="46705A2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EEC5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Yuanliu Hongyuan Electronic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CCD5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1 769.98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E94C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54.42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EF1D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100.09</w:t>
            </w:r>
          </w:p>
        </w:tc>
      </w:tr>
      <w:tr w:rsidR="00A0308E" w:rsidRPr="003B10E2" w14:paraId="2420E6E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FB24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Yupont Electric Power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84B4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232.15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BCC3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5238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37.39</w:t>
            </w:r>
          </w:p>
        </w:tc>
      </w:tr>
      <w:tr w:rsidR="00A0308E" w:rsidRPr="003B10E2" w14:paraId="7345E66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8201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Zeho Waterfront Ecological Environment Treatment,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3CDD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200.09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CE03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2647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6.87</w:t>
            </w:r>
          </w:p>
        </w:tc>
      </w:tr>
      <w:tr w:rsidR="00A0308E" w:rsidRPr="003B10E2" w14:paraId="76B1F6E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4D2D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Beijing-Shanghai High Speed Railway,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9384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38 416.52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0E22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083E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376.40</w:t>
            </w:r>
          </w:p>
        </w:tc>
      </w:tr>
      <w:tr w:rsidR="00A0308E" w:rsidRPr="003B10E2" w14:paraId="357EC2C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9298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Beiqi Foton Motor,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9CE7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3 082.62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2A99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FB63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240.57</w:t>
            </w:r>
          </w:p>
        </w:tc>
      </w:tr>
      <w:tr w:rsidR="00A0308E" w:rsidRPr="003B10E2" w14:paraId="70D79B6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277B3"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Beken,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6E51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642.34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FA61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30.34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4323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69.33</w:t>
            </w:r>
          </w:p>
        </w:tc>
      </w:tr>
      <w:tr w:rsidR="00A0308E" w:rsidRPr="003B10E2" w14:paraId="3C0F50E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2CC4A"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Bestechnic (Shanghai),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3FA2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2 248.69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006F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133.90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78A3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312.95</w:t>
            </w:r>
          </w:p>
        </w:tc>
      </w:tr>
      <w:tr w:rsidR="00A0308E" w:rsidRPr="003B10E2" w14:paraId="74396D2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07D3A"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Bestlink Technologies,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0DE7B"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3E84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17.41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3C71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36.22</w:t>
            </w:r>
          </w:p>
        </w:tc>
      </w:tr>
      <w:tr w:rsidR="00A0308E" w:rsidRPr="003B10E2" w14:paraId="12E557F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D9363"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Bestore,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C208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1 564.04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95DB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27.87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C506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75.71</w:t>
            </w:r>
          </w:p>
        </w:tc>
      </w:tr>
      <w:tr w:rsidR="00A0308E" w:rsidRPr="003B10E2" w14:paraId="674D9DB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D2CDA"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Bestsun Energy,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E538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824.04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8367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D6E4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15.66</w:t>
            </w:r>
          </w:p>
        </w:tc>
      </w:tr>
      <w:tr w:rsidR="00A0308E" w:rsidRPr="003B10E2" w14:paraId="6335A3C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79D11"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Besttone Holdings,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1622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1 533.38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E545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13.77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785D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197.70</w:t>
            </w:r>
          </w:p>
        </w:tc>
      </w:tr>
      <w:tr w:rsidR="00A0308E" w:rsidRPr="003B10E2" w14:paraId="66D690B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9D98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Bethel Automotive Safety Systems,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9B7C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4 349.97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D051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855F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663.30</w:t>
            </w:r>
          </w:p>
        </w:tc>
      </w:tr>
      <w:tr w:rsidR="00A0308E" w:rsidRPr="003B10E2" w14:paraId="51827EC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A87E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BGRIMM Science and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DB24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370.54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DB24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15.23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C144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18.38</w:t>
            </w:r>
          </w:p>
        </w:tc>
      </w:tr>
      <w:tr w:rsidR="00A0308E" w:rsidRPr="003B10E2" w14:paraId="5A07E6C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728F6"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Bide Pharmatech,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FB1878"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688C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72.41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1A750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20.17</w:t>
            </w:r>
          </w:p>
        </w:tc>
      </w:tr>
      <w:tr w:rsidR="00A0308E" w:rsidRPr="003B10E2" w14:paraId="2A79912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E4A31"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Bingo Software,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1467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438.11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834A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27.69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85E6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70.13</w:t>
            </w:r>
          </w:p>
        </w:tc>
      </w:tr>
      <w:tr w:rsidR="00A0308E" w:rsidRPr="003B10E2" w14:paraId="3B46C67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307F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Bio-Thera Solutions,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159DC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1 526.40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25EE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26.34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F1FE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36.21</w:t>
            </w:r>
          </w:p>
        </w:tc>
      </w:tr>
      <w:tr w:rsidR="00A0308E" w:rsidRPr="003B10E2" w14:paraId="278A4F9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99BC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Biwin Storage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8F5A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941C6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99.06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113E2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1 213.99</w:t>
            </w:r>
          </w:p>
        </w:tc>
      </w:tr>
      <w:tr w:rsidR="00A0308E" w:rsidRPr="003B10E2" w14:paraId="24CE616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CEDA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Black Peony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64C0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926.13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E938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DE60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42.38</w:t>
            </w:r>
          </w:p>
        </w:tc>
      </w:tr>
      <w:tr w:rsidR="00A0308E" w:rsidRPr="003B10E2" w14:paraId="7D846C4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C65FF"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Bloomage BioTechnology,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1A17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6 176.08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CCE3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91.94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FE86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202.56</w:t>
            </w:r>
          </w:p>
        </w:tc>
      </w:tr>
      <w:tr w:rsidR="00A0308E" w:rsidRPr="003B10E2" w14:paraId="569C26D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A88A1"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Bluestar Adisseo,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8622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2 912.54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FB427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0F10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17.87</w:t>
            </w:r>
          </w:p>
        </w:tc>
      </w:tr>
      <w:tr w:rsidR="00A0308E" w:rsidRPr="003B10E2" w14:paraId="5751AFA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8AB28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BOC International China,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F026F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4 093.81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3622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10.53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8D07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198.11</w:t>
            </w:r>
          </w:p>
        </w:tc>
      </w:tr>
      <w:tr w:rsidR="00A0308E" w:rsidRPr="003B10E2" w14:paraId="2CC3BFC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C9EB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Bohai Automotive Systems,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2A94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493.52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4E2E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92B20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76.26</w:t>
            </w:r>
          </w:p>
        </w:tc>
      </w:tr>
      <w:tr w:rsidR="00A0308E" w:rsidRPr="003B10E2" w14:paraId="4428747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13950"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Bohai Ferry,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20B43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470.23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E691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2594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17.53</w:t>
            </w:r>
          </w:p>
        </w:tc>
      </w:tr>
      <w:tr w:rsidR="00A0308E" w:rsidRPr="003B10E2" w14:paraId="631B36F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8D83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BOMESC Offshore Engineering,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B125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451.13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DA759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11.18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DABF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11.85</w:t>
            </w:r>
          </w:p>
        </w:tc>
      </w:tr>
      <w:tr w:rsidR="00A0308E" w:rsidRPr="003B10E2" w14:paraId="7B3F782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1779F8"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Bomin Electronics,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EDE5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875.35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4486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12.24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A9C6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166.32</w:t>
            </w:r>
          </w:p>
        </w:tc>
      </w:tr>
      <w:tr w:rsidR="00A0308E" w:rsidRPr="003B10E2" w14:paraId="3CC460D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174B7"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Bondex,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776C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438.59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3C7F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15.27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C3B1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8.22</w:t>
            </w:r>
          </w:p>
        </w:tc>
      </w:tr>
      <w:tr w:rsidR="00A0308E" w:rsidRPr="003B10E2" w14:paraId="1538D47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4C0E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Bonree Data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8FD6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391.46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DA3E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5555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170.62</w:t>
            </w:r>
          </w:p>
        </w:tc>
      </w:tr>
      <w:tr w:rsidR="00A0308E" w:rsidRPr="003B10E2" w14:paraId="0E66184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A85B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BOTH Engineering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28535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2CBC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16.84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FBB6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257.89</w:t>
            </w:r>
          </w:p>
        </w:tc>
      </w:tr>
      <w:tr w:rsidR="00A0308E" w:rsidRPr="003B10E2" w14:paraId="0DE55E4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ECAF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Bozhon Precision Industry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D37C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1 385.19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D1A33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24.59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01BB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92.69</w:t>
            </w:r>
          </w:p>
        </w:tc>
      </w:tr>
      <w:tr w:rsidR="00A0308E" w:rsidRPr="003B10E2" w14:paraId="1287413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DC4B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Bright Dairy &amp; Food,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0B04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2 079.88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87105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10.78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AF28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116.09</w:t>
            </w:r>
          </w:p>
        </w:tc>
      </w:tr>
      <w:tr w:rsidR="00A0308E" w:rsidRPr="003B10E2" w14:paraId="10A5306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CE35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Bright Oceans Inter-Telecom,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09978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204.89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08097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FDCC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4.65</w:t>
            </w:r>
          </w:p>
        </w:tc>
      </w:tr>
      <w:tr w:rsidR="00A0308E" w:rsidRPr="003B10E2" w14:paraId="0945E55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FD51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Bright Real Estate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E80C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701.76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E958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B29F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32.44</w:t>
            </w:r>
          </w:p>
        </w:tc>
      </w:tr>
      <w:tr w:rsidR="00A0308E" w:rsidRPr="003B10E2" w14:paraId="3869A9C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BF0B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BrightGene Bio-Medical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E08C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1 264.05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3768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22.03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7411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101.22</w:t>
            </w:r>
          </w:p>
        </w:tc>
      </w:tr>
      <w:tr w:rsidR="00A0308E" w:rsidRPr="003B10E2" w14:paraId="26543DD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26878"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Bros Eastern,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E9A2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1 158.77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C02B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FE8D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29.21</w:t>
            </w:r>
          </w:p>
        </w:tc>
      </w:tr>
      <w:tr w:rsidR="00A0308E" w:rsidRPr="003B10E2" w14:paraId="5230FBA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57B1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BTG Hotels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DFB8E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3 141.85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4914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20.02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69FE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134.03</w:t>
            </w:r>
          </w:p>
        </w:tc>
      </w:tr>
      <w:tr w:rsidR="00A0308E" w:rsidRPr="003B10E2" w14:paraId="47C359B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2331B"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ButOne Information,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DF6C4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201.74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98E9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23.08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157D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30.45</w:t>
            </w:r>
          </w:p>
        </w:tc>
      </w:tr>
      <w:tr w:rsidR="00A0308E" w:rsidRPr="003B10E2" w14:paraId="4B346BF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5014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 Core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E745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2 229.88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629B0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66.39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3335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778.33</w:t>
            </w:r>
          </w:p>
        </w:tc>
      </w:tr>
      <w:tr w:rsidR="00A0308E" w:rsidRPr="003B10E2" w14:paraId="1D8881A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FA05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CABIO Biotech Wuhan,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7759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494.58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5D91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762D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73.25</w:t>
            </w:r>
          </w:p>
        </w:tc>
      </w:tr>
      <w:tr w:rsidR="00A0308E" w:rsidRPr="003B10E2" w14:paraId="39F93D3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243C0"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Caida Securities,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4DE80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3 328.79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C299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565A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46.08</w:t>
            </w:r>
          </w:p>
        </w:tc>
      </w:tr>
      <w:tr w:rsidR="00A0308E" w:rsidRPr="003B10E2" w14:paraId="0F3B1CC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E2B6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Caihong Display Devices,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36EF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2 350.24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42F0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CF5B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59.42</w:t>
            </w:r>
          </w:p>
        </w:tc>
      </w:tr>
      <w:tr w:rsidR="00A0308E" w:rsidRPr="003B10E2" w14:paraId="2874C11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B2FEA"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Caitong Securities,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FA245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3 706.80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1BD0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DAD0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101.46</w:t>
            </w:r>
          </w:p>
        </w:tc>
      </w:tr>
      <w:tr w:rsidR="00A0308E" w:rsidRPr="003B10E2" w14:paraId="6AAA94B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F47AC"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Cambricon Technologies,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D688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13 064.13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0C59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232.90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9CA1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2 884.89</w:t>
            </w:r>
          </w:p>
        </w:tc>
      </w:tr>
      <w:tr w:rsidR="00A0308E" w:rsidRPr="003B10E2" w14:paraId="6577151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831CF"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Camel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B994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1 485.83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52DA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49A1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55.49</w:t>
            </w:r>
          </w:p>
        </w:tc>
      </w:tr>
      <w:tr w:rsidR="00A0308E" w:rsidRPr="003B10E2" w14:paraId="3B7BFD4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1769D"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Cangzhou Dahua,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03BA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835.38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D4E9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14.26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D817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23.97</w:t>
            </w:r>
          </w:p>
        </w:tc>
      </w:tr>
      <w:tr w:rsidR="00A0308E" w:rsidRPr="003B10E2" w14:paraId="2364B5F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AF96B5"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CanSino Biologics,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56D6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1 366.97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2E57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85.10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1A6A1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80.28</w:t>
            </w:r>
          </w:p>
        </w:tc>
      </w:tr>
      <w:tr w:rsidR="00A0308E" w:rsidRPr="003B10E2" w14:paraId="2811268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6AF9B"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Capital Securities,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BC173"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9211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7075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439.16</w:t>
            </w:r>
          </w:p>
        </w:tc>
      </w:tr>
      <w:tr w:rsidR="00A0308E" w:rsidRPr="003B10E2" w14:paraId="469C065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F593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CareRay Digital Medical Technology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F575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239.89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6B12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7B58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9.61</w:t>
            </w:r>
          </w:p>
        </w:tc>
      </w:tr>
      <w:tr w:rsidR="00A0308E" w:rsidRPr="003B10E2" w14:paraId="68C207B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CDD19"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Cashway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AF49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424.69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5AC3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C29F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29.90</w:t>
            </w:r>
          </w:p>
        </w:tc>
      </w:tr>
      <w:tr w:rsidR="00A0308E" w:rsidRPr="003B10E2" w14:paraId="4BCFE76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E2F3F"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Cathay Biotech,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7803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3 176.36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DBED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54.47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EE9B7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48.24</w:t>
            </w:r>
          </w:p>
        </w:tc>
      </w:tr>
      <w:tr w:rsidR="00A0308E" w:rsidRPr="003B10E2" w14:paraId="002D967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CF77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CCS Supply Chain Management,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F628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867.75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3D95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6D38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35.07</w:t>
            </w:r>
          </w:p>
        </w:tc>
      </w:tr>
      <w:tr w:rsidR="00A0308E" w:rsidRPr="003B10E2" w14:paraId="48C3DDE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33F4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CECEP Wind-Power,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D083E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2 630.72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0303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6BA3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82.71</w:t>
            </w:r>
          </w:p>
        </w:tc>
      </w:tr>
      <w:tr w:rsidR="00A0308E" w:rsidRPr="003B10E2" w14:paraId="579813B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59B2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Center International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BECB2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1 481.69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4DE7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19.65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7CE7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14.93</w:t>
            </w:r>
          </w:p>
        </w:tc>
      </w:tr>
      <w:tr w:rsidR="00A0308E" w:rsidRPr="003B10E2" w14:paraId="194AD86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8B8E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Central China Securities,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97D7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1 809.28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EDE22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A617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35.99</w:t>
            </w:r>
          </w:p>
        </w:tc>
      </w:tr>
      <w:tr w:rsidR="00A0308E" w:rsidRPr="003B10E2" w14:paraId="1249089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C685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CETC Energy Joint-Stock,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ACC2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2 383.08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7077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14.38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6B13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193.40</w:t>
            </w:r>
          </w:p>
        </w:tc>
      </w:tr>
      <w:tr w:rsidR="00A0308E" w:rsidRPr="003B10E2" w14:paraId="665BA97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B1D2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Chahua Modern Housewares,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A905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295.69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09A1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47CF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15.62</w:t>
            </w:r>
          </w:p>
        </w:tc>
      </w:tr>
      <w:tr w:rsidR="00A0308E" w:rsidRPr="003B10E2" w14:paraId="7D4CBC8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0EC8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Changbai Mountain Tourism,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E0C7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462.02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232B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12.38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144E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130.74</w:t>
            </w:r>
          </w:p>
        </w:tc>
      </w:tr>
      <w:tr w:rsidR="00A0308E" w:rsidRPr="003B10E2" w14:paraId="5F98B6D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AC31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Changchun BCHT Biotechnology,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A4C9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3 428.45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9793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59.34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C724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60.81</w:t>
            </w:r>
          </w:p>
        </w:tc>
      </w:tr>
      <w:tr w:rsidR="00A0308E" w:rsidRPr="003B10E2" w14:paraId="1FCD061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BB7B8"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Changchun Engley,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3BE3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1 143.88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65DC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7F63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180.17</w:t>
            </w:r>
          </w:p>
        </w:tc>
      </w:tr>
      <w:tr w:rsidR="00A0308E" w:rsidRPr="003B10E2" w14:paraId="6C3C92E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FEBC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Changchun Eurasia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55DC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282.53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B7A6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12.69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F2A1F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13.24</w:t>
            </w:r>
          </w:p>
        </w:tc>
      </w:tr>
      <w:tr w:rsidR="00A0308E" w:rsidRPr="003B10E2" w14:paraId="2993214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D038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Changchun Faway Automobile Components,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D613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779.60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7F2C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93D5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30.90</w:t>
            </w:r>
          </w:p>
        </w:tc>
      </w:tr>
      <w:tr w:rsidR="00A0308E" w:rsidRPr="003B10E2" w14:paraId="64CBB1E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05F36"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Changchun Gas,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159D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398.89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10C1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9868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7.54</w:t>
            </w:r>
          </w:p>
        </w:tc>
      </w:tr>
      <w:tr w:rsidR="00A0308E" w:rsidRPr="003B10E2" w14:paraId="045879A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4CD3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Changchun Yidong Clutch,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1E98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285.59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900E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14.42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C4EA2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23.11</w:t>
            </w:r>
          </w:p>
        </w:tc>
      </w:tr>
      <w:tr w:rsidR="00A0308E" w:rsidRPr="003B10E2" w14:paraId="33E0860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06D3C"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Changchunjingkai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B880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461.42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8DC68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0661B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30.10</w:t>
            </w:r>
          </w:p>
        </w:tc>
      </w:tr>
      <w:tr w:rsidR="00A0308E" w:rsidRPr="003B10E2" w14:paraId="26C933D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353E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Changjiang &amp; Jinggong Steel Building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67AB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1 059.19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EA85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D77C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23.74</w:t>
            </w:r>
          </w:p>
        </w:tc>
      </w:tr>
      <w:tr w:rsidR="00A0308E" w:rsidRPr="003B10E2" w14:paraId="233E87A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7509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Changjiang Publishing &amp; Media,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BB09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1 710.37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31EE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10.07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F5294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548.59</w:t>
            </w:r>
          </w:p>
        </w:tc>
      </w:tr>
      <w:tr w:rsidR="00A0308E" w:rsidRPr="003B10E2" w14:paraId="5003641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7D8B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Changshu Automotive Trim,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2527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1 001.65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201C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19.84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B471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190.07</w:t>
            </w:r>
          </w:p>
        </w:tc>
      </w:tr>
      <w:tr w:rsidR="00A0308E" w:rsidRPr="003B10E2" w14:paraId="55154C6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2E62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Changshu Fengfan Power Equipment,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410F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823.10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B2F9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E851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21.92</w:t>
            </w:r>
          </w:p>
        </w:tc>
      </w:tr>
      <w:tr w:rsidR="00A0308E" w:rsidRPr="003B10E2" w14:paraId="0B6E16E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FEA8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Changshu Tongrun Auto Accessory,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75D76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4418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21.88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2FF6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13.21</w:t>
            </w:r>
          </w:p>
        </w:tc>
      </w:tr>
      <w:tr w:rsidR="00A0308E" w:rsidRPr="003B10E2" w14:paraId="0DCCE72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22E28"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Changyuan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186E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1 058.07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0311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91B6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181.88</w:t>
            </w:r>
          </w:p>
        </w:tc>
      </w:tr>
      <w:tr w:rsidR="00A0308E" w:rsidRPr="003B10E2" w14:paraId="4342B26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DA25C"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Changzheng Engineering,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DA644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1 065.90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7101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14.21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09FE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43.26</w:t>
            </w:r>
          </w:p>
        </w:tc>
      </w:tr>
      <w:tr w:rsidR="00A0308E" w:rsidRPr="003B10E2" w14:paraId="6AE172A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2618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Changzhou Fusion New Material,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4182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C0C06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73.79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3117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58.94</w:t>
            </w:r>
          </w:p>
        </w:tc>
      </w:tr>
      <w:tr w:rsidR="00A0308E" w:rsidRPr="003B10E2" w14:paraId="6D96405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8062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Changzhou Galaxy Century Microelectronics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11A4E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473.49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0AA8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26.35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AF14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22.25</w:t>
            </w:r>
          </w:p>
        </w:tc>
      </w:tr>
      <w:tr w:rsidR="00A0308E" w:rsidRPr="003B10E2" w14:paraId="0D8504F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E97C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Changzhou Kaidi Electrical,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818F3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388.45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0670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39.28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E6CE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28.43</w:t>
            </w:r>
          </w:p>
        </w:tc>
      </w:tr>
      <w:tr w:rsidR="00A0308E" w:rsidRPr="003B10E2" w14:paraId="5618264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CDEF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Changzhou Langbo Seal Polytron Technologies,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24BA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365.52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DEA2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24.64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E121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24.57</w:t>
            </w:r>
          </w:p>
        </w:tc>
      </w:tr>
      <w:tr w:rsidR="00A0308E" w:rsidRPr="003B10E2" w14:paraId="7BFBBAD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0BD7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Changzhou Shenli Electrical Machine,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26CD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457.37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6DE8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15.01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4D4F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22.42</w:t>
            </w:r>
          </w:p>
        </w:tc>
      </w:tr>
      <w:tr w:rsidR="00A0308E" w:rsidRPr="003B10E2" w14:paraId="75FB068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C78A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Changzhou Tenglong Auto Parts,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DFD9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355.21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5FF3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CD9C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85.12</w:t>
            </w:r>
          </w:p>
        </w:tc>
      </w:tr>
      <w:tr w:rsidR="00A0308E" w:rsidRPr="003B10E2" w14:paraId="0A3E46B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71A9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Changzhou Xingyu Automotive Lighting Systems,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4559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4 646.91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4854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116.23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9E5B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165.65</w:t>
            </w:r>
          </w:p>
        </w:tc>
      </w:tr>
      <w:tr w:rsidR="00A0308E" w:rsidRPr="003B10E2" w14:paraId="194D05A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ACA66"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Chemclin Diagnostics,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3533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533.69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BC4C9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9.51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3B82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40.66</w:t>
            </w:r>
          </w:p>
        </w:tc>
      </w:tr>
      <w:tr w:rsidR="00A0308E" w:rsidRPr="003B10E2" w14:paraId="710E2C3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E2B03"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Chemexpress,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4E20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614.98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06C3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3E75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67.70</w:t>
            </w:r>
          </w:p>
        </w:tc>
      </w:tr>
      <w:tr w:rsidR="00A0308E" w:rsidRPr="003B10E2" w14:paraId="65A1484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3751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Cheng Du Sheng Nuo Biotec,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F492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508.40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6ECB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45.41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3BFC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180.49</w:t>
            </w:r>
          </w:p>
        </w:tc>
      </w:tr>
      <w:tr w:rsidR="00A0308E" w:rsidRPr="003B10E2" w14:paraId="5847DB9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F9A7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Chengbang Eco-Environment,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6E2E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220.42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AF5E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89E2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14.00</w:t>
            </w:r>
          </w:p>
        </w:tc>
      </w:tr>
      <w:tr w:rsidR="00A0308E" w:rsidRPr="003B10E2" w14:paraId="6B21004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0FEA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Chengdu B-ray Media,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57C9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982.32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8C03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2A2E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224.43</w:t>
            </w:r>
          </w:p>
        </w:tc>
      </w:tr>
      <w:tr w:rsidR="00A0308E" w:rsidRPr="003B10E2" w14:paraId="361788C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403F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Chengdu Easton Biopharmaceuticals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8539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902.33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DCEC9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53.69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CC03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6.27</w:t>
            </w:r>
          </w:p>
        </w:tc>
      </w:tr>
      <w:tr w:rsidR="00A0308E" w:rsidRPr="003B10E2" w14:paraId="39414B6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7F37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Chengdu Gas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50C8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1 197.96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D81A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31CB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15.37</w:t>
            </w:r>
          </w:p>
        </w:tc>
      </w:tr>
      <w:tr w:rsidR="00A0308E" w:rsidRPr="003B10E2" w14:paraId="2D543E6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7A89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Chengdu Guoguang Electric,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B2C0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1 181.16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3EDF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109.02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D013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46.16</w:t>
            </w:r>
          </w:p>
        </w:tc>
      </w:tr>
      <w:tr w:rsidR="00A0308E" w:rsidRPr="003B10E2" w14:paraId="4110956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B8BD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Chengdu Haoneng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1032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425.16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2207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10.03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5664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117.90</w:t>
            </w:r>
          </w:p>
        </w:tc>
      </w:tr>
      <w:tr w:rsidR="00A0308E" w:rsidRPr="003B10E2" w14:paraId="36A2636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1007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Chengdu KSW Technologies,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C945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685.82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40B7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58.34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9057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17.06</w:t>
            </w:r>
          </w:p>
        </w:tc>
      </w:tr>
      <w:tr w:rsidR="00A0308E" w:rsidRPr="003B10E2" w14:paraId="3D77DC1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CCF8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Chengdu Lihang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1FE6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354.14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899A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32.88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B109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10.47</w:t>
            </w:r>
          </w:p>
        </w:tc>
      </w:tr>
      <w:tr w:rsidR="00A0308E" w:rsidRPr="003B10E2" w14:paraId="25F611E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39F3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Chengdu M&amp;S Electronics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0160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1 015.19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955C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63.26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D2B6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38.89</w:t>
            </w:r>
          </w:p>
        </w:tc>
      </w:tr>
      <w:tr w:rsidR="00A0308E" w:rsidRPr="003B10E2" w14:paraId="5583B6C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90FA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Chengdu Olymvax Biopharmaceuticals,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A398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1 267.04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D00C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22.34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38FE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51.20</w:t>
            </w:r>
          </w:p>
        </w:tc>
      </w:tr>
      <w:tr w:rsidR="00A0308E" w:rsidRPr="003B10E2" w14:paraId="49BB3D1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7DCC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Chengdu Qinchuan IoT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E0BD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253.92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85A5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7EC0E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6.97</w:t>
            </w:r>
          </w:p>
        </w:tc>
      </w:tr>
      <w:tr w:rsidR="00A0308E" w:rsidRPr="003B10E2" w14:paraId="661E289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2F61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Chengdu Screen Micro-electronics,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8AC2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1F49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60.82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03DC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62.71</w:t>
            </w:r>
          </w:p>
        </w:tc>
      </w:tr>
      <w:tr w:rsidR="00A0308E" w:rsidRPr="003B10E2" w14:paraId="3B9457F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754D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Chengdu XGimi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F645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1 000.35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A724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142.96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F82A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51.27</w:t>
            </w:r>
          </w:p>
        </w:tc>
      </w:tr>
      <w:tr w:rsidR="00A0308E" w:rsidRPr="003B10E2" w14:paraId="29BCA40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EEBD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Chengdu Xuguang 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AFD9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564.61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CF32D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E49A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100.20</w:t>
            </w:r>
          </w:p>
        </w:tc>
      </w:tr>
      <w:tr w:rsidR="00A0308E" w:rsidRPr="003B10E2" w14:paraId="38D35E5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C520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Chengdu Zhimingda 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432C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323.90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C103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81D9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36.78</w:t>
            </w:r>
          </w:p>
        </w:tc>
      </w:tr>
      <w:tr w:rsidR="00A0308E" w:rsidRPr="003B10E2" w14:paraId="37BB4A4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692C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Chengtun Mining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8F8F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1 878.03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02EE9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739A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69.78</w:t>
            </w:r>
          </w:p>
        </w:tc>
      </w:tr>
      <w:tr w:rsidR="00A0308E" w:rsidRPr="003B10E2" w14:paraId="671E704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D6FB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Chifeng Jilong Gold Mining,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49FB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3 604.70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02B8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15.48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4055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152.21</w:t>
            </w:r>
          </w:p>
        </w:tc>
      </w:tr>
      <w:tr w:rsidR="00A0308E" w:rsidRPr="003B10E2" w14:paraId="3D4CFC8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6A6D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Aerospace Times 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C604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3 112.96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63E2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B97D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334.16</w:t>
            </w:r>
          </w:p>
        </w:tc>
      </w:tr>
      <w:tr w:rsidR="00A0308E" w:rsidRPr="003B10E2" w14:paraId="6D2765A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0B6B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Aluminum International Engineering Corporation,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D4A2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2 013.14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2168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61B0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74.15</w:t>
            </w:r>
          </w:p>
        </w:tc>
      </w:tr>
      <w:tr w:rsidR="00A0308E" w:rsidRPr="003B10E2" w14:paraId="5C8164A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3CBE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Animal Husbandry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1354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1 688.54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6BE8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11.88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784E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58.32</w:t>
            </w:r>
          </w:p>
        </w:tc>
      </w:tr>
      <w:tr w:rsidR="00A0308E" w:rsidRPr="003B10E2" w14:paraId="332566E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0693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Automotive Engineering Research Institute,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11C1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2 907.28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EEEA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5554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163.76</w:t>
            </w:r>
          </w:p>
        </w:tc>
      </w:tr>
      <w:tr w:rsidR="00A0308E" w:rsidRPr="003B10E2" w14:paraId="388048B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8704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Avionics Systems,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28F40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3 883.14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271B1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14.39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46498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234.24</w:t>
            </w:r>
          </w:p>
        </w:tc>
      </w:tr>
      <w:tr w:rsidR="00A0308E" w:rsidRPr="003B10E2" w14:paraId="260B1FF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1770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Bester Group Telecom,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13C3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683.04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0B61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5961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52.09</w:t>
            </w:r>
          </w:p>
        </w:tc>
      </w:tr>
      <w:tr w:rsidR="00A0308E" w:rsidRPr="003B10E2" w14:paraId="532D11D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5D7A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Building Material Test &amp; Certification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F708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963.12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4D71E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11.40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7192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11.33</w:t>
            </w:r>
          </w:p>
        </w:tc>
      </w:tr>
      <w:tr w:rsidR="00A0308E" w:rsidRPr="003B10E2" w14:paraId="0FD2DDC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3083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Catalyst 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E803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543.97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9A93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22.06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D1DF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19.02</w:t>
            </w:r>
          </w:p>
        </w:tc>
      </w:tr>
      <w:tr w:rsidR="00A0308E" w:rsidRPr="003B10E2" w14:paraId="29D8BE6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1ECF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Chippacking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B730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392.78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8A41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26.41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BEA5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25.35</w:t>
            </w:r>
          </w:p>
        </w:tc>
      </w:tr>
      <w:tr w:rsidR="00A0308E" w:rsidRPr="003B10E2" w14:paraId="3F464BD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C555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Coal Energy,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3F7F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10 720.35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BC086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8.37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9B638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119.93</w:t>
            </w:r>
          </w:p>
        </w:tc>
      </w:tr>
      <w:tr w:rsidR="00A0308E" w:rsidRPr="003B10E2" w14:paraId="5CAE1F5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D9805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Coal Xinji Energy,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CF9F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1 479.17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D942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A655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57.86</w:t>
            </w:r>
          </w:p>
        </w:tc>
      </w:tr>
      <w:tr w:rsidR="00A0308E" w:rsidRPr="003B10E2" w14:paraId="2F209BC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4D53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Communications Construction,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4C14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17 393.57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784E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10.58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2700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496.25</w:t>
            </w:r>
          </w:p>
        </w:tc>
      </w:tr>
      <w:tr w:rsidR="00A0308E" w:rsidRPr="003B10E2" w14:paraId="6255F6F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4F5F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Construction Bank,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CC1F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8 740.43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94A1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D154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434.19</w:t>
            </w:r>
          </w:p>
        </w:tc>
      </w:tr>
      <w:tr w:rsidR="00A0308E" w:rsidRPr="003B10E2" w14:paraId="7E61077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162F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CSSC Holdings,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D63E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17 375.22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EA98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27.76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974C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1 597.76</w:t>
            </w:r>
          </w:p>
        </w:tc>
      </w:tr>
      <w:tr w:rsidR="00A0308E" w:rsidRPr="003B10E2" w14:paraId="5C651EE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8945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CYTS Tours 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105A6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1 341.21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7DD5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13.24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A2D22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139.83</w:t>
            </w:r>
          </w:p>
        </w:tc>
      </w:tr>
      <w:tr w:rsidR="00A0308E" w:rsidRPr="003B10E2" w14:paraId="256C854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02E2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Design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6A57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865.07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7B62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2E44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144.31</w:t>
            </w:r>
          </w:p>
        </w:tc>
      </w:tr>
      <w:tr w:rsidR="00A0308E" w:rsidRPr="003B10E2" w14:paraId="07EC928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10C6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Eastern Airlines,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63DB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9 086.41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B3F7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EC73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110.20</w:t>
            </w:r>
          </w:p>
        </w:tc>
      </w:tr>
      <w:tr w:rsidR="00A0308E" w:rsidRPr="003B10E2" w14:paraId="4EF0199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DCB7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Energy Engineering Corporation,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445B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10 755.87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3460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1B45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303.99</w:t>
            </w:r>
          </w:p>
        </w:tc>
      </w:tr>
      <w:tr w:rsidR="00A0308E" w:rsidRPr="003B10E2" w14:paraId="419048B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2813B"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China Enterprise,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4AA4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2 405.86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5F4C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D82D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32.65</w:t>
            </w:r>
          </w:p>
        </w:tc>
      </w:tr>
      <w:tr w:rsidR="00A0308E" w:rsidRPr="003B10E2" w14:paraId="4F00B3D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41940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Everbright Bank,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9AA3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18 230.01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2C9C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2D48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504.51</w:t>
            </w:r>
          </w:p>
        </w:tc>
      </w:tr>
      <w:tr w:rsidR="00A0308E" w:rsidRPr="003B10E2" w14:paraId="386970C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FDC5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Film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B4563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4 143.95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C2B5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15.86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7544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744.22</w:t>
            </w:r>
          </w:p>
        </w:tc>
      </w:tr>
      <w:tr w:rsidR="00A0308E" w:rsidRPr="003B10E2" w14:paraId="6788B4F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755E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First Heavy,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69AA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3 090.35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8443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F129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80.61</w:t>
            </w:r>
          </w:p>
        </w:tc>
      </w:tr>
      <w:tr w:rsidR="00A0308E" w:rsidRPr="003B10E2" w14:paraId="5413498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37BF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Fortune Land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68AF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1 270.71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E0B5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5B87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106.20</w:t>
            </w:r>
          </w:p>
        </w:tc>
      </w:tr>
      <w:tr w:rsidR="00A0308E" w:rsidRPr="003B10E2" w14:paraId="15FAE72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7DF9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Galaxy Securities,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4A464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10 239.34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6ED2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11.35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40BF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580.36</w:t>
            </w:r>
          </w:p>
        </w:tc>
      </w:tr>
      <w:tr w:rsidR="00A0308E" w:rsidRPr="003B10E2" w14:paraId="7684719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3A64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Grand Automotive Services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DDD9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2 463.22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A926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EEA6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165.04</w:t>
            </w:r>
          </w:p>
        </w:tc>
      </w:tr>
      <w:tr w:rsidR="00A0308E" w:rsidRPr="003B10E2" w14:paraId="50B4521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5F8A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Hainan Rubber Industry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1205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2 766.91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E3A01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1B2C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65.92</w:t>
            </w:r>
          </w:p>
        </w:tc>
      </w:tr>
      <w:tr w:rsidR="00A0308E" w:rsidRPr="003B10E2" w14:paraId="71BB706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DEF1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Hi-tech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89D15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567.32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0F93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530B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231.01</w:t>
            </w:r>
          </w:p>
        </w:tc>
      </w:tr>
      <w:tr w:rsidR="00A0308E" w:rsidRPr="003B10E2" w14:paraId="208B312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4084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Industrial Securities,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E80C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5 744.96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AE5AB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AAF7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191.69</w:t>
            </w:r>
          </w:p>
        </w:tc>
      </w:tr>
      <w:tr w:rsidR="00A0308E" w:rsidRPr="003B10E2" w14:paraId="72C8521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A018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International Capital Corporation (CICC),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9A01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16 058.92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04CF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607D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355.91</w:t>
            </w:r>
          </w:p>
        </w:tc>
      </w:tr>
      <w:tr w:rsidR="00A0308E" w:rsidRPr="003B10E2" w14:paraId="35B7146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0348F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International Travel Service,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27C7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33 008.05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D306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120.80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5C29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1 711.75</w:t>
            </w:r>
          </w:p>
        </w:tc>
      </w:tr>
      <w:tr w:rsidR="00A0308E" w:rsidRPr="003B10E2" w14:paraId="24A571F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60BC8"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China Jushi,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ECE1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7 753.61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66CA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13.84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22F8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102.47</w:t>
            </w:r>
          </w:p>
        </w:tc>
      </w:tr>
      <w:tr w:rsidR="00A0308E" w:rsidRPr="003B10E2" w14:paraId="1278B24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194C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Kings Resources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568C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994.27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1E6C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F082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56.93</w:t>
            </w:r>
          </w:p>
        </w:tc>
      </w:tr>
      <w:tr w:rsidR="00A0308E" w:rsidRPr="003B10E2" w14:paraId="58E4AE8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C667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Life Insurance,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4F70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110 565.35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54F5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37.94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916BE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256.64</w:t>
            </w:r>
          </w:p>
        </w:tc>
      </w:tr>
      <w:tr w:rsidR="00A0308E" w:rsidRPr="003B10E2" w14:paraId="667701C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8E47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Marine Information 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248A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2 627.50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A262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26.42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781B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73.12</w:t>
            </w:r>
          </w:p>
        </w:tc>
      </w:tr>
      <w:tr w:rsidR="00A0308E" w:rsidRPr="003B10E2" w14:paraId="6F084B3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CC62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Master Logistics,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B88B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342.22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96CC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F48C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10.73</w:t>
            </w:r>
          </w:p>
        </w:tc>
      </w:tr>
      <w:tr w:rsidR="00A0308E" w:rsidRPr="003B10E2" w14:paraId="1E89EB0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98087"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China Meheco,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479E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2 000.75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C5A25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13.38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163A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135.06</w:t>
            </w:r>
          </w:p>
        </w:tc>
      </w:tr>
      <w:tr w:rsidR="00A0308E" w:rsidRPr="003B10E2" w14:paraId="0179EF5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9EC5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Merchants Bank,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DABE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97 377.97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8FAB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33.73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6F5A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779.06</w:t>
            </w:r>
          </w:p>
        </w:tc>
      </w:tr>
      <w:tr w:rsidR="00A0308E" w:rsidRPr="003B10E2" w14:paraId="1F1ECA0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DFABE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Merchants Energy Shipping,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1B75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6 876.15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2AF4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BA7B7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368.93</w:t>
            </w:r>
          </w:p>
        </w:tc>
      </w:tr>
      <w:tr w:rsidR="00A0308E" w:rsidRPr="003B10E2" w14:paraId="51A93E6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38A9C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Merchants Securities,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55B0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14 427.49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3115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13.89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DD82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112.06</w:t>
            </w:r>
          </w:p>
        </w:tc>
      </w:tr>
      <w:tr w:rsidR="00A0308E" w:rsidRPr="003B10E2" w14:paraId="5CD5766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CF71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Minsheng Banking,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2F6A1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19 652.93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50A0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EB86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243.88</w:t>
            </w:r>
          </w:p>
        </w:tc>
      </w:tr>
      <w:tr w:rsidR="00A0308E" w:rsidRPr="003B10E2" w14:paraId="75BD1CD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B1FBD"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China Mobile,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D477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12 320.75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C583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97.52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1B6C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1 412.83</w:t>
            </w:r>
          </w:p>
        </w:tc>
      </w:tr>
      <w:tr w:rsidR="00A0308E" w:rsidRPr="003B10E2" w14:paraId="113D45F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79727"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China Molybdenum,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E9E8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13 276.22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54F93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967B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278.13</w:t>
            </w:r>
          </w:p>
        </w:tc>
      </w:tr>
      <w:tr w:rsidR="00A0308E" w:rsidRPr="003B10E2" w14:paraId="434D463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267E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National Chemical Engineering,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7F75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6 925.58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8549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10C9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420.02</w:t>
            </w:r>
          </w:p>
        </w:tc>
      </w:tr>
      <w:tr w:rsidR="00A0308E" w:rsidRPr="003B10E2" w14:paraId="6CB04A1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A7BE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National Electric Apparatus Research Institute,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013C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1 325.78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472D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23.42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78ED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51.58</w:t>
            </w:r>
          </w:p>
        </w:tc>
      </w:tr>
      <w:tr w:rsidR="00A0308E" w:rsidRPr="003B10E2" w14:paraId="1AD259F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728B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National Gold Group Gold Jewellery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22F6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2 837.81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249D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12.07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8278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123.67</w:t>
            </w:r>
          </w:p>
        </w:tc>
      </w:tr>
      <w:tr w:rsidR="00A0308E" w:rsidRPr="003B10E2" w14:paraId="71900FF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30BD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National Medicines,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AE5A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3 724.21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9966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35.27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CD47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623.44</w:t>
            </w:r>
          </w:p>
        </w:tc>
      </w:tr>
      <w:tr w:rsidR="00A0308E" w:rsidRPr="003B10E2" w14:paraId="050EA91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1EAD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National Nuclear 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B589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18 121.13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2062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91C3B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431.85</w:t>
            </w:r>
          </w:p>
        </w:tc>
      </w:tr>
      <w:tr w:rsidR="00A0308E" w:rsidRPr="003B10E2" w14:paraId="19AEBE6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8934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National Software &amp; Service,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68A5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3 393.52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E6285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49.03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73BD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950.45</w:t>
            </w:r>
          </w:p>
        </w:tc>
      </w:tr>
      <w:tr w:rsidR="00A0308E" w:rsidRPr="003B10E2" w14:paraId="710593E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C655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Northern Rare Earth Group High-Tech,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7A8B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12 075.48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081F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23.75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5F85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286.63</w:t>
            </w:r>
          </w:p>
        </w:tc>
      </w:tr>
      <w:tr w:rsidR="00A0308E" w:rsidRPr="003B10E2" w14:paraId="77950A3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8AEE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Nuclear Engineering,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2AE2F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3 095.06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1A16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8.35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9C26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88.38</w:t>
            </w:r>
          </w:p>
        </w:tc>
      </w:tr>
      <w:tr w:rsidR="00A0308E" w:rsidRPr="003B10E2" w14:paraId="433D5D3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6D84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Oilfield Services,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3B0B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5 717.51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E908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A77A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59.80</w:t>
            </w:r>
          </w:p>
        </w:tc>
      </w:tr>
      <w:tr w:rsidR="00A0308E" w:rsidRPr="003B10E2" w14:paraId="37D1194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E0A7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Pacific Insurance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4E20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28 499.05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116F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29.75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AE07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731.44</w:t>
            </w:r>
          </w:p>
        </w:tc>
      </w:tr>
      <w:tr w:rsidR="00A0308E" w:rsidRPr="003B10E2" w14:paraId="6E312D4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49F6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Petroleum Engineering,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3F2A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3 031.64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FFDF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E500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296.54</w:t>
            </w:r>
          </w:p>
        </w:tc>
      </w:tr>
      <w:tr w:rsidR="00A0308E" w:rsidRPr="003B10E2" w14:paraId="6C9F321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3E07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Publishing &amp; Media Holdings,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78BB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3 568.23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9201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0D60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1 384.90</w:t>
            </w:r>
          </w:p>
        </w:tc>
      </w:tr>
      <w:tr w:rsidR="00A0308E" w:rsidRPr="003B10E2" w14:paraId="009ADB9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527A7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Railway Construction Corporation,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22CA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16 307.87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71C2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064E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996.83</w:t>
            </w:r>
          </w:p>
        </w:tc>
      </w:tr>
      <w:tr w:rsidR="00A0308E" w:rsidRPr="003B10E2" w14:paraId="16E7B5B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7E1A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Railway Construction Heavy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C80EA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3 814.17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5B7F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030A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167.39</w:t>
            </w:r>
          </w:p>
        </w:tc>
      </w:tr>
      <w:tr w:rsidR="00A0308E" w:rsidRPr="003B10E2" w14:paraId="3EA80BF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3CE2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Railway Erju Group Corporation,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798F3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2 984.66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78A01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1EA5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125.06</w:t>
            </w:r>
          </w:p>
        </w:tc>
      </w:tr>
      <w:tr w:rsidR="00A0308E" w:rsidRPr="003B10E2" w14:paraId="6E196D7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F959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Railway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B792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21 754.16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4CF0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7EA6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1 986.37</w:t>
            </w:r>
          </w:p>
        </w:tc>
      </w:tr>
      <w:tr w:rsidR="00A0308E" w:rsidRPr="003B10E2" w14:paraId="606661C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8DFC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Railway Harbin Group of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FD604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4851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203B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8.48</w:t>
            </w:r>
          </w:p>
        </w:tc>
      </w:tr>
      <w:tr w:rsidR="00A0308E" w:rsidRPr="003B10E2" w14:paraId="57FC08C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1A2E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Railway High-speed Electrification Equipment,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4283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510.29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D71F0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DCB4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32.31</w:t>
            </w:r>
          </w:p>
        </w:tc>
      </w:tr>
      <w:tr w:rsidR="00A0308E" w:rsidRPr="003B10E2" w14:paraId="205F7D7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9BE0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Railway Signal &amp; Communication Corporation,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B85B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6 913.22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62E8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3B18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155.09</w:t>
            </w:r>
          </w:p>
        </w:tc>
      </w:tr>
      <w:tr w:rsidR="00A0308E" w:rsidRPr="003B10E2" w14:paraId="7E2DC41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5DE34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Railway Tielong Container Logistics,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4DD7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1 136.43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1847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469D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129.85</w:t>
            </w:r>
          </w:p>
        </w:tc>
      </w:tr>
      <w:tr w:rsidR="00A0308E" w:rsidRPr="003B10E2" w14:paraId="033A8F3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93FF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Reform Culture Holdings,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6A50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949.48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65C1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15.18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7573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740.68</w:t>
            </w:r>
          </w:p>
        </w:tc>
      </w:tr>
      <w:tr w:rsidR="00A0308E" w:rsidRPr="003B10E2" w14:paraId="015AC39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3D79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Resource and Environment,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C37E3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925.06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D451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15A8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27.37</w:t>
            </w:r>
          </w:p>
        </w:tc>
      </w:tr>
      <w:tr w:rsidR="00A0308E" w:rsidRPr="003B10E2" w14:paraId="05B39AA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E237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Resources Double Crane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35B2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2 486.37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BF09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17.03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9D31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209.81</w:t>
            </w:r>
          </w:p>
        </w:tc>
      </w:tr>
      <w:tr w:rsidR="00A0308E" w:rsidRPr="003B10E2" w14:paraId="0165A6A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FEFB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Resources Microelectronics,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DB7E5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9 990.98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BBBE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54.08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4928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214.15</w:t>
            </w:r>
          </w:p>
        </w:tc>
      </w:tr>
      <w:tr w:rsidR="00A0308E" w:rsidRPr="003B10E2" w14:paraId="3D48F98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6055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Satellite Communications,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7C3C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10 048.28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F9C1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17.95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36C2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714.99</w:t>
            </w:r>
          </w:p>
        </w:tc>
      </w:tr>
      <w:tr w:rsidR="00A0308E" w:rsidRPr="003B10E2" w14:paraId="7D8A047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A407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Science Publishing &amp; Media,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A8999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4 648.63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9B0D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42.02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A2FB2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1 117.63</w:t>
            </w:r>
          </w:p>
        </w:tc>
      </w:tr>
      <w:tr w:rsidR="00A0308E" w:rsidRPr="003B10E2" w14:paraId="10D8AAC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D97E3A"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China Securities,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C57C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21 826.47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1406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24.01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2126C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237.72</w:t>
            </w:r>
          </w:p>
        </w:tc>
      </w:tr>
      <w:tr w:rsidR="00A0308E" w:rsidRPr="003B10E2" w14:paraId="4834B43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1D81DE"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China Security,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C041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395.02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64D3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CDC8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20.04</w:t>
            </w:r>
          </w:p>
        </w:tc>
      </w:tr>
      <w:tr w:rsidR="00A0308E" w:rsidRPr="003B10E2" w14:paraId="4E0A60F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3141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Shipbuilding Industry Company,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5F22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14 328.06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8509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852B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721.16</w:t>
            </w:r>
          </w:p>
        </w:tc>
      </w:tr>
      <w:tr w:rsidR="00A0308E" w:rsidRPr="003B10E2" w14:paraId="267CEA2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5E04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Shipbuilding Industry Group 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AF99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5 560.83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6B77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18.39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8B88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357.41</w:t>
            </w:r>
          </w:p>
        </w:tc>
      </w:tr>
      <w:tr w:rsidR="00A0308E" w:rsidRPr="003B10E2" w14:paraId="49D39A0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F36A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South Publishing &amp; Media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07AC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3 433.40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2595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13.66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B2C6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267.50</w:t>
            </w:r>
          </w:p>
        </w:tc>
      </w:tr>
      <w:tr w:rsidR="00A0308E" w:rsidRPr="003B10E2" w14:paraId="0D78022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7D46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Southern Airlines,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B7A0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10 836.73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57B3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4E5F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270.90</w:t>
            </w:r>
          </w:p>
        </w:tc>
      </w:tr>
      <w:tr w:rsidR="00A0308E" w:rsidRPr="003B10E2" w14:paraId="272A32E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7C44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Southern Power Grid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1820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2 843.45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717A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2F69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99.51</w:t>
            </w:r>
          </w:p>
        </w:tc>
      </w:tr>
      <w:tr w:rsidR="00A0308E" w:rsidRPr="003B10E2" w14:paraId="4366989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EB4B0"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China Spacesat,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67A5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4 519.46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00A2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27.31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1B2D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318.38</w:t>
            </w:r>
          </w:p>
        </w:tc>
      </w:tr>
      <w:tr w:rsidR="00A0308E" w:rsidRPr="003B10E2" w14:paraId="696E503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841A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Sports Industry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FA8B7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1 544.24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617A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5071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492.54</w:t>
            </w:r>
          </w:p>
        </w:tc>
      </w:tr>
      <w:tr w:rsidR="00A0308E" w:rsidRPr="003B10E2" w14:paraId="62758AC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7BA2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State Construction Engineering Corporation,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C324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35 223.43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24AD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D69E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1 091.33</w:t>
            </w:r>
          </w:p>
        </w:tc>
      </w:tr>
      <w:tr w:rsidR="00A0308E" w:rsidRPr="003B10E2" w14:paraId="715FF55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AD54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Suntien Green Energy Corporation,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4F9D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2 849.06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12F9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B1A6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30.89</w:t>
            </w:r>
          </w:p>
        </w:tc>
      </w:tr>
      <w:tr w:rsidR="00A0308E" w:rsidRPr="003B10E2" w14:paraId="029DDD6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51A34"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China Telecom,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AE48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67 140.40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DEC4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DD51F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1 378.40</w:t>
            </w:r>
          </w:p>
        </w:tc>
      </w:tr>
      <w:tr w:rsidR="00A0308E" w:rsidRPr="003B10E2" w14:paraId="689AD1C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3712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Television Media,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838D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917.81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8601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16.49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B857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479.27</w:t>
            </w:r>
          </w:p>
        </w:tc>
      </w:tr>
      <w:tr w:rsidR="00A0308E" w:rsidRPr="003B10E2" w14:paraId="08A6F11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FCDE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Three Gorges Renewables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B4A1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21 349.05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579F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5DCD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418.60</w:t>
            </w:r>
          </w:p>
        </w:tc>
      </w:tr>
      <w:tr w:rsidR="00A0308E" w:rsidRPr="003B10E2" w14:paraId="0A3FDD7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BBAED"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China Unicom,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ED91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22 420.91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AE34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EF7A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1 107.37</w:t>
            </w:r>
          </w:p>
        </w:tc>
      </w:tr>
      <w:tr w:rsidR="00A0308E" w:rsidRPr="003B10E2" w14:paraId="2454620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F2A1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United Travel,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E9FB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390.07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2879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7E68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24.11</w:t>
            </w:r>
          </w:p>
        </w:tc>
      </w:tr>
      <w:tr w:rsidR="00A0308E" w:rsidRPr="003B10E2" w14:paraId="750B4E6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15FD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Wafer Level CSP,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7796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1 210.69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92F4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21.19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7559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415.04</w:t>
            </w:r>
          </w:p>
        </w:tc>
      </w:tr>
      <w:tr w:rsidR="00A0308E" w:rsidRPr="003B10E2" w14:paraId="170C4D5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CC46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World Trade Center,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967EC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2 696.71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B55D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8EB0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31.98</w:t>
            </w:r>
          </w:p>
        </w:tc>
      </w:tr>
      <w:tr w:rsidR="00A0308E" w:rsidRPr="003B10E2" w14:paraId="6400146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0FE5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XD Electric,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A3EB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3 787.65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5275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3BA5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126.40</w:t>
            </w:r>
          </w:p>
        </w:tc>
      </w:tr>
      <w:tr w:rsidR="00A0308E" w:rsidRPr="003B10E2" w14:paraId="2CC4C77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BEF8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Yangtze 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244F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70 973.82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CE06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957A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931.61</w:t>
            </w:r>
          </w:p>
        </w:tc>
      </w:tr>
      <w:tr w:rsidR="00A0308E" w:rsidRPr="003B10E2" w14:paraId="535EC77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5B8C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Zheshang Bank,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DED1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6 409.39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CE2B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381F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635.78</w:t>
            </w:r>
          </w:p>
        </w:tc>
      </w:tr>
      <w:tr w:rsidR="00A0308E" w:rsidRPr="003B10E2" w14:paraId="1F95B92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7D48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China-Singapore Suzhou Industrial Park Development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425D1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1 955.03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A585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9.32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B7CF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30.80</w:t>
            </w:r>
          </w:p>
        </w:tc>
      </w:tr>
      <w:tr w:rsidR="00A0308E" w:rsidRPr="003B10E2" w14:paraId="53DB939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D6B4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Chinese Universe Publishing and Media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38852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3 284.54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8787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17.32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2448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397.13</w:t>
            </w:r>
          </w:p>
        </w:tc>
      </w:tr>
      <w:tr w:rsidR="00A0308E" w:rsidRPr="003B10E2" w14:paraId="3EF5F39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A93B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Chipsea Technologies (Shenzhen) Corp,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2080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482.12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BBF7D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015E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61.23</w:t>
            </w:r>
          </w:p>
        </w:tc>
      </w:tr>
      <w:tr w:rsidR="00A0308E" w:rsidRPr="003B10E2" w14:paraId="2DAC961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00262"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Chongqing Brewery,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871D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6 612.57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367D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97.63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2B7A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730.78</w:t>
            </w:r>
          </w:p>
        </w:tc>
      </w:tr>
      <w:tr w:rsidR="00A0308E" w:rsidRPr="003B10E2" w14:paraId="1C7D5C9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0736D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Chongqing Chuanyi Automation,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FB65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1 889.45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1FD9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34.18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A849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263.60</w:t>
            </w:r>
          </w:p>
        </w:tc>
      </w:tr>
      <w:tr w:rsidR="00A0308E" w:rsidRPr="003B10E2" w14:paraId="5916E86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4D3A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Chongqing Construction Engineering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7C71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886.26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DA40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9B4B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29.11</w:t>
            </w:r>
          </w:p>
        </w:tc>
      </w:tr>
      <w:tr w:rsidR="00A0308E" w:rsidRPr="003B10E2" w14:paraId="054E845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FD24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Chongqing Department Store,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1B89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1 738.65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4574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30.56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5C68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31.67</w:t>
            </w:r>
          </w:p>
        </w:tc>
      </w:tr>
      <w:tr w:rsidR="00A0308E" w:rsidRPr="003B10E2" w14:paraId="1A92369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88A4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Chongqing Dima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E6D6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563.47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7386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B54D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28.15</w:t>
            </w:r>
          </w:p>
        </w:tc>
      </w:tr>
      <w:tr w:rsidR="00A0308E" w:rsidRPr="003B10E2" w14:paraId="7527CA2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3FB3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Chongqing Fuling Electric Power Industrial,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9631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2 072.50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A673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19.43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6228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112.35</w:t>
            </w:r>
          </w:p>
        </w:tc>
      </w:tr>
      <w:tr w:rsidR="00A0308E" w:rsidRPr="003B10E2" w14:paraId="7E71E84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2C842"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Chongqing Gangjiu,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9452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679.35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E8CF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372A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13.09</w:t>
            </w:r>
          </w:p>
        </w:tc>
      </w:tr>
      <w:tr w:rsidR="00A0308E" w:rsidRPr="003B10E2" w14:paraId="30207F1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8B87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Chongqing Gas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F8C05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1 475.57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8664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7CDD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13.97</w:t>
            </w:r>
          </w:p>
        </w:tc>
      </w:tr>
      <w:tr w:rsidR="00A0308E" w:rsidRPr="003B10E2" w14:paraId="04EAC39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90C0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Chongqing Iron &amp; Steel,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EF42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1 665.42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9824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C8301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29.72</w:t>
            </w:r>
          </w:p>
        </w:tc>
      </w:tr>
      <w:tr w:rsidR="00A0308E" w:rsidRPr="003B10E2" w14:paraId="4D4A3E2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D7568"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Chongqing QinAn M&amp;E,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DE78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641.72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9051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4CFF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64.10</w:t>
            </w:r>
          </w:p>
        </w:tc>
      </w:tr>
      <w:tr w:rsidR="00A0308E" w:rsidRPr="003B10E2" w14:paraId="3F93A2E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FEDD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Chongqing Road &amp; Bridge,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4DC8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896.49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CE51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D3FC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55.85</w:t>
            </w:r>
          </w:p>
        </w:tc>
      </w:tr>
      <w:tr w:rsidR="00A0308E" w:rsidRPr="003B10E2" w14:paraId="0A9F637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C94C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Chongqing Rural Commercial Bank,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4D74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4 913.49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4C7F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7450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103.45</w:t>
            </w:r>
          </w:p>
        </w:tc>
      </w:tr>
      <w:tr w:rsidR="00A0308E" w:rsidRPr="003B10E2" w14:paraId="6F39C92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B7FB9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Chongqing Sanfeng Environment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A9EA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1 665.23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5304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79017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38.31</w:t>
            </w:r>
          </w:p>
        </w:tc>
      </w:tr>
      <w:tr w:rsidR="00A0308E" w:rsidRPr="003B10E2" w14:paraId="33C7466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6F3B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Chongqing Sifang New Material,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FF0B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360.84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2A2C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14.96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0A8CC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4.22</w:t>
            </w:r>
          </w:p>
        </w:tc>
      </w:tr>
      <w:tr w:rsidR="00A0308E" w:rsidRPr="003B10E2" w14:paraId="77D6BF8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5637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Chongqing Sokon Industry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4C77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5 595.41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4B27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29.40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3E51D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2 352.59</w:t>
            </w:r>
          </w:p>
        </w:tc>
      </w:tr>
      <w:tr w:rsidR="00A0308E" w:rsidRPr="003B10E2" w14:paraId="56FA7C6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EAC1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Chongqing Taiji Industry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D70A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4 571.72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6D51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58.66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A805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720.19</w:t>
            </w:r>
          </w:p>
        </w:tc>
      </w:tr>
      <w:tr w:rsidR="00A0308E" w:rsidRPr="003B10E2" w14:paraId="7AB2C56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83130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Chongqing Three Gorges Water Conservancy &amp; Electric 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D88F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2 429.82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C905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A82A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77.67</w:t>
            </w:r>
          </w:p>
        </w:tc>
      </w:tr>
      <w:tr w:rsidR="00A0308E" w:rsidRPr="003B10E2" w14:paraId="43CEB21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B51D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Chongqing Wangbian Electric Group Corp,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E734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A298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18.35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8617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78.33</w:t>
            </w:r>
          </w:p>
        </w:tc>
      </w:tr>
      <w:tr w:rsidR="00A0308E" w:rsidRPr="003B10E2" w14:paraId="50FE119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41E1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Chongqing Wanli New Energy,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30F2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249.70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8367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11.64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D2B2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9.07</w:t>
            </w:r>
          </w:p>
        </w:tc>
      </w:tr>
      <w:tr w:rsidR="00A0308E" w:rsidRPr="003B10E2" w14:paraId="435AD92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4FF0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Chongqing Water 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8AC7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3 540.13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C89C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AD59C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26.79</w:t>
            </w:r>
          </w:p>
        </w:tc>
      </w:tr>
      <w:tr w:rsidR="00A0308E" w:rsidRPr="003B10E2" w14:paraId="0F4374C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9722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Chongqing Zaisheng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E0D5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434.28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309D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D564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34.05</w:t>
            </w:r>
          </w:p>
        </w:tc>
      </w:tr>
      <w:tr w:rsidR="00A0308E" w:rsidRPr="003B10E2" w14:paraId="5D1A243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2C1D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ChongQing Zhengchuan Pharmaceutical Packaging,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342C8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416.86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C15F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19.70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2D10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34.54</w:t>
            </w:r>
          </w:p>
        </w:tc>
      </w:tr>
      <w:tr w:rsidR="00A0308E" w:rsidRPr="003B10E2" w14:paraId="3B237EA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CBCB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CICT Mobile Communication,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12ED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3EF74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20EE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121.35</w:t>
            </w:r>
          </w:p>
        </w:tc>
      </w:tr>
      <w:tr w:rsidR="00A0308E" w:rsidRPr="003B10E2" w14:paraId="5491E9D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E9D5D"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CIG ShangHai,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7EAA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2 469.79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2CC4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69.05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3D36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4 487.37</w:t>
            </w:r>
          </w:p>
        </w:tc>
      </w:tr>
      <w:tr w:rsidR="00A0308E" w:rsidRPr="003B10E2" w14:paraId="7FB2A9E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C3B0C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Cinda Real Estate,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1581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1 859.88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D8B8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E88C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90.76</w:t>
            </w:r>
          </w:p>
        </w:tc>
      </w:tr>
      <w:tr w:rsidR="00A0308E" w:rsidRPr="003B10E2" w14:paraId="782630B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D4B82"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Cinda Securities,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66802"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0EDE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14.94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3238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615.97</w:t>
            </w:r>
          </w:p>
        </w:tc>
      </w:tr>
      <w:tr w:rsidR="00A0308E" w:rsidRPr="003B10E2" w14:paraId="4AE8243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75A9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Circuit Fabology Microelectronics Equipment,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BD7D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1 300.05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3D30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76.90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3ACC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180.00</w:t>
            </w:r>
          </w:p>
        </w:tc>
      </w:tr>
      <w:tr w:rsidR="00A0308E" w:rsidRPr="003B10E2" w14:paraId="68187D5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2F8C0"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Cisen Pharmaceutical,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DA74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952.92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649B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15.02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7014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69.17</w:t>
            </w:r>
          </w:p>
        </w:tc>
      </w:tr>
      <w:tr w:rsidR="00A0308E" w:rsidRPr="003B10E2" w14:paraId="1FB5F27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D8B8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CITIC Bank Corporation,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ED63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29 785.07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DC045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9E948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432.18</w:t>
            </w:r>
          </w:p>
        </w:tc>
      </w:tr>
      <w:tr w:rsidR="00A0308E" w:rsidRPr="003B10E2" w14:paraId="1FD4E0A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381C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CITIC Guoan Wine,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6216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1 206.21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D620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5D9E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21.02</w:t>
            </w:r>
          </w:p>
        </w:tc>
      </w:tr>
      <w:tr w:rsidR="00A0308E" w:rsidRPr="003B10E2" w14:paraId="4285A0E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AB1C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CITIC Heavy Industries,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2A34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2 398.81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E333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03BD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40.12</w:t>
            </w:r>
          </w:p>
        </w:tc>
      </w:tr>
      <w:tr w:rsidR="00A0308E" w:rsidRPr="003B10E2" w14:paraId="2E536E7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A4497"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CITIC Metal,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60EB3"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ECB8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4015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218.58</w:t>
            </w:r>
          </w:p>
        </w:tc>
      </w:tr>
      <w:tr w:rsidR="00A0308E" w:rsidRPr="003B10E2" w14:paraId="70E306C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2D17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CITIC Securities Company,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A4EB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34 114.53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DBB5A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581D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1 016.64</w:t>
            </w:r>
          </w:p>
        </w:tc>
      </w:tr>
      <w:tr w:rsidR="00A0308E" w:rsidRPr="003B10E2" w14:paraId="5075BF0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7A276"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Citychamp Dartong,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05C1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586.78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A96C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C847C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13.02</w:t>
            </w:r>
          </w:p>
        </w:tc>
      </w:tr>
      <w:tr w:rsidR="00A0308E" w:rsidRPr="003B10E2" w14:paraId="1829125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E82C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Clenergy Xiamen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BE33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574.77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85D1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8735D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29.53</w:t>
            </w:r>
          </w:p>
        </w:tc>
      </w:tr>
      <w:tr w:rsidR="00A0308E" w:rsidRPr="003B10E2" w14:paraId="6FBF2FB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20F10"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CloudWalk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8E023"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B53F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21.35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1F05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1 288.21</w:t>
            </w:r>
          </w:p>
        </w:tc>
      </w:tr>
      <w:tr w:rsidR="00A0308E" w:rsidRPr="003B10E2" w14:paraId="1590682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6A380"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CMST Development,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B308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1 717.85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5097E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F9CD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133.00</w:t>
            </w:r>
          </w:p>
        </w:tc>
      </w:tr>
      <w:tr w:rsidR="00A0308E" w:rsidRPr="003B10E2" w14:paraId="5AF4465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872A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CNOOC Energy Technology &amp; Services,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3BD1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4 452.70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9492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879C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81.02</w:t>
            </w:r>
          </w:p>
        </w:tc>
      </w:tr>
      <w:tr w:rsidR="00A0308E" w:rsidRPr="003B10E2" w14:paraId="1B2156E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A83C4"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CNOOC,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DD716"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13B8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18.02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4E63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1 104.89</w:t>
            </w:r>
          </w:p>
        </w:tc>
      </w:tr>
      <w:tr w:rsidR="00A0308E" w:rsidRPr="003B10E2" w14:paraId="4306243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EA95D"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CoCreation Grass,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4346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1 278.72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AD7D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22.70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7222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62.18</w:t>
            </w:r>
          </w:p>
        </w:tc>
      </w:tr>
      <w:tr w:rsidR="00A0308E" w:rsidRPr="003B10E2" w14:paraId="5F28F5A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A7F0A0"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COFCO Tunhe Sugar,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70F2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2 529.32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9C392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8A68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166.46</w:t>
            </w:r>
          </w:p>
        </w:tc>
      </w:tr>
      <w:tr w:rsidR="00A0308E" w:rsidRPr="003B10E2" w14:paraId="1C7D6AA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44655"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Comefly Outdoor,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AF5B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424.94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1F26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45.53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C5F3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40.41</w:t>
            </w:r>
          </w:p>
        </w:tc>
      </w:tr>
      <w:tr w:rsidR="00A0308E" w:rsidRPr="003B10E2" w14:paraId="2F38749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70EF1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COSCO Shipping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22E1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3 467.38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FDDF5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D3FE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50.65</w:t>
            </w:r>
          </w:p>
        </w:tc>
      </w:tr>
      <w:tr w:rsidR="00A0308E" w:rsidRPr="003B10E2" w14:paraId="5AD4920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DD237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COSCO SHIPPING Energy Transportation,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A5591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6 132.39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57227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12.64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3078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723.56</w:t>
            </w:r>
          </w:p>
        </w:tc>
      </w:tr>
      <w:tr w:rsidR="00A0308E" w:rsidRPr="003B10E2" w14:paraId="5553978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2AAB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COSCO Shipping Holdings,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B698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18 726.37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CF58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10.57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4320F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330.67</w:t>
            </w:r>
          </w:p>
        </w:tc>
      </w:tr>
      <w:tr w:rsidR="00A0308E" w:rsidRPr="003B10E2" w14:paraId="1D238AB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968B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COSCO Shipping Specialized Carriers,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4122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1 913.68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9F0F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DE91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147.42</w:t>
            </w:r>
          </w:p>
        </w:tc>
      </w:tr>
      <w:tr w:rsidR="00A0308E" w:rsidRPr="003B10E2" w14:paraId="5F771B9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C8DD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Cowealth Medical China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9DC9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461.81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FD63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A85A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21.51</w:t>
            </w:r>
          </w:p>
        </w:tc>
      </w:tr>
      <w:tr w:rsidR="00A0308E" w:rsidRPr="003B10E2" w14:paraId="20AE23F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A05E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Crown Advanced Material,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0986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587.64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27CA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25.59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5147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103.33</w:t>
            </w:r>
          </w:p>
        </w:tc>
      </w:tr>
      <w:tr w:rsidR="00A0308E" w:rsidRPr="003B10E2" w14:paraId="31F5D34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6B0AB"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CRRC Corporation,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4663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21 891.78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21A8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FAE7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476.96</w:t>
            </w:r>
          </w:p>
        </w:tc>
      </w:tr>
      <w:tr w:rsidR="00A0308E" w:rsidRPr="003B10E2" w14:paraId="476A2D3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6BA1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Crystal Growth &amp; Energy Equipment,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DA46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69B98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50.34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0026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192.61</w:t>
            </w:r>
          </w:p>
        </w:tc>
      </w:tr>
      <w:tr w:rsidR="00A0308E" w:rsidRPr="003B10E2" w14:paraId="4D79D80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6AA5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CSD Water Service,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0DCD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320.51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B5D24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1501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10.65</w:t>
            </w:r>
          </w:p>
        </w:tc>
      </w:tr>
      <w:tr w:rsidR="00A0308E" w:rsidRPr="003B10E2" w14:paraId="6EAF005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11FF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CSSC Offshore &amp; Marine Engineering Group Company,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4330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3 241.83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F572E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5AA9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411.93</w:t>
            </w:r>
          </w:p>
        </w:tc>
      </w:tr>
      <w:tr w:rsidR="00A0308E" w:rsidRPr="003B10E2" w14:paraId="2A8192B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C98A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CSSC Steel Structure Engineering,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99F3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2 449.19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E5C5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23.77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A7C5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1 554.23</w:t>
            </w:r>
          </w:p>
        </w:tc>
      </w:tr>
      <w:tr w:rsidR="00A0308E" w:rsidRPr="003B10E2" w14:paraId="5678D6A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6404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CTS International Logistics,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D072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1 728.11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7A2A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7D1C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63.62</w:t>
            </w:r>
          </w:p>
        </w:tc>
      </w:tr>
      <w:tr w:rsidR="00A0308E" w:rsidRPr="003B10E2" w14:paraId="092E3D5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D09B0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Cubic Sensor and Instrument,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7BF1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824.07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C9EE7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84.12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EAF7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27.16</w:t>
            </w:r>
          </w:p>
        </w:tc>
      </w:tr>
      <w:tr w:rsidR="00A0308E" w:rsidRPr="003B10E2" w14:paraId="7EC5E08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4665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Cultural Investment Holdings,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7A7E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656.75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0D92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87D2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90.18</w:t>
            </w:r>
          </w:p>
        </w:tc>
      </w:tr>
      <w:tr w:rsidR="00A0308E" w:rsidRPr="003B10E2" w14:paraId="02F9333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4D24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CWB Automotive Electronics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398E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887.96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CB43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15.70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AC94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12.41</w:t>
            </w:r>
          </w:p>
        </w:tc>
      </w:tr>
      <w:tr w:rsidR="00A0308E" w:rsidRPr="003B10E2" w14:paraId="5D6EDBE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F81B4"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Cybrid Technologies,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FA85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1 059.17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ADDB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18.73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783F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80.82</w:t>
            </w:r>
          </w:p>
        </w:tc>
      </w:tr>
      <w:tr w:rsidR="00A0308E" w:rsidRPr="003B10E2" w14:paraId="4808BC4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6C46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Daheng New Epoch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844B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724.38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19A1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11.85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0653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61.11</w:t>
            </w:r>
          </w:p>
        </w:tc>
      </w:tr>
      <w:tr w:rsidR="00A0308E" w:rsidRPr="003B10E2" w14:paraId="512B33C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C9DB8"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Dahu Aquaculture,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B5F6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409.48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8D2A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64CC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367.32</w:t>
            </w:r>
          </w:p>
        </w:tc>
      </w:tr>
      <w:tr w:rsidR="00A0308E" w:rsidRPr="003B10E2" w14:paraId="31F511A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6EEEFB"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Dali Pharmaceutical,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2CCC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318.54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7C87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10.36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2431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11.41</w:t>
            </w:r>
          </w:p>
        </w:tc>
      </w:tr>
      <w:tr w:rsidR="00A0308E" w:rsidRPr="003B10E2" w14:paraId="66FC8B8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3F82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Dalian Bio-Chem,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4F0D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371.24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D8A38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10.15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54A3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27.25</w:t>
            </w:r>
          </w:p>
        </w:tc>
      </w:tr>
      <w:tr w:rsidR="00A0308E" w:rsidRPr="003B10E2" w14:paraId="581961B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817D6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Dalian Energas Gas-System,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4BD9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443.32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96C1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8.38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5BDA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59.11</w:t>
            </w:r>
          </w:p>
        </w:tc>
      </w:tr>
      <w:tr w:rsidR="00A0308E" w:rsidRPr="003B10E2" w14:paraId="7A3AF30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6B69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Dalian Port (PDA),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6DA0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4 163.29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61F7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2226E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58.24</w:t>
            </w:r>
          </w:p>
        </w:tc>
      </w:tr>
      <w:tr w:rsidR="00A0308E" w:rsidRPr="003B10E2" w14:paraId="06EA194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A83E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Dalian Sunasia Tourism 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3E50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274.53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7084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15.23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55C7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21.63</w:t>
            </w:r>
          </w:p>
        </w:tc>
      </w:tr>
      <w:tr w:rsidR="00A0308E" w:rsidRPr="003B10E2" w14:paraId="7EA6E22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97C6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Dalian Thermal 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68F0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289.34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9D2E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E217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89.62</w:t>
            </w:r>
          </w:p>
        </w:tc>
      </w:tr>
      <w:tr w:rsidR="00A0308E" w:rsidRPr="003B10E2" w14:paraId="3AAB2C3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F62D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Danhua Chemical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F961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389.79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CDA5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816FD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7.40</w:t>
            </w:r>
          </w:p>
        </w:tc>
      </w:tr>
      <w:tr w:rsidR="00A0308E" w:rsidRPr="003B10E2" w14:paraId="58C06BC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CB456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Danhua Chemical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20C4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D0E4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0.15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98C8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0.03</w:t>
            </w:r>
          </w:p>
        </w:tc>
      </w:tr>
      <w:tr w:rsidR="00A0308E" w:rsidRPr="003B10E2" w14:paraId="0F0CC46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4C57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Daqian Ecology&amp;Environment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7EA8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288.90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C17E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15.21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DC5D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10.13</w:t>
            </w:r>
          </w:p>
        </w:tc>
      </w:tr>
      <w:tr w:rsidR="00A0308E" w:rsidRPr="003B10E2" w14:paraId="7231A54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71C26"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Daqin Railway,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FC64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15 750.12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58D8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3F6D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190.55</w:t>
            </w:r>
          </w:p>
        </w:tc>
      </w:tr>
      <w:tr w:rsidR="00A0308E" w:rsidRPr="003B10E2" w14:paraId="3D1E4FA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F0C81"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Darbond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F9E2E"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544B8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56.70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1C3B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64.99</w:t>
            </w:r>
          </w:p>
        </w:tc>
      </w:tr>
      <w:tr w:rsidR="00A0308E" w:rsidRPr="003B10E2" w14:paraId="5BF0FE8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34D8E"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Dareway Software,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312C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927.04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4667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16.56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B949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184.74</w:t>
            </w:r>
          </w:p>
        </w:tc>
      </w:tr>
      <w:tr w:rsidR="00A0308E" w:rsidRPr="003B10E2" w14:paraId="3669C84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0B943"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Dashang,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018B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766.62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18C2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18.65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ACCA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26.98</w:t>
            </w:r>
          </w:p>
        </w:tc>
      </w:tr>
      <w:tr w:rsidR="00A0308E" w:rsidRPr="003B10E2" w14:paraId="10190E7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5530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Dasheng Times Cultural Investment,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BF898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488.57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C43F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8CDB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211.68</w:t>
            </w:r>
          </w:p>
        </w:tc>
      </w:tr>
      <w:tr w:rsidR="00A0308E" w:rsidRPr="003B10E2" w14:paraId="7255491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BF5E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Dashenlin Pharmaceutical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51AC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3 062.77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81DE5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27.67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AE44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151.70</w:t>
            </w:r>
          </w:p>
        </w:tc>
      </w:tr>
      <w:tr w:rsidR="00A0308E" w:rsidRPr="003B10E2" w14:paraId="6230102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2FA5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Datang Huayin Electric 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B7C0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872.43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1115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C44FA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57.85</w:t>
            </w:r>
          </w:p>
        </w:tc>
      </w:tr>
      <w:tr w:rsidR="00A0308E" w:rsidRPr="003B10E2" w14:paraId="70C3D55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8B69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Datang International Power Generation,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B23D9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5 950.40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F279B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343F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186.14</w:t>
            </w:r>
          </w:p>
        </w:tc>
      </w:tr>
      <w:tr w:rsidR="00A0308E" w:rsidRPr="003B10E2" w14:paraId="532D752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DD412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Datang Telecom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A46D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1 263.06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DA59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65DE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42.70</w:t>
            </w:r>
          </w:p>
        </w:tc>
      </w:tr>
      <w:tr w:rsidR="00A0308E" w:rsidRPr="003B10E2" w14:paraId="0EE4103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369C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Datong Coal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CC0C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2 145.56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C0D1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04A0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65.45</w:t>
            </w:r>
          </w:p>
        </w:tc>
      </w:tr>
      <w:tr w:rsidR="00A0308E" w:rsidRPr="003B10E2" w14:paraId="1FAFDF1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EA73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Dawning Information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2647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11 012.42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40D0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53.78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3C3E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6 848.96</w:t>
            </w:r>
          </w:p>
        </w:tc>
      </w:tr>
      <w:tr w:rsidR="00A0308E" w:rsidRPr="003B10E2" w14:paraId="6BB5B46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D811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Dazhong Transportion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1D469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1 042.19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2ABBE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7F9C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39.35</w:t>
            </w:r>
          </w:p>
        </w:tc>
      </w:tr>
      <w:tr w:rsidR="00A0308E" w:rsidRPr="003B10E2" w14:paraId="2418B08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702A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Dazhong Transportion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E7B4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CBAE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0.22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BBEF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0.16</w:t>
            </w:r>
          </w:p>
        </w:tc>
      </w:tr>
      <w:tr w:rsidR="00A0308E" w:rsidRPr="003B10E2" w14:paraId="16B3D49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87BB0"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Dazzle Fashion,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DF09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1 002.63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2DE8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14.89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F40B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19.32</w:t>
            </w:r>
          </w:p>
        </w:tc>
      </w:tr>
      <w:tr w:rsidR="00A0308E" w:rsidRPr="003B10E2" w14:paraId="36FE6C8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EE88B"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DBAPP Security,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BC78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2 056.58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183B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187.19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27EEB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193.03</w:t>
            </w:r>
          </w:p>
        </w:tc>
      </w:tr>
      <w:tr w:rsidR="00A0308E" w:rsidRPr="003B10E2" w14:paraId="19D238D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73749"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Decai Decoration,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0D21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330.28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8D61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23.60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ABF8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17.73</w:t>
            </w:r>
          </w:p>
        </w:tc>
      </w:tr>
      <w:tr w:rsidR="00A0308E" w:rsidRPr="003B10E2" w14:paraId="5109D45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C830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Delixi Xinjiang Transportation,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A757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815.20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9F1C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34.81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DC85E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192.30</w:t>
            </w:r>
          </w:p>
        </w:tc>
      </w:tr>
      <w:tr w:rsidR="00A0308E" w:rsidRPr="003B10E2" w14:paraId="2059074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5181B"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Deluxe Family,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A844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659.26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046D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B9B4C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150.38</w:t>
            </w:r>
          </w:p>
        </w:tc>
      </w:tr>
      <w:tr w:rsidR="00A0308E" w:rsidRPr="003B10E2" w14:paraId="50BF4FC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781964"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Deppon Logistics,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2BD7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2 132.82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B312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14.84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A9F5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37.67</w:t>
            </w:r>
          </w:p>
        </w:tc>
      </w:tr>
      <w:tr w:rsidR="00A0308E" w:rsidRPr="003B10E2" w14:paraId="3A5461C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36AB7"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Dioo Microcircuits,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1D2E2"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4113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33.66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5B1D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102.93</w:t>
            </w:r>
          </w:p>
        </w:tc>
      </w:tr>
      <w:tr w:rsidR="00A0308E" w:rsidRPr="003B10E2" w14:paraId="137C58D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876B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Dizal (Jiangsu)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05A9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2 186.79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077E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38.66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5787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38.36</w:t>
            </w:r>
          </w:p>
        </w:tc>
      </w:tr>
      <w:tr w:rsidR="00A0308E" w:rsidRPr="003B10E2" w14:paraId="3288F4C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9B6A8"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Dongfang Electric,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1107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6 724.36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273D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17.29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3A0B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240.47</w:t>
            </w:r>
          </w:p>
        </w:tc>
      </w:tr>
      <w:tr w:rsidR="00A0308E" w:rsidRPr="003B10E2" w14:paraId="7641F3A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44D64"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Dongfeng Automobile,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9C4E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1 634.60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C3A80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1499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114.43</w:t>
            </w:r>
          </w:p>
        </w:tc>
      </w:tr>
      <w:tr w:rsidR="00A0308E" w:rsidRPr="003B10E2" w14:paraId="6B8CBC6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D7C4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Dongfeng Electronic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485C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782.11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D1E0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11.88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5BA6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61.52</w:t>
            </w:r>
          </w:p>
        </w:tc>
      </w:tr>
      <w:tr w:rsidR="00A0308E" w:rsidRPr="003B10E2" w14:paraId="2DFCE33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3FA0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Dongguan Dingtong Precision Metal,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AE2B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899.00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74A1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2FBA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346.42</w:t>
            </w:r>
          </w:p>
        </w:tc>
      </w:tr>
      <w:tr w:rsidR="00A0308E" w:rsidRPr="003B10E2" w14:paraId="304E52A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5EC5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Dongguan Huali Industries,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83E9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268.99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4F14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1A12C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96.75</w:t>
            </w:r>
          </w:p>
        </w:tc>
      </w:tr>
      <w:tr w:rsidR="00A0308E" w:rsidRPr="003B10E2" w14:paraId="12CC9DF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590A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Dongzhu Ecological Environment Protection,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B5B8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664.26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2B2A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10.64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D0A2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39.23</w:t>
            </w:r>
          </w:p>
        </w:tc>
      </w:tr>
      <w:tr w:rsidR="00A0308E" w:rsidRPr="003B10E2" w14:paraId="2FDD32D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5E8D9"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Dosilicon,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2A2E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2 324.05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12CA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37.55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9B76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533.55</w:t>
            </w:r>
          </w:p>
        </w:tc>
      </w:tr>
      <w:tr w:rsidR="00A0308E" w:rsidRPr="003B10E2" w14:paraId="4E8F837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384D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Dr. Peng Telecom &amp; Media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B40A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1 285.05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2C5B1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FC7C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154.96</w:t>
            </w:r>
          </w:p>
        </w:tc>
      </w:tr>
      <w:tr w:rsidR="00A0308E" w:rsidRPr="003B10E2" w14:paraId="32BF99D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26CB3"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DuoLun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1096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697.95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1E64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BAD9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69.10</w:t>
            </w:r>
          </w:p>
        </w:tc>
      </w:tr>
      <w:tr w:rsidR="00A0308E" w:rsidRPr="003B10E2" w14:paraId="131A331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D2C4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Duzhe Publishing &amp; Media,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8D74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627.95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82BF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A924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339.58</w:t>
            </w:r>
          </w:p>
        </w:tc>
      </w:tr>
      <w:tr w:rsidR="00A0308E" w:rsidRPr="003B10E2" w14:paraId="4652196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7B56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Dynagreen Environmental Protection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7106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1 003.55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D0D1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1D1F9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26.85</w:t>
            </w:r>
          </w:p>
        </w:tc>
      </w:tr>
      <w:tr w:rsidR="00A0308E" w:rsidRPr="003B10E2" w14:paraId="4843304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5890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Earth-Panda Advanced Magnetic Material,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731C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284.60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E784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25.42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886A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43.49</w:t>
            </w:r>
          </w:p>
        </w:tc>
      </w:tr>
      <w:tr w:rsidR="00A0308E" w:rsidRPr="003B10E2" w14:paraId="186B9E5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FEBA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Eastern Air Logistics,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2174E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2 928.27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DF9E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13.18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94A7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52.07</w:t>
            </w:r>
          </w:p>
        </w:tc>
      </w:tr>
      <w:tr w:rsidR="00A0308E" w:rsidRPr="003B10E2" w14:paraId="40BA122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72069"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Eastern Communications,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93590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1 988.01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C19C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11.31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5708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136.18</w:t>
            </w:r>
          </w:p>
        </w:tc>
      </w:tr>
      <w:tr w:rsidR="00A0308E" w:rsidRPr="003B10E2" w14:paraId="25C3BE3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83837"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Eastern Communications,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717716"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2706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0.42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F823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0.18</w:t>
            </w:r>
          </w:p>
        </w:tc>
      </w:tr>
      <w:tr w:rsidR="00A0308E" w:rsidRPr="003B10E2" w14:paraId="6C051A0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61BD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Eastern Pioneer Driving School,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65C8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838.30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93A1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6F01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49.71</w:t>
            </w:r>
          </w:p>
        </w:tc>
      </w:tr>
      <w:tr w:rsidR="00A0308E" w:rsidRPr="003B10E2" w14:paraId="065647D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4C54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Eastroc Beverage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01D5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9 607.97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34EF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171.63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8BC2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162.49</w:t>
            </w:r>
          </w:p>
        </w:tc>
      </w:tr>
      <w:tr w:rsidR="00A0308E" w:rsidRPr="003B10E2" w14:paraId="42B53B4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F7ECA"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Ecovacs Robotics,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FEA3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5 600.67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4A24B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69.73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F524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266.77</w:t>
            </w:r>
          </w:p>
        </w:tc>
      </w:tr>
      <w:tr w:rsidR="00A0308E" w:rsidRPr="003B10E2" w14:paraId="080329B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0BEF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EFORT Intelligent Equipment,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A898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692.25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A052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4D3E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36.48</w:t>
            </w:r>
          </w:p>
        </w:tc>
      </w:tr>
      <w:tr w:rsidR="00A0308E" w:rsidRPr="003B10E2" w14:paraId="270A1A6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49D5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EGing Photovoltaic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5B5A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1 162.28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5A7D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4F8D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668.70</w:t>
            </w:r>
          </w:p>
        </w:tc>
      </w:tr>
      <w:tr w:rsidR="00A0308E" w:rsidRPr="003B10E2" w14:paraId="42585D1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A3CF4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Elion Clean Energy,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3221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1 594.57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0BE8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91A0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65.02</w:t>
            </w:r>
          </w:p>
        </w:tc>
      </w:tr>
      <w:tr w:rsidR="00A0308E" w:rsidRPr="003B10E2" w14:paraId="6FD436D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8912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EmbedWay Technologies Shanghai,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45AE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457.15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81424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14.33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8E4F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50.27</w:t>
            </w:r>
          </w:p>
        </w:tc>
      </w:tr>
      <w:tr w:rsidR="00A0308E" w:rsidRPr="003B10E2" w14:paraId="1C97786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48938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ENC Data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1399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824.65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1B975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11.68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8FE7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399.63</w:t>
            </w:r>
          </w:p>
        </w:tc>
      </w:tr>
      <w:tr w:rsidR="00A0308E" w:rsidRPr="003B10E2" w14:paraId="761F097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F3828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ENN Natural Gas,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25C5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7 507.43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D488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18.85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D525F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131.96</w:t>
            </w:r>
          </w:p>
        </w:tc>
      </w:tr>
      <w:tr w:rsidR="00A0308E" w:rsidRPr="003B10E2" w14:paraId="5086E27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BA064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Epoxy Base Electronic Material,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E82C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651.45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B77E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4164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11.70</w:t>
            </w:r>
          </w:p>
        </w:tc>
      </w:tr>
      <w:tr w:rsidR="00A0308E" w:rsidRPr="003B10E2" w14:paraId="03322D3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B4FD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Espressif Systems Shanghai,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3C08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1 705.15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ED74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152.00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B6D5B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322.54</w:t>
            </w:r>
          </w:p>
        </w:tc>
      </w:tr>
      <w:tr w:rsidR="00A0308E" w:rsidRPr="003B10E2" w14:paraId="75361A3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FD7F5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Essence Information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BA0E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14.54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7818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A1BF5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4.12</w:t>
            </w:r>
          </w:p>
        </w:tc>
      </w:tr>
      <w:tr w:rsidR="00A0308E" w:rsidRPr="003B10E2" w14:paraId="3424B1B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96164"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Eurocrane China,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9FAE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508.56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AD43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B541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29.22</w:t>
            </w:r>
          </w:p>
        </w:tc>
      </w:tr>
      <w:tr w:rsidR="00A0308E" w:rsidRPr="003B10E2" w14:paraId="4AAA17C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3AE3F"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Everbright Jiabao,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09A2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635.93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25A58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CE99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38.70</w:t>
            </w:r>
          </w:p>
        </w:tc>
      </w:tr>
      <w:tr w:rsidR="00A0308E" w:rsidRPr="003B10E2" w14:paraId="1D0CBA9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E0F0B"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Everbright Securities,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4013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8 796.97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5FB4A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16.09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27FC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611.19</w:t>
            </w:r>
          </w:p>
        </w:tc>
      </w:tr>
      <w:tr w:rsidR="00A0308E" w:rsidRPr="003B10E2" w14:paraId="17FD131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F8076"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Everdisplay Optronics,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FF28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5 044.10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7FFB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9945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39.03</w:t>
            </w:r>
          </w:p>
        </w:tc>
      </w:tr>
      <w:tr w:rsidR="00A0308E" w:rsidRPr="003B10E2" w14:paraId="44BC421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3383E"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Eyebright,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1944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2 915.74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1C43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198.16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0CE0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107.96</w:t>
            </w:r>
          </w:p>
        </w:tc>
      </w:tr>
      <w:tr w:rsidR="00A0308E" w:rsidRPr="003B10E2" w14:paraId="7B1FCC7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0A05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Fangda Carbon New Material,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3C24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3 323.67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02E9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88E8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60.71</w:t>
            </w:r>
          </w:p>
        </w:tc>
      </w:tr>
      <w:tr w:rsidR="00A0308E" w:rsidRPr="003B10E2" w14:paraId="04B50E6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4F19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Fangda Special Steel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5E6F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1 406.02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B07F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CCA3C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28.01</w:t>
            </w:r>
          </w:p>
        </w:tc>
      </w:tr>
      <w:tr w:rsidR="00A0308E" w:rsidRPr="003B10E2" w14:paraId="6143CB8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61C7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Far East Smarter Energy,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00BE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1 624.41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4851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33835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31.14</w:t>
            </w:r>
          </w:p>
        </w:tc>
      </w:tr>
      <w:tr w:rsidR="00A0308E" w:rsidRPr="003B10E2" w14:paraId="4430A8D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4934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Farasis Energy Gan Zhou,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1CC7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3 347.39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3E301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22.34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7205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75.89</w:t>
            </w:r>
          </w:p>
        </w:tc>
      </w:tr>
      <w:tr w:rsidR="00A0308E" w:rsidRPr="003B10E2" w14:paraId="14E2567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9DDB4"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Farsoon Technologies,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4B1290"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405C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31.12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EEA6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92.73</w:t>
            </w:r>
          </w:p>
        </w:tc>
      </w:tr>
      <w:tr w:rsidR="00A0308E" w:rsidRPr="003B10E2" w14:paraId="16E141C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BFB2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Fiberhome Telecommunication Technologies,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F04E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3 642.20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BBD7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21.91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FD31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726.19</w:t>
            </w:r>
          </w:p>
        </w:tc>
      </w:tr>
      <w:tr w:rsidR="00A0308E" w:rsidRPr="003B10E2" w14:paraId="4733EFD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A4C914"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Ficont Industry,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2EC0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532.64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62B6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34.60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CCEB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134.77</w:t>
            </w:r>
          </w:p>
        </w:tc>
      </w:tr>
      <w:tr w:rsidR="00A0308E" w:rsidRPr="003B10E2" w14:paraId="41E131C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4FA60"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First Tractor,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6049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1 136.65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B459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A5E5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19.19</w:t>
            </w:r>
          </w:p>
        </w:tc>
      </w:tr>
      <w:tr w:rsidR="00A0308E" w:rsidRPr="003B10E2" w14:paraId="38AF889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0604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Flat Glass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AB00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7 746.51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0D35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32.62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B88AB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247.32</w:t>
            </w:r>
          </w:p>
        </w:tc>
      </w:tr>
      <w:tr w:rsidR="00A0308E" w:rsidRPr="003B10E2" w14:paraId="2B23DCB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7121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Flower King Eco-Engineering,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E006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199.69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1650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D849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25.31</w:t>
            </w:r>
          </w:p>
        </w:tc>
      </w:tr>
      <w:tr w:rsidR="00A0308E" w:rsidRPr="003B10E2" w14:paraId="14380A0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7F044"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Flying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91DA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316.69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622A1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F5793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10.81</w:t>
            </w:r>
          </w:p>
        </w:tc>
      </w:tr>
      <w:tr w:rsidR="00A0308E" w:rsidRPr="003B10E2" w14:paraId="5DE00E9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64AE5"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Focuslight Technologies,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4198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1 382.35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4C7F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109.80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D8C3E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261.55</w:t>
            </w:r>
          </w:p>
        </w:tc>
      </w:tr>
      <w:tr w:rsidR="00A0308E" w:rsidRPr="003B10E2" w14:paraId="16F829B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DA8E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Forehope Electronic Ningbo,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666AA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691D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38.31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6953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131.40</w:t>
            </w:r>
          </w:p>
        </w:tc>
      </w:tr>
      <w:tr w:rsidR="00A0308E" w:rsidRPr="003B10E2" w14:paraId="5AF407A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5222E"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Fortior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D0A3D"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EA39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99.18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6EB7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100.65</w:t>
            </w:r>
          </w:p>
        </w:tc>
      </w:tr>
      <w:tr w:rsidR="00A0308E" w:rsidRPr="003B10E2" w14:paraId="1B83B9B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5655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Fortune Ng Fung Food Hebei,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D506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758.49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2A08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74AFA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17.62</w:t>
            </w:r>
          </w:p>
        </w:tc>
      </w:tr>
      <w:tr w:rsidR="00A0308E" w:rsidRPr="003B10E2" w14:paraId="61883FB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87AB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Foshan Haitian Flavouring and Food,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08CB7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29 483.02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739B2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50.01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3329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506.04</w:t>
            </w:r>
          </w:p>
        </w:tc>
      </w:tr>
      <w:tr w:rsidR="00A0308E" w:rsidRPr="003B10E2" w14:paraId="6A52D7E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040A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Founder Technology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DB20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900.01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331C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8549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0.00</w:t>
            </w:r>
          </w:p>
        </w:tc>
      </w:tr>
      <w:tr w:rsidR="00A0308E" w:rsidRPr="003B10E2" w14:paraId="3C94D04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1ED9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Foxconn Industrial Internet,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3D16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61 217.39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554A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22.02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E5F2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4 886.03</w:t>
            </w:r>
          </w:p>
        </w:tc>
      </w:tr>
      <w:tr w:rsidR="00A0308E" w:rsidRPr="003B10E2" w14:paraId="76E83D9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80D37"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Friend Co,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FB86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740.27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1C42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12.16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DB36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17.18</w:t>
            </w:r>
          </w:p>
        </w:tc>
      </w:tr>
      <w:tr w:rsidR="00A0308E" w:rsidRPr="003B10E2" w14:paraId="740FF69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005DA"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Frontier Biotechnologies,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D4BF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544.76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93A4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10.82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D519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19.85</w:t>
            </w:r>
          </w:p>
        </w:tc>
      </w:tr>
      <w:tr w:rsidR="00A0308E" w:rsidRPr="003B10E2" w14:paraId="71EABE9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46F9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Fsilon Furnishing and Construction Materials Corporation,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A3D7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253.26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5B66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14.01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29C8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14.92</w:t>
            </w:r>
          </w:p>
        </w:tc>
      </w:tr>
      <w:tr w:rsidR="00A0308E" w:rsidRPr="003B10E2" w14:paraId="1C3CEBE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F0D8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Fuda Alloy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80B4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296.41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584F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15.39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A362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33.08</w:t>
            </w:r>
          </w:p>
        </w:tc>
      </w:tr>
      <w:tr w:rsidR="00A0308E" w:rsidRPr="003B10E2" w14:paraId="36955F2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40145"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Fujian Anjoy Foods,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219EE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6 396.94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A519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155.84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9253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349.12</w:t>
            </w:r>
          </w:p>
        </w:tc>
      </w:tr>
      <w:tr w:rsidR="00A0308E" w:rsidRPr="003B10E2" w14:paraId="48E8877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079D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Fujian Aonong Biological Technology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0088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894.61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4C6F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9.34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61BEF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76.24</w:t>
            </w:r>
          </w:p>
        </w:tc>
      </w:tr>
      <w:tr w:rsidR="00A0308E" w:rsidRPr="003B10E2" w14:paraId="68054F6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0AEE1"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Fujian Apex Software,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1A36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1 332.61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5E8E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55.71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4BAF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87.82</w:t>
            </w:r>
          </w:p>
        </w:tc>
      </w:tr>
      <w:tr w:rsidR="00A0308E" w:rsidRPr="003B10E2" w14:paraId="35B475F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4F445"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Fujian Cement,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BD59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325.14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D78C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FB80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10.17</w:t>
            </w:r>
          </w:p>
        </w:tc>
      </w:tr>
      <w:tr w:rsidR="00A0308E" w:rsidRPr="003B10E2" w14:paraId="3FDB7E8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E0A6C"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Fujian Dongbai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2C9F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500.31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8A144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3950B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14.67</w:t>
            </w:r>
          </w:p>
        </w:tc>
      </w:tr>
      <w:tr w:rsidR="00A0308E" w:rsidRPr="003B10E2" w14:paraId="42B017F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13A3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Fujian Expressway Development Company,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3F70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1 190.63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96CB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D5F5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27.07</w:t>
            </w:r>
          </w:p>
        </w:tc>
      </w:tr>
      <w:tr w:rsidR="00A0308E" w:rsidRPr="003B10E2" w14:paraId="53537DD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3A2B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Fujian Forecam Optics,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D60D5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517.13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B7C5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24.06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D90A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16.80</w:t>
            </w:r>
          </w:p>
        </w:tc>
      </w:tr>
      <w:tr w:rsidR="00A0308E" w:rsidRPr="003B10E2" w14:paraId="6F990CC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F376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Fujian Foxit Software Development Joint Stock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E7C1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1 102.93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C0F6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163.71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76BA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218.99</w:t>
            </w:r>
          </w:p>
        </w:tc>
      </w:tr>
      <w:tr w:rsidR="00A0308E" w:rsidRPr="003B10E2" w14:paraId="4648B4B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D0457"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Fujian Funeng,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C5EC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3 156.59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D356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11.54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6E8A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108.85</w:t>
            </w:r>
          </w:p>
        </w:tc>
      </w:tr>
      <w:tr w:rsidR="00A0308E" w:rsidRPr="003B10E2" w14:paraId="19A8025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902E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Fujian Furi 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23E6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522.82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FC18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FBA3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154.36</w:t>
            </w:r>
          </w:p>
        </w:tc>
      </w:tr>
      <w:tr w:rsidR="00A0308E" w:rsidRPr="003B10E2" w14:paraId="7CC90CE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D763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Fujian Fynex Textile Science &amp;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D6DA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208.98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39C2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AFFE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11.05</w:t>
            </w:r>
          </w:p>
        </w:tc>
      </w:tr>
      <w:tr w:rsidR="00A0308E" w:rsidRPr="003B10E2" w14:paraId="5D190BC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1B43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Fujian Haixia Environmental Protection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C87C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388.08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12A7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7F7C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15.33</w:t>
            </w:r>
          </w:p>
        </w:tc>
      </w:tr>
      <w:tr w:rsidR="00A0308E" w:rsidRPr="003B10E2" w14:paraId="31C8D08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652A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Fujian Highton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FE67D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2E81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17.23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EA8A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14.11</w:t>
            </w:r>
          </w:p>
        </w:tc>
      </w:tr>
      <w:tr w:rsidR="00A0308E" w:rsidRPr="003B10E2" w14:paraId="6CD3965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F4BE5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Fujian Kuncai Material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3797C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3 419.53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77F4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52.21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B48C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74.88</w:t>
            </w:r>
          </w:p>
        </w:tc>
      </w:tr>
      <w:tr w:rsidR="00A0308E" w:rsidRPr="003B10E2" w14:paraId="301B02D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A78B9"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Fujian Longking,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5F5D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2 570.36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558D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17.18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E86E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116.62</w:t>
            </w:r>
          </w:p>
        </w:tc>
      </w:tr>
      <w:tr w:rsidR="00A0308E" w:rsidRPr="003B10E2" w14:paraId="17F4A2A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9F78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Fujian Longma Environmental Sanitation Equipment,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90F8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571.23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60EC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9.82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0D1F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31.06</w:t>
            </w:r>
          </w:p>
        </w:tc>
      </w:tr>
      <w:tr w:rsidR="00A0308E" w:rsidRPr="003B10E2" w14:paraId="7417745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11FB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Fujian Longxi Bearing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B502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460.75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FC93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7B21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20.10</w:t>
            </w:r>
          </w:p>
        </w:tc>
      </w:tr>
      <w:tr w:rsidR="00A0308E" w:rsidRPr="003B10E2" w14:paraId="5F5CFCA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72DF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Fujian Qingshan Paper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0AEFB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871.28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A0B0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A6E2F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211.80</w:t>
            </w:r>
          </w:p>
        </w:tc>
      </w:tr>
      <w:tr w:rsidR="00A0308E" w:rsidRPr="003B10E2" w14:paraId="5E9C197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4BED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Fujian Raynen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974A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597.87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DEA6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20.26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5B42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406.37</w:t>
            </w:r>
          </w:p>
        </w:tc>
      </w:tr>
      <w:tr w:rsidR="00A0308E" w:rsidRPr="003B10E2" w14:paraId="3CC2E18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B104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Fujian South Highway Machinery,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D3AC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4D83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24.04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7430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28.41</w:t>
            </w:r>
          </w:p>
        </w:tc>
      </w:tr>
      <w:tr w:rsidR="00A0308E" w:rsidRPr="003B10E2" w14:paraId="600F558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288D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Fujian Start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7FAD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1 173.67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FE5E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46F5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13.50</w:t>
            </w:r>
          </w:p>
        </w:tc>
      </w:tr>
      <w:tr w:rsidR="00A0308E" w:rsidRPr="003B10E2" w14:paraId="28AF3F3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0495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Fujian Supertech Advanced Material,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9BA9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337.89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8DB1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30.18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B163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15.05</w:t>
            </w:r>
          </w:p>
        </w:tc>
      </w:tr>
      <w:tr w:rsidR="00A0308E" w:rsidRPr="003B10E2" w14:paraId="0715DC6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95D5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Fujian Tianma Science and Technology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F11E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992.52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E73F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16.26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42C5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76.16</w:t>
            </w:r>
          </w:p>
        </w:tc>
      </w:tr>
      <w:tr w:rsidR="00A0308E" w:rsidRPr="003B10E2" w14:paraId="35CED26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40F6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Fujian Torch Electron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F31D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1 965.44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8D08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30.54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41AA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155.64</w:t>
            </w:r>
          </w:p>
        </w:tc>
      </w:tr>
      <w:tr w:rsidR="00A0308E" w:rsidRPr="003B10E2" w14:paraId="70CCBCB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9B41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FuJian YanJing HuiQuan Brewery,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FDDC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435.94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C174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12.46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6B00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134.09</w:t>
            </w:r>
          </w:p>
        </w:tc>
      </w:tr>
      <w:tr w:rsidR="00A0308E" w:rsidRPr="003B10E2" w14:paraId="68405D9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071C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Furen Group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A9DA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70.22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F54A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F78F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7.28</w:t>
            </w:r>
          </w:p>
        </w:tc>
      </w:tr>
      <w:tr w:rsidR="00A0308E" w:rsidRPr="003B10E2" w14:paraId="396945F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35D2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Fushun Special Steel,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A295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2 392.85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1C07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1230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208.71</w:t>
            </w:r>
          </w:p>
        </w:tc>
      </w:tr>
      <w:tr w:rsidR="00A0308E" w:rsidRPr="003B10E2" w14:paraId="6427A0E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D013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Fuyao Glass Industry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3C26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9 418.56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641E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33.60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A721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178.32</w:t>
            </w:r>
          </w:p>
        </w:tc>
      </w:tr>
      <w:tr w:rsidR="00A0308E" w:rsidRPr="003B10E2" w14:paraId="76761FD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5129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Fuzhou Rockchip 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60B2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4 700.37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7E0F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80.49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F3EB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427.01</w:t>
            </w:r>
          </w:p>
        </w:tc>
      </w:tr>
      <w:tr w:rsidR="00A0308E" w:rsidRPr="003B10E2" w14:paraId="14E40DC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1474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G-bits Network Technology Xiamen,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07B76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5 410.85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47B2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538.00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58DF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544.62</w:t>
            </w:r>
          </w:p>
        </w:tc>
      </w:tr>
      <w:tr w:rsidR="00A0308E" w:rsidRPr="003B10E2" w14:paraId="14DC0CB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25FFF"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GAC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596A0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10 771.50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5E88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5AC3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156.93</w:t>
            </w:r>
          </w:p>
        </w:tc>
      </w:tr>
      <w:tr w:rsidR="00A0308E" w:rsidRPr="003B10E2" w14:paraId="0CA1CE1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0FA22"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GalaxyCore,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8DDE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5 868.21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95511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16.78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5A4D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113.74</w:t>
            </w:r>
          </w:p>
        </w:tc>
      </w:tr>
      <w:tr w:rsidR="00A0308E" w:rsidRPr="003B10E2" w14:paraId="177863E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CC14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Gan &amp; Lee Pharmaceuticals,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F374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2 889.63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8760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36.77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4150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102.70</w:t>
            </w:r>
          </w:p>
        </w:tc>
      </w:tr>
      <w:tr w:rsidR="00A0308E" w:rsidRPr="003B10E2" w14:paraId="1660A88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D2FAC"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Ganso,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A870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641.86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B754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E362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45.94</w:t>
            </w:r>
          </w:p>
        </w:tc>
      </w:tr>
      <w:tr w:rsidR="00A0308E" w:rsidRPr="003B10E2" w14:paraId="3269073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2CF5A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Gansu Dunhuang Seed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9595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490.46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45B1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7FD3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56.01</w:t>
            </w:r>
          </w:p>
        </w:tc>
      </w:tr>
      <w:tr w:rsidR="00A0308E" w:rsidRPr="003B10E2" w14:paraId="3BAE7A5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758C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Gansu Guofang Industry &amp; Trade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469F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428.75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01BC4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13D0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214.60</w:t>
            </w:r>
          </w:p>
        </w:tc>
      </w:tr>
      <w:tr w:rsidR="00A0308E" w:rsidRPr="003B10E2" w14:paraId="01CF55D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8958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Gansu Jiu Steel Group Hongxing Iron &amp; Steel,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C424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1 367.41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77F53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6FAC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42.77</w:t>
            </w:r>
          </w:p>
        </w:tc>
      </w:tr>
      <w:tr w:rsidR="00A0308E" w:rsidRPr="003B10E2" w14:paraId="51F211E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C359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Gansu Mogao Industrial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1266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242.23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6ACC2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7764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12.99</w:t>
            </w:r>
          </w:p>
        </w:tc>
      </w:tr>
      <w:tr w:rsidR="00A0308E" w:rsidRPr="003B10E2" w14:paraId="7719814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6CCD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Gansu Qilianshan Cement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E790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1 209.17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6D31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D24C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57.67</w:t>
            </w:r>
          </w:p>
        </w:tc>
      </w:tr>
      <w:tr w:rsidR="00A0308E" w:rsidRPr="003B10E2" w14:paraId="1B48914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21CA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Gansu Ronghua Industry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0DBB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59.12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936F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0.61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FADB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0.00</w:t>
            </w:r>
          </w:p>
        </w:tc>
      </w:tr>
      <w:tr w:rsidR="00A0308E" w:rsidRPr="003B10E2" w14:paraId="5970B09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A79C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Gansu Yasheng Industrial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DD1F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828.30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C6C9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F76E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39.87</w:t>
            </w:r>
          </w:p>
        </w:tc>
      </w:tr>
      <w:tr w:rsidR="00A0308E" w:rsidRPr="003B10E2" w14:paraId="21B6CBD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4622F"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GCH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7752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725.87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6F97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38.90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E2ED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12.32</w:t>
            </w:r>
          </w:p>
        </w:tc>
      </w:tr>
      <w:tr w:rsidR="00A0308E" w:rsidRPr="003B10E2" w14:paraId="3527718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5CAD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Gd Power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3A9F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9 534.96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0C5F5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27B0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308.10</w:t>
            </w:r>
          </w:p>
        </w:tc>
      </w:tr>
      <w:tr w:rsidR="00A0308E" w:rsidRPr="003B10E2" w14:paraId="3805D39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3AE65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Gem-Year Industrial,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2739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645.74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92A3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663F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14.15</w:t>
            </w:r>
          </w:p>
        </w:tc>
      </w:tr>
      <w:tr w:rsidR="00A0308E" w:rsidRPr="003B10E2" w14:paraId="62EA724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35864"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Gemdale,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2DCE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4 883.88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25FD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B2A82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456.62</w:t>
            </w:r>
          </w:p>
        </w:tc>
      </w:tr>
      <w:tr w:rsidR="00A0308E" w:rsidRPr="003B10E2" w14:paraId="71F74BF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E1263"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GemPharmatech,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43396"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BD03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20.78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0B0B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10.71</w:t>
            </w:r>
          </w:p>
        </w:tc>
      </w:tr>
      <w:tr w:rsidR="00A0308E" w:rsidRPr="003B10E2" w14:paraId="4ADD93F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294DFE"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Geo-Jade Petroleum,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1E36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814.11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E20B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8EF3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79.78</w:t>
            </w:r>
          </w:p>
        </w:tc>
      </w:tr>
      <w:tr w:rsidR="00A0308E" w:rsidRPr="003B10E2" w14:paraId="4B03B73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2C1DA"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Geovis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38E7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2 504.65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DC6B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81.35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C757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134.00</w:t>
            </w:r>
          </w:p>
        </w:tc>
      </w:tr>
      <w:tr w:rsidR="00A0308E" w:rsidRPr="003B10E2" w14:paraId="1C19004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98AFB"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Getein Biotech,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5A7A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649.17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CD3A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12.75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FC94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46.90</w:t>
            </w:r>
          </w:p>
        </w:tc>
      </w:tr>
      <w:tr w:rsidR="00A0308E" w:rsidRPr="003B10E2" w14:paraId="71F61BC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BB38E"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Giantec Semiconductor,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3FE5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1 304.73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037F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77.15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F4CE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352.03</w:t>
            </w:r>
          </w:p>
        </w:tc>
      </w:tr>
      <w:tr w:rsidR="00A0308E" w:rsidRPr="003B10E2" w14:paraId="0A94FEC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45D5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GigaDevice Semiconductor Beijing,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C8C9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10 456.41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993F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111.94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DEC7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3 868.44</w:t>
            </w:r>
          </w:p>
        </w:tc>
      </w:tr>
      <w:tr w:rsidR="00A0308E" w:rsidRPr="003B10E2" w14:paraId="1355A4D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FBE1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Ginwa Enterprise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C340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394.40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3ADF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C54E3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17.98</w:t>
            </w:r>
          </w:p>
        </w:tc>
      </w:tr>
      <w:tr w:rsidR="00A0308E" w:rsidRPr="003B10E2" w14:paraId="3468E55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27DD0"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Giti Tire,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1720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767.50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F30E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3218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30.92</w:t>
            </w:r>
          </w:p>
        </w:tc>
      </w:tr>
      <w:tr w:rsidR="00A0308E" w:rsidRPr="003B10E2" w14:paraId="7812317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334380"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Glarun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159D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2 605.20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187B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0712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87.96</w:t>
            </w:r>
          </w:p>
        </w:tc>
      </w:tr>
      <w:tr w:rsidR="00A0308E" w:rsidRPr="003B10E2" w14:paraId="7AAC851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1BBC9"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Goldenhome Living,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E088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715.79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9FC4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03CE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81.50</w:t>
            </w:r>
          </w:p>
        </w:tc>
      </w:tr>
      <w:tr w:rsidR="00A0308E" w:rsidRPr="003B10E2" w14:paraId="400F52E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79A44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Gome Telecom Equipment,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A0468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143.78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EAA3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505E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35.63</w:t>
            </w:r>
          </w:p>
        </w:tc>
      </w:tr>
      <w:tr w:rsidR="00A0308E" w:rsidRPr="003B10E2" w14:paraId="711A489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CD478"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Gongniu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FC3E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8 659.09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C4E1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102.92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D816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117.21</w:t>
            </w:r>
          </w:p>
        </w:tc>
      </w:tr>
      <w:tr w:rsidR="00A0308E" w:rsidRPr="003B10E2" w14:paraId="10798B4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F086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Goodwill E-Health Info,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D2C29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765.85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107C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39.69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3679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82.26</w:t>
            </w:r>
          </w:p>
        </w:tc>
      </w:tr>
      <w:tr w:rsidR="00A0308E" w:rsidRPr="003B10E2" w14:paraId="167C6D8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036F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Grace Fabric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9B9B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997.55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45568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443D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86.47</w:t>
            </w:r>
          </w:p>
        </w:tc>
      </w:tr>
      <w:tr w:rsidR="00A0308E" w:rsidRPr="003B10E2" w14:paraId="327AD1A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35BCA"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Grandblue Environment,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53C9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2 125.80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2F98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18.63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C57A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62.71</w:t>
            </w:r>
          </w:p>
        </w:tc>
      </w:tr>
      <w:tr w:rsidR="00A0308E" w:rsidRPr="003B10E2" w14:paraId="1B2A477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9811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Great Microwave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9C9C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958.29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FF97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62.70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2405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105.22</w:t>
            </w:r>
          </w:p>
        </w:tc>
      </w:tr>
      <w:tr w:rsidR="00A0308E" w:rsidRPr="003B10E2" w14:paraId="6700283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419C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Great Wall Motors,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E1C6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20 661.92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4298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24.06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9196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476.32</w:t>
            </w:r>
          </w:p>
        </w:tc>
      </w:tr>
      <w:tr w:rsidR="00A0308E" w:rsidRPr="003B10E2" w14:paraId="7606EF4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4590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Great-Sun Foods,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8CD4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429.13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D7947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7DFF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143.51</w:t>
            </w:r>
          </w:p>
        </w:tc>
      </w:tr>
      <w:tr w:rsidR="00A0308E" w:rsidRPr="003B10E2" w14:paraId="04979E2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73325"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Greattown Holdings,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1C1B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1 056.57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1A14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55E8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28.29</w:t>
            </w:r>
          </w:p>
        </w:tc>
      </w:tr>
      <w:tr w:rsidR="00A0308E" w:rsidRPr="003B10E2" w14:paraId="2D79AFF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A5053"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Greattown Holdings,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84F0E"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CD89D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0.22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D574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0.02</w:t>
            </w:r>
          </w:p>
        </w:tc>
      </w:tr>
      <w:tr w:rsidR="00A0308E" w:rsidRPr="003B10E2" w14:paraId="78D12D4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0255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Gree Real Estate,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5648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1 934.96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6F6F4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0CF2F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127.71</w:t>
            </w:r>
          </w:p>
        </w:tc>
      </w:tr>
      <w:tr w:rsidR="00A0308E" w:rsidRPr="003B10E2" w14:paraId="322D1F0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367F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Greenland Holdings Corporation,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95BB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5 185.37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FFFD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6300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115.85</w:t>
            </w:r>
          </w:p>
        </w:tc>
      </w:tr>
      <w:tr w:rsidR="00A0308E" w:rsidRPr="003B10E2" w14:paraId="362DC1E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B7ED9"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GreenTech Environmental,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E0C9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272.95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6F5A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0B8D0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5.18</w:t>
            </w:r>
          </w:p>
        </w:tc>
      </w:tr>
      <w:tr w:rsidR="00A0308E" w:rsidRPr="003B10E2" w14:paraId="1C1315C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37CA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Grinm Advanced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2CB9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1 541.34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C867E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13.01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69D7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109.84</w:t>
            </w:r>
          </w:p>
        </w:tc>
      </w:tr>
      <w:tr w:rsidR="00A0308E" w:rsidRPr="003B10E2" w14:paraId="73CC7E6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7345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GRINM Semiconductor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F6DD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54CC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15.68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E9A2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131.57</w:t>
            </w:r>
          </w:p>
        </w:tc>
      </w:tr>
      <w:tr w:rsidR="00A0308E" w:rsidRPr="003B10E2" w14:paraId="5D161DA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9B35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Gripm Advanced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1275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471.62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EB9D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32.51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CAF1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32.44</w:t>
            </w:r>
          </w:p>
        </w:tc>
      </w:tr>
      <w:tr w:rsidR="00A0308E" w:rsidRPr="003B10E2" w14:paraId="5DA6464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DA6F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GSP Automotive Group Wenzhou,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BADF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387.07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CF0A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16.68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A464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32.63</w:t>
            </w:r>
          </w:p>
        </w:tc>
      </w:tr>
      <w:tr w:rsidR="00A0308E" w:rsidRPr="003B10E2" w14:paraId="4670437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274F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Guandian Defense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D446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4F64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13.63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08249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44.17</w:t>
            </w:r>
          </w:p>
        </w:tc>
      </w:tr>
      <w:tr w:rsidR="00A0308E" w:rsidRPr="003B10E2" w14:paraId="7A4861B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9162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Anda Automation,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4B66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6898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15C58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24.93</w:t>
            </w:r>
          </w:p>
        </w:tc>
      </w:tr>
      <w:tr w:rsidR="00A0308E" w:rsidRPr="003B10E2" w14:paraId="55DC05E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9FC8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Champion Asia 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AA14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388.59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A553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11.85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42E2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30.71</w:t>
            </w:r>
          </w:p>
        </w:tc>
      </w:tr>
      <w:tr w:rsidR="00A0308E" w:rsidRPr="003B10E2" w14:paraId="78B2C51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DA760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Dcenti Auto-Parts,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EFF7C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465.56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2C2C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7FD0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47.87</w:t>
            </w:r>
          </w:p>
        </w:tc>
      </w:tr>
      <w:tr w:rsidR="00A0308E" w:rsidRPr="003B10E2" w14:paraId="74A6D6A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0E5F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Ellington Electronics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40FE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1 159.76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A1CCA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613E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204.60</w:t>
            </w:r>
          </w:p>
        </w:tc>
      </w:tr>
      <w:tr w:rsidR="00A0308E" w:rsidRPr="003B10E2" w14:paraId="3894B10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853B3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Fangyuan Environment,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DFE6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810.67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5A98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11.32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69B6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46.45</w:t>
            </w:r>
          </w:p>
        </w:tc>
      </w:tr>
      <w:tr w:rsidR="00A0308E" w:rsidRPr="003B10E2" w14:paraId="471672B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962F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Fuxin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77C3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504.58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64BC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40.86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6423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231.42</w:t>
            </w:r>
          </w:p>
        </w:tc>
      </w:tr>
      <w:tr w:rsidR="00A0308E" w:rsidRPr="003B10E2" w14:paraId="257CD20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CE98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GenSho Logistics,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76EE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175.94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5863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14.16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B4CC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8.90</w:t>
            </w:r>
          </w:p>
        </w:tc>
      </w:tr>
      <w:tr w:rsidR="00A0308E" w:rsidRPr="003B10E2" w14:paraId="06E0CFE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2DDD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Greenway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565E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500.73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274B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35.78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402E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9.71</w:t>
            </w:r>
          </w:p>
        </w:tc>
      </w:tr>
      <w:tr w:rsidR="00A0308E" w:rsidRPr="003B10E2" w14:paraId="769240A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5C02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Guanhao High-Tech,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9076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890.59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D206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1F00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22.60</w:t>
            </w:r>
          </w:p>
        </w:tc>
      </w:tr>
      <w:tr w:rsidR="00A0308E" w:rsidRPr="003B10E2" w14:paraId="0B8AAD5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6B65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HEC Technology 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DC44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2 944.09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0AD9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1529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38.57</w:t>
            </w:r>
          </w:p>
        </w:tc>
      </w:tr>
      <w:tr w:rsidR="00A0308E" w:rsidRPr="003B10E2" w14:paraId="0FDA41F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9DDA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Hotata Technology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9BFE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826.08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34E5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14.72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1489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18.75</w:t>
            </w:r>
          </w:p>
        </w:tc>
      </w:tr>
      <w:tr w:rsidR="00A0308E" w:rsidRPr="003B10E2" w14:paraId="458AC37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15F4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Huate Gas,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1B3C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1 369.70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6B034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81.56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AA6B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89.79</w:t>
            </w:r>
          </w:p>
        </w:tc>
      </w:tr>
      <w:tr w:rsidR="00A0308E" w:rsidRPr="003B10E2" w14:paraId="652194B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8EE1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Jia Yuan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3B87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849.85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940E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25.93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B4E8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122.25</w:t>
            </w:r>
          </w:p>
        </w:tc>
      </w:tr>
      <w:tr w:rsidR="00A0308E" w:rsidRPr="003B10E2" w14:paraId="7E51C15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34FB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Kangmei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585B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4 462.51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7380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C9AF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324.71</w:t>
            </w:r>
          </w:p>
        </w:tc>
      </w:tr>
      <w:tr w:rsidR="00A0308E" w:rsidRPr="003B10E2" w14:paraId="4EDEAEF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2BE4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Leary New Material,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AB94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448.25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2D2E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21.56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2AAC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9.85</w:t>
            </w:r>
          </w:p>
        </w:tc>
      </w:tr>
      <w:tr w:rsidR="00A0308E" w:rsidRPr="003B10E2" w14:paraId="58CFD46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A502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Liantai Environmental Protection,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1EAF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453.65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0F1A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39CB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12.77</w:t>
            </w:r>
          </w:p>
        </w:tc>
      </w:tr>
      <w:tr w:rsidR="00A0308E" w:rsidRPr="003B10E2" w14:paraId="7A2D3B3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15191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Lyric Robot Automation,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F4EE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1 072.43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2064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87.08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8756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49.70</w:t>
            </w:r>
          </w:p>
        </w:tc>
      </w:tr>
      <w:tr w:rsidR="00A0308E" w:rsidRPr="003B10E2" w14:paraId="19326B8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6D4A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Marubi Biotechnology,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7D7F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1 878.78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4F06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33.41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778C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27.79</w:t>
            </w:r>
          </w:p>
        </w:tc>
      </w:tr>
      <w:tr w:rsidR="00A0308E" w:rsidRPr="003B10E2" w14:paraId="25C741A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2E03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Meiyan Jixiang Hydropower,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0B29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730.52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7F1F9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AF50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33.02</w:t>
            </w:r>
          </w:p>
        </w:tc>
      </w:tr>
      <w:tr w:rsidR="00A0308E" w:rsidRPr="003B10E2" w14:paraId="5863F0D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F306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Mingzhu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2011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529.97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CFD4D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25636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35.28</w:t>
            </w:r>
          </w:p>
        </w:tc>
      </w:tr>
      <w:tr w:rsidR="00A0308E" w:rsidRPr="003B10E2" w14:paraId="18D0EC9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C24D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Rongtai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DAAF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228.59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57AD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53B4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4.46</w:t>
            </w:r>
          </w:p>
        </w:tc>
      </w:tr>
      <w:tr w:rsidR="00A0308E" w:rsidRPr="003B10E2" w14:paraId="1449C76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11AC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Sitong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BEC9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254.38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F9F6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3817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8.05</w:t>
            </w:r>
          </w:p>
        </w:tc>
      </w:tr>
      <w:tr w:rsidR="00A0308E" w:rsidRPr="003B10E2" w14:paraId="4AE4CC6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2D3B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Songfa Ceramics,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0060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422.79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3A3B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24.33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B87C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156.64</w:t>
            </w:r>
          </w:p>
        </w:tc>
      </w:tr>
      <w:tr w:rsidR="00A0308E" w:rsidRPr="003B10E2" w14:paraId="1CC5884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82C05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Songyang Recycle Resources,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1AC96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498.78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CC2B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17.31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7BC7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91.47</w:t>
            </w:r>
          </w:p>
        </w:tc>
      </w:tr>
      <w:tr w:rsidR="00A0308E" w:rsidRPr="003B10E2" w14:paraId="594A380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9F95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Tianan New Material,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F478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231.26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73C5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1AD1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23.47</w:t>
            </w:r>
          </w:p>
        </w:tc>
      </w:tr>
      <w:tr w:rsidR="00A0308E" w:rsidRPr="003B10E2" w14:paraId="7090B5C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3406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Weide Information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97DB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290.75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7A87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6F42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35.01</w:t>
            </w:r>
          </w:p>
        </w:tc>
      </w:tr>
      <w:tr w:rsidR="00A0308E" w:rsidRPr="003B10E2" w14:paraId="0EA9B0C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BB0E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Wencan Die Casting,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E343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1 622.68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85A83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44.23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2894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453.65</w:t>
            </w:r>
          </w:p>
        </w:tc>
      </w:tr>
      <w:tr w:rsidR="00A0308E" w:rsidRPr="003B10E2" w14:paraId="644DCD7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EF946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Guanghe landscape Culture Communication,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1D835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238.44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4A2D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7936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58.43</w:t>
            </w:r>
          </w:p>
        </w:tc>
      </w:tr>
      <w:tr w:rsidR="00A0308E" w:rsidRPr="003B10E2" w14:paraId="01587C5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F8D1F"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Guanghui Energy,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6597A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6 661.78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7E71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A30A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560.90</w:t>
            </w:r>
          </w:p>
        </w:tc>
      </w:tr>
      <w:tr w:rsidR="00A0308E" w:rsidRPr="003B10E2" w14:paraId="6B58179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5CB26"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Guanghui Logistics,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F529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1 264.78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02B5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C9E0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55.71</w:t>
            </w:r>
          </w:p>
        </w:tc>
      </w:tr>
      <w:tr w:rsidR="00A0308E" w:rsidRPr="003B10E2" w14:paraId="27CF0E6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DBE8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Guangshen Railway Company,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3A77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3 235.27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BAF2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0B7D3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497.57</w:t>
            </w:r>
          </w:p>
        </w:tc>
      </w:tr>
      <w:tr w:rsidR="00A0308E" w:rsidRPr="003B10E2" w14:paraId="21D3594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86F7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Guangxi Fenglin Wood Industry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81CB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394.41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26A1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C53B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10.63</w:t>
            </w:r>
          </w:p>
        </w:tc>
      </w:tr>
      <w:tr w:rsidR="00A0308E" w:rsidRPr="003B10E2" w14:paraId="6F6E8EA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510E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Guangxi Fortune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6170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2 213.67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F433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2414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1 432.05</w:t>
            </w:r>
          </w:p>
        </w:tc>
      </w:tr>
      <w:tr w:rsidR="00A0308E" w:rsidRPr="003B10E2" w14:paraId="05916A0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63FC1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Guangxi Guidong Electric 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B647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770.92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9D5D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C695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630.55</w:t>
            </w:r>
          </w:p>
        </w:tc>
      </w:tr>
      <w:tr w:rsidR="00A0308E" w:rsidRPr="003B10E2" w14:paraId="16CEBE1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9E207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Guangxi Guiguan Electric 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0EB8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6 199.56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8292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097D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47.49</w:t>
            </w:r>
          </w:p>
        </w:tc>
      </w:tr>
      <w:tr w:rsidR="00A0308E" w:rsidRPr="003B10E2" w14:paraId="056178E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E88A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Guangxi Liuzhou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CB5B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1 047.70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4523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20.66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4252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243.40</w:t>
            </w:r>
          </w:p>
        </w:tc>
      </w:tr>
      <w:tr w:rsidR="00A0308E" w:rsidRPr="003B10E2" w14:paraId="3D82903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68BAF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Guangxi Nanning Waterworks,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98FA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651.22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84E5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2F9B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17.95</w:t>
            </w:r>
          </w:p>
        </w:tc>
      </w:tr>
      <w:tr w:rsidR="00A0308E" w:rsidRPr="003B10E2" w14:paraId="56FF50B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434D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Guangxi Radio and Television Information Network,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B532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1 012.60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0CF9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97D7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42.84</w:t>
            </w:r>
          </w:p>
        </w:tc>
      </w:tr>
      <w:tr w:rsidR="00A0308E" w:rsidRPr="003B10E2" w14:paraId="720D91D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868D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Guangxi Wuzhou Communications,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A598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642.72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9083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E5D4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46.51</w:t>
            </w:r>
          </w:p>
        </w:tc>
      </w:tr>
      <w:tr w:rsidR="00A0308E" w:rsidRPr="003B10E2" w14:paraId="4F48577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A184AF"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Guangxi Wuzhou Zhongheng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BE67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1 176.93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4781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2FA13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23.08</w:t>
            </w:r>
          </w:p>
        </w:tc>
      </w:tr>
      <w:tr w:rsidR="00A0308E" w:rsidRPr="003B10E2" w14:paraId="6A6BFE0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FD7E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GuangYuYuan Chinese Herbal Medicine,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9AB4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2 471.19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D9DA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35.89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548F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247.96</w:t>
            </w:r>
          </w:p>
        </w:tc>
      </w:tr>
      <w:tr w:rsidR="00A0308E" w:rsidRPr="003B10E2" w14:paraId="5214E8E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FD8E9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GuangZhou Baiyun Electric Equipment,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327D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555.21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B604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97E7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26.04</w:t>
            </w:r>
          </w:p>
        </w:tc>
      </w:tr>
      <w:tr w:rsidR="00A0308E" w:rsidRPr="003B10E2" w14:paraId="1E0B90B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6D72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Guangzhou Baiyun International Airport,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9D89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4 663.55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6699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14.08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D150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178.52</w:t>
            </w:r>
          </w:p>
        </w:tc>
      </w:tr>
      <w:tr w:rsidR="00A0308E" w:rsidRPr="003B10E2" w14:paraId="45F8E2C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BB60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Guangzhou Baiyunshan Pharmaceutical Holdings,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282C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6 532.16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F150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5C0F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382.37</w:t>
            </w:r>
          </w:p>
        </w:tc>
      </w:tr>
      <w:tr w:rsidR="00A0308E" w:rsidRPr="003B10E2" w14:paraId="22D8F49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1C43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Guangzhou Development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1417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3 015.58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9DAE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EE9B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127.96</w:t>
            </w:r>
          </w:p>
        </w:tc>
      </w:tr>
      <w:tr w:rsidR="00A0308E" w:rsidRPr="003B10E2" w14:paraId="308BBA1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CEA6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Guangzhou Fangbang 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A24B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587.89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EBD6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52.51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59C5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25.05</w:t>
            </w:r>
          </w:p>
        </w:tc>
      </w:tr>
      <w:tr w:rsidR="00A0308E" w:rsidRPr="003B10E2" w14:paraId="053B031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E707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Guangzhou Guangri Stock,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EB32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854.47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C5C5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FB97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14.77</w:t>
            </w:r>
          </w:p>
        </w:tc>
      </w:tr>
      <w:tr w:rsidR="00A0308E" w:rsidRPr="003B10E2" w14:paraId="269B5C4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262B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Guangzhou Hexin Instrument,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3079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328.85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7DDC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33.57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45A5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12.86</w:t>
            </w:r>
          </w:p>
        </w:tc>
      </w:tr>
      <w:tr w:rsidR="00A0308E" w:rsidRPr="003B10E2" w14:paraId="39DDA93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0F0D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Guangzhou Holike Creative Home,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4D73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463.51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0B0F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10.64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1F41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12.56</w:t>
            </w:r>
          </w:p>
        </w:tc>
      </w:tr>
      <w:tr w:rsidR="00A0308E" w:rsidRPr="003B10E2" w14:paraId="0DEA8AE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25A5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Guangzhou Jet Bio-Filtration,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F57A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251.07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34C8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17.94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6CD31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9.49</w:t>
            </w:r>
          </w:p>
        </w:tc>
      </w:tr>
      <w:tr w:rsidR="00A0308E" w:rsidRPr="003B10E2" w14:paraId="7F95AFD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F4AE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Guangzhou Jiacheng International Logistics,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A813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347.81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B5B5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CF6D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10.77</w:t>
            </w:r>
          </w:p>
        </w:tc>
      </w:tr>
      <w:tr w:rsidR="00A0308E" w:rsidRPr="003B10E2" w14:paraId="64B5D46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7342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Guangzhou Kingmed Diagnostics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98C5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4 713.00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AF32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FD6F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163.04</w:t>
            </w:r>
          </w:p>
        </w:tc>
      </w:tr>
      <w:tr w:rsidR="00A0308E" w:rsidRPr="003B10E2" w14:paraId="54C35D3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2998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Guangzhou LBP Medicine Science &amp;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8EAF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323.83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C046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24.79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13C4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53.85</w:t>
            </w:r>
          </w:p>
        </w:tc>
      </w:tr>
      <w:tr w:rsidR="00A0308E" w:rsidRPr="003B10E2" w14:paraId="653F313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C01F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Guangzhou Pearl River Industrial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330C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400.13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3EF6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5295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15.34</w:t>
            </w:r>
          </w:p>
        </w:tc>
      </w:tr>
      <w:tr w:rsidR="00A0308E" w:rsidRPr="003B10E2" w14:paraId="70A08C9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50D424"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Guangzhou Port,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740E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2 816.85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1668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76B6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47.10</w:t>
            </w:r>
          </w:p>
        </w:tc>
      </w:tr>
      <w:tr w:rsidR="00A0308E" w:rsidRPr="003B10E2" w14:paraId="1039F60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E307B"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Guangzhou Restaurant,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6BE5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2 287.00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1F44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28.81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49F8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41.51</w:t>
            </w:r>
          </w:p>
        </w:tc>
      </w:tr>
      <w:tr w:rsidR="00A0308E" w:rsidRPr="003B10E2" w14:paraId="58EB93A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07D0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Guangzhou Risong Intelligent Technology 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9538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311.94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54D2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33.09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DFAC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40.04</w:t>
            </w:r>
          </w:p>
        </w:tc>
      </w:tr>
      <w:tr w:rsidR="00A0308E" w:rsidRPr="003B10E2" w14:paraId="47C7BFF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CD10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Guangzhou Sanfu New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ACA9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941.60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AB15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1153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41.77</w:t>
            </w:r>
          </w:p>
        </w:tc>
      </w:tr>
      <w:tr w:rsidR="00A0308E" w:rsidRPr="003B10E2" w14:paraId="58ECCA4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B35D3"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Guangzhou Yuetai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ECBF1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131.33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C7EC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0.37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73C9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0.00</w:t>
            </w:r>
          </w:p>
        </w:tc>
      </w:tr>
      <w:tr w:rsidR="00A0308E" w:rsidRPr="003B10E2" w14:paraId="10730F8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18893E"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Guilin Fuda,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5D0A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583.31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31D12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0EFF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33.89</w:t>
            </w:r>
          </w:p>
        </w:tc>
      </w:tr>
      <w:tr w:rsidR="00A0308E" w:rsidRPr="003B10E2" w14:paraId="388DC6C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69EDB"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Guirenniao,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A90CF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382.68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3AF5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B1C6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43.88</w:t>
            </w:r>
          </w:p>
        </w:tc>
      </w:tr>
      <w:tr w:rsidR="00A0308E" w:rsidRPr="003B10E2" w14:paraId="41E6555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FA9F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Guizhou Aviation Technical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760B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1 182.42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6F28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60.35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1E90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122.17</w:t>
            </w:r>
          </w:p>
        </w:tc>
      </w:tr>
      <w:tr w:rsidR="00A0308E" w:rsidRPr="003B10E2" w14:paraId="3C604F9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3C3B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Guizhou BC&amp;TV Information Network,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9162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1 530.72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3D6F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10.40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ACB2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349.13</w:t>
            </w:r>
          </w:p>
        </w:tc>
      </w:tr>
      <w:tr w:rsidR="00A0308E" w:rsidRPr="003B10E2" w14:paraId="44D57B9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A251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Guizhou Changzheng Tiancheng 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D463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201.67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0B463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128C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6.47</w:t>
            </w:r>
          </w:p>
        </w:tc>
      </w:tr>
      <w:tr w:rsidR="00A0308E" w:rsidRPr="003B10E2" w14:paraId="673179E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2EC8D"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Guizhou Gas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9CCD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1 323.67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E52CD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8.31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676A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92.59</w:t>
            </w:r>
          </w:p>
        </w:tc>
      </w:tr>
      <w:tr w:rsidR="00A0308E" w:rsidRPr="003B10E2" w14:paraId="7BACAAC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F032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Guizhou Guihang Automotive Components,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8539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765.00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BCE0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13.52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CAED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50.60</w:t>
            </w:r>
          </w:p>
        </w:tc>
      </w:tr>
      <w:tr w:rsidR="00A0308E" w:rsidRPr="003B10E2" w14:paraId="435B51E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20560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Guizhou Panjiang Refined Coal,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9049B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1 651.46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9CEA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97AD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169.78</w:t>
            </w:r>
          </w:p>
        </w:tc>
      </w:tr>
      <w:tr w:rsidR="00A0308E" w:rsidRPr="003B10E2" w14:paraId="2E9A42E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271D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Guizhou Red Star Developing,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664A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591.36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F435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14.41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6313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107.30</w:t>
            </w:r>
          </w:p>
        </w:tc>
      </w:tr>
      <w:tr w:rsidR="00A0308E" w:rsidRPr="003B10E2" w14:paraId="744D3A9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5556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Guizhou Salvage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B620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682.42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CBD8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F97B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16.13</w:t>
            </w:r>
          </w:p>
        </w:tc>
      </w:tr>
      <w:tr w:rsidR="00A0308E" w:rsidRPr="003B10E2" w14:paraId="139C24B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DF2F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Guizhou Sanli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F09C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945.29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80B6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16.44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9AFD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101.02</w:t>
            </w:r>
          </w:p>
        </w:tc>
      </w:tr>
      <w:tr w:rsidR="00A0308E" w:rsidRPr="003B10E2" w14:paraId="1124FC8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8AD1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Guizhou Transportation Planning Survey &amp; Design Academe,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4F87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422.04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CCAE0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DBA6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18.97</w:t>
            </w:r>
          </w:p>
        </w:tc>
      </w:tr>
      <w:tr w:rsidR="00A0308E" w:rsidRPr="003B10E2" w14:paraId="27B773A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88B3A"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Guizhou Wire Rope,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02152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564.58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22DE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16.46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8656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82.67</w:t>
            </w:r>
          </w:p>
        </w:tc>
      </w:tr>
      <w:tr w:rsidR="00A0308E" w:rsidRPr="003B10E2" w14:paraId="0385808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C362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Guizhou Yibai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5DB9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576.31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5375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A0E5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131.11</w:t>
            </w:r>
          </w:p>
        </w:tc>
      </w:tr>
      <w:tr w:rsidR="00A0308E" w:rsidRPr="003B10E2" w14:paraId="2C5BD40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A112E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GuiZhou YongJi Printing,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F5A3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591.77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6086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10.09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4DA91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35.10</w:t>
            </w:r>
          </w:p>
        </w:tc>
      </w:tr>
      <w:tr w:rsidR="00A0308E" w:rsidRPr="003B10E2" w14:paraId="4815348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11A9B"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Guizhou Zhenhua E-chem,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689E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1 820.59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4EB0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29.37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D89D3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45.42</w:t>
            </w:r>
          </w:p>
        </w:tc>
      </w:tr>
      <w:tr w:rsidR="00A0308E" w:rsidRPr="003B10E2" w14:paraId="2D1CC10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E0E0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Guizhou Zhenhua Fengguang Semiconductor,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BD896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4CD9F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97.61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265E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128.34</w:t>
            </w:r>
          </w:p>
        </w:tc>
      </w:tr>
      <w:tr w:rsidR="00A0308E" w:rsidRPr="003B10E2" w14:paraId="6FEB3A7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5655C"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Guobang Pharma,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E490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1 662.67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4336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21.26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520E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20.28</w:t>
            </w:r>
          </w:p>
        </w:tc>
      </w:tr>
      <w:tr w:rsidR="00A0308E" w:rsidRPr="003B10E2" w14:paraId="23EEF51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2FDD0D"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Guobo Electronics,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FF723"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F8FB7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72.44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4DB5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26.33</w:t>
            </w:r>
          </w:p>
        </w:tc>
      </w:tr>
      <w:tr w:rsidR="00A0308E" w:rsidRPr="003B10E2" w14:paraId="1E8710C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D499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Guodian Nanjing Automation,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D4F0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718.08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E386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95C3D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178.43</w:t>
            </w:r>
          </w:p>
        </w:tc>
      </w:tr>
      <w:tr w:rsidR="00A0308E" w:rsidRPr="003B10E2" w14:paraId="6E525F4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C98C9"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Guolian Securities,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E2AB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3 066.03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D9843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16A9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84.09</w:t>
            </w:r>
          </w:p>
        </w:tc>
      </w:tr>
      <w:tr w:rsidR="00A0308E" w:rsidRPr="003B10E2" w14:paraId="38C7D39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DBA0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Guotai Epoint Software,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7526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2 367.80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1E0E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51.27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3F19A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69.48</w:t>
            </w:r>
          </w:p>
        </w:tc>
      </w:tr>
      <w:tr w:rsidR="00A0308E" w:rsidRPr="003B10E2" w14:paraId="0A2D51B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C287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Guotai Junan Securities,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9E97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15 691.20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EAB4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14.92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DF1A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184.27</w:t>
            </w:r>
          </w:p>
        </w:tc>
      </w:tr>
      <w:tr w:rsidR="00A0308E" w:rsidRPr="003B10E2" w14:paraId="4A0AA31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59BF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Haier Smart Home,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D70E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20 526.74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138C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B91F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434.77</w:t>
            </w:r>
          </w:p>
        </w:tc>
      </w:tr>
      <w:tr w:rsidR="00A0308E" w:rsidRPr="003B10E2" w14:paraId="0B1D242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20843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Hailir Pesticides and Chemicals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C6B4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801.33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B3E1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A731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54.96</w:t>
            </w:r>
          </w:p>
        </w:tc>
      </w:tr>
      <w:tr w:rsidR="00A0308E" w:rsidRPr="003B10E2" w14:paraId="404C048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1936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Hainan Airlines 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009E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7 629.72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944D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2455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107.38</w:t>
            </w:r>
          </w:p>
        </w:tc>
      </w:tr>
      <w:tr w:rsidR="00A0308E" w:rsidRPr="003B10E2" w14:paraId="682EF3D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5D58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Hainan Airlines 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C8D6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8A21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0.21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E729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0.04</w:t>
            </w:r>
          </w:p>
        </w:tc>
      </w:tr>
      <w:tr w:rsidR="00A0308E" w:rsidRPr="003B10E2" w14:paraId="72AB9AE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4CF83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Hainan Haiqi Transportation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B148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941.08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00C1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21.28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D726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99.42</w:t>
            </w:r>
          </w:p>
        </w:tc>
      </w:tr>
      <w:tr w:rsidR="00A0308E" w:rsidRPr="003B10E2" w14:paraId="739D1C3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3ACC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Hainan Jinpan Smart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7FBC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1 684.81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2BE9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28.28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64A4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59.58</w:t>
            </w:r>
          </w:p>
        </w:tc>
      </w:tr>
      <w:tr w:rsidR="00A0308E" w:rsidRPr="003B10E2" w14:paraId="247A039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0B602"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Hainan Mining,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35BF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1 864.53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B181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75D7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35.71</w:t>
            </w:r>
          </w:p>
        </w:tc>
      </w:tr>
      <w:tr w:rsidR="00A0308E" w:rsidRPr="003B10E2" w14:paraId="22A4D0D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86B7A"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Hainan Yedao,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02D4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703.14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6676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11.21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95CA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116.30</w:t>
            </w:r>
          </w:p>
        </w:tc>
      </w:tr>
      <w:tr w:rsidR="00A0308E" w:rsidRPr="003B10E2" w14:paraId="0B73CE2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EC4483"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Haitong Securities,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D13D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12 646.75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BF903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9.36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0CC87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231.38</w:t>
            </w:r>
          </w:p>
        </w:tc>
      </w:tr>
      <w:tr w:rsidR="00A0308E" w:rsidRPr="003B10E2" w14:paraId="2A9AE6C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7B1B6"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Halo Microelectronics,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29784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1 368.74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7D14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24.36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52F7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56.92</w:t>
            </w:r>
          </w:p>
        </w:tc>
      </w:tr>
      <w:tr w:rsidR="00A0308E" w:rsidRPr="003B10E2" w14:paraId="031EE7D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47ED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 Zhou Iron &amp; Steel,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2E56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2 131.57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B8994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E383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29.31</w:t>
            </w:r>
          </w:p>
        </w:tc>
      </w:tr>
      <w:tr w:rsidR="00A0308E" w:rsidRPr="003B10E2" w14:paraId="1BBD53A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067B0"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Hangcha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6A33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2 496.55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2FF1B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20.59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7A0B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77.17</w:t>
            </w:r>
          </w:p>
        </w:tc>
      </w:tr>
      <w:tr w:rsidR="00A0308E" w:rsidRPr="003B10E2" w14:paraId="225E81F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F69D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Hangxiao Steel Structure,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B2E3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1 342.79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91C7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6FB2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82.27</w:t>
            </w:r>
          </w:p>
        </w:tc>
      </w:tr>
      <w:tr w:rsidR="00A0308E" w:rsidRPr="003B10E2" w14:paraId="0AE81EE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AC459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Advance Gearbox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72E9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593.47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3242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10.60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FE3E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78.86</w:t>
            </w:r>
          </w:p>
        </w:tc>
      </w:tr>
      <w:tr w:rsidR="00A0308E" w:rsidRPr="003B10E2" w14:paraId="03C04BD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5ED38"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Hangzhou AGS MedTech,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A2F65"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91C6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124.78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40FD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63.92</w:t>
            </w:r>
          </w:p>
        </w:tc>
      </w:tr>
      <w:tr w:rsidR="00A0308E" w:rsidRPr="003B10E2" w14:paraId="1064EA0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2AAC3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AllTest Biotech,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D481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423.13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293B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56.09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C98E4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19.70</w:t>
            </w:r>
          </w:p>
        </w:tc>
      </w:tr>
      <w:tr w:rsidR="00A0308E" w:rsidRPr="003B10E2" w14:paraId="2162D54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1ED8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Biotest Biotech,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B1FA4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436.19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A81E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29.22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56EA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13.70</w:t>
            </w:r>
          </w:p>
        </w:tc>
      </w:tr>
      <w:tr w:rsidR="00A0308E" w:rsidRPr="003B10E2" w14:paraId="235BD4D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E0CF7"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Hangzhou Cable,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6454B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596.71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1F8E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646E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95.60</w:t>
            </w:r>
          </w:p>
        </w:tc>
      </w:tr>
      <w:tr w:rsidR="00A0308E" w:rsidRPr="003B10E2" w14:paraId="4509AAB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1989F"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Hangzhou Cogeneration,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48D50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2 076.79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1D33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37.09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01B0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491.63</w:t>
            </w:r>
          </w:p>
        </w:tc>
      </w:tr>
      <w:tr w:rsidR="00A0308E" w:rsidRPr="003B10E2" w14:paraId="7110938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E814B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Electronic Soul Network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F743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1 741.79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A439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50.48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0AB8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712.60</w:t>
            </w:r>
          </w:p>
        </w:tc>
      </w:tr>
      <w:tr w:rsidR="00A0308E" w:rsidRPr="003B10E2" w14:paraId="21C049D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8CB88"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Hangzhou EZVIZ Network,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4F574"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91CD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46.63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4125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149.43</w:t>
            </w:r>
          </w:p>
        </w:tc>
      </w:tr>
      <w:tr w:rsidR="00A0308E" w:rsidRPr="003B10E2" w14:paraId="6C9EDAF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DE1D8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First Applied Material,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F2B5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4 017.12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D9E8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30.18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6EA7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504.77</w:t>
            </w:r>
          </w:p>
        </w:tc>
      </w:tr>
      <w:tr w:rsidR="00A0308E" w:rsidRPr="003B10E2" w14:paraId="2075DF1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3CF03"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Hangzhou Flariant,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697B6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403.82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B126E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21.64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DE34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6.98</w:t>
            </w:r>
          </w:p>
        </w:tc>
      </w:tr>
      <w:tr w:rsidR="00A0308E" w:rsidRPr="003B10E2" w14:paraId="1F4D2D3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FC07D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Fortune Gas Cryogenic Group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67DF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ADD3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29.04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5968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22.22</w:t>
            </w:r>
          </w:p>
        </w:tc>
      </w:tr>
      <w:tr w:rsidR="00A0308E" w:rsidRPr="003B10E2" w14:paraId="4FE2B56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D2F5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Freely Communication,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ED11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366.87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80BC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12.86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9133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19.32</w:t>
            </w:r>
          </w:p>
        </w:tc>
      </w:tr>
      <w:tr w:rsidR="00A0308E" w:rsidRPr="003B10E2" w14:paraId="62E7F52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58EB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Greenda Electronic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04CE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582.69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33EF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29.21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B4608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47.66</w:t>
            </w:r>
          </w:p>
        </w:tc>
      </w:tr>
      <w:tr w:rsidR="00A0308E" w:rsidRPr="003B10E2" w14:paraId="296B17C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B5D34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Haoyue Personal Care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653E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1 093.40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CD4E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48.88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0668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42.79</w:t>
            </w:r>
          </w:p>
        </w:tc>
      </w:tr>
      <w:tr w:rsidR="00A0308E" w:rsidRPr="003B10E2" w14:paraId="7746527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AE32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Honghua Digital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88D0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879.82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650A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82.72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1091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32.69</w:t>
            </w:r>
          </w:p>
        </w:tc>
      </w:tr>
      <w:tr w:rsidR="00A0308E" w:rsidRPr="003B10E2" w14:paraId="3AD69DE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7201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Hopechart IoT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6B8F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351.64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21E44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25.04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3FFCE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34.42</w:t>
            </w:r>
          </w:p>
        </w:tc>
      </w:tr>
      <w:tr w:rsidR="00A0308E" w:rsidRPr="003B10E2" w14:paraId="0DCB822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73D12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Huaguang Advanced Welding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A934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234.49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14F7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19.04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32F41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12.04</w:t>
            </w:r>
          </w:p>
        </w:tc>
      </w:tr>
      <w:tr w:rsidR="00A0308E" w:rsidRPr="003B10E2" w14:paraId="08C2290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D03E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Huawang New Material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BD12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802.66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3479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D585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40.21</w:t>
            </w:r>
          </w:p>
        </w:tc>
      </w:tr>
      <w:tr w:rsidR="00A0308E" w:rsidRPr="003B10E2" w14:paraId="4D488D4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D4A0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IECHO Science and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D25B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236.20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CA20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28.53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13B3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22.43</w:t>
            </w:r>
          </w:p>
        </w:tc>
      </w:tr>
      <w:tr w:rsidR="00A0308E" w:rsidRPr="003B10E2" w14:paraId="0A4018D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1E69D"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Hangzhou Jiebai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909D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1 000.80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BAA9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B434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174.30</w:t>
            </w:r>
          </w:p>
        </w:tc>
      </w:tr>
      <w:tr w:rsidR="00A0308E" w:rsidRPr="003B10E2" w14:paraId="6698D37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6A09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Jingye Intelligent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C881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CD6A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67.27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2D24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18.85</w:t>
            </w:r>
          </w:p>
        </w:tc>
      </w:tr>
      <w:tr w:rsidR="00A0308E" w:rsidRPr="003B10E2" w14:paraId="6C9AFDE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4690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Kaierda Welding Robot,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CDB6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328.56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9ACF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29.94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CB86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23.65</w:t>
            </w:r>
          </w:p>
        </w:tc>
      </w:tr>
      <w:tr w:rsidR="00A0308E" w:rsidRPr="003B10E2" w14:paraId="3C553B6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AEFB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Kelin Electric,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A277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306.59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851E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39.19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BC15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35.07</w:t>
            </w:r>
          </w:p>
        </w:tc>
      </w:tr>
      <w:tr w:rsidR="00A0308E" w:rsidRPr="003B10E2" w14:paraId="763CC5E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5214F"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Hangzhou Landscaping,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6B985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251.82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FDD6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11.16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DA12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6.45</w:t>
            </w:r>
          </w:p>
        </w:tc>
      </w:tr>
      <w:tr w:rsidR="00A0308E" w:rsidRPr="003B10E2" w14:paraId="1964770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16D0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Lion Electronics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FDF2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2 467.30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1F8C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38.55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1909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377.95</w:t>
            </w:r>
          </w:p>
        </w:tc>
      </w:tr>
      <w:tr w:rsidR="00A0308E" w:rsidRPr="003B10E2" w14:paraId="7550654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3610C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MDK Opto Electronic,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F14C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608.28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3C4E9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10.83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9FB0D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68.33</w:t>
            </w:r>
          </w:p>
        </w:tc>
      </w:tr>
      <w:tr w:rsidR="00A0308E" w:rsidRPr="003B10E2" w14:paraId="000607F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B071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Nbond Nonwovens,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C38E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301.99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FC23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12.05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C9CE8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9.48</w:t>
            </w:r>
          </w:p>
        </w:tc>
      </w:tr>
      <w:tr w:rsidR="00A0308E" w:rsidRPr="003B10E2" w14:paraId="1F93FDD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D25B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Pinming Software,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BB44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214.44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50833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28.18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5F6A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55.94</w:t>
            </w:r>
          </w:p>
        </w:tc>
      </w:tr>
      <w:tr w:rsidR="00A0308E" w:rsidRPr="003B10E2" w14:paraId="6521CA8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E228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Raycloud Technology ,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EA34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1 051.11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BA52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18.73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B9D6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407.94</w:t>
            </w:r>
          </w:p>
        </w:tc>
      </w:tr>
      <w:tr w:rsidR="00A0308E" w:rsidRPr="003B10E2" w14:paraId="31FB448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4C9D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Silan Microelectronics,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0C4B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6 074.12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707A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30.65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DE735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533.33</w:t>
            </w:r>
          </w:p>
        </w:tc>
      </w:tr>
      <w:tr w:rsidR="00A0308E" w:rsidRPr="003B10E2" w14:paraId="20BD07C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158F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Sunyard System Engineering,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EFF1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660.24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C8C1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9.89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62DE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97.38</w:t>
            </w:r>
          </w:p>
        </w:tc>
      </w:tr>
      <w:tr w:rsidR="00A0308E" w:rsidRPr="003B10E2" w14:paraId="308D913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E07B5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TianMuShan Pharmaceutical Enterprise,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7AF5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129.52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E591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BF7C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7.57</w:t>
            </w:r>
          </w:p>
        </w:tc>
      </w:tr>
      <w:tr w:rsidR="00A0308E" w:rsidRPr="003B10E2" w14:paraId="539C48E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9CC5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Xili Intelligent,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F1172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258.41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0E13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12.31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CFCD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18.67</w:t>
            </w:r>
          </w:p>
        </w:tc>
      </w:tr>
      <w:tr w:rsidR="00A0308E" w:rsidRPr="003B10E2" w14:paraId="1871433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5915F"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Hangzhou XZB Tech,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6BFF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458.66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BFCB3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24.46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2C37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43.36</w:t>
            </w:r>
          </w:p>
        </w:tc>
      </w:tr>
      <w:tr w:rsidR="00A0308E" w:rsidRPr="003B10E2" w14:paraId="5178E25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D25A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Youngsun Intelligent Equipment,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A046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913.26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57DEF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13.36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1E48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17.96</w:t>
            </w:r>
          </w:p>
        </w:tc>
      </w:tr>
      <w:tr w:rsidR="00A0308E" w:rsidRPr="003B10E2" w14:paraId="262CC95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0E30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Hanma Technology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243D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716.08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1165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542C1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100.03</w:t>
            </w:r>
          </w:p>
        </w:tc>
      </w:tr>
      <w:tr w:rsidR="00A0308E" w:rsidRPr="003B10E2" w14:paraId="0E06160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618E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Haohua Chemical Science &amp;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541A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4 295.44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3D22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33.39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1BDA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44.95</w:t>
            </w:r>
          </w:p>
        </w:tc>
      </w:tr>
      <w:tr w:rsidR="00A0308E" w:rsidRPr="003B10E2" w14:paraId="26CFC3E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6BF6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Harbin Air Conditioning,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A0EF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285.41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BE75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648B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16.97</w:t>
            </w:r>
          </w:p>
        </w:tc>
      </w:tr>
      <w:tr w:rsidR="00A0308E" w:rsidRPr="003B10E2" w14:paraId="1554D50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C77A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Harbin Aviation Industry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5F9C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3 127.43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B700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37.91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498B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150.78</w:t>
            </w:r>
          </w:p>
        </w:tc>
      </w:tr>
      <w:tr w:rsidR="00A0308E" w:rsidRPr="003B10E2" w14:paraId="33E8645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7DD1F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Harbin Dongan Auto Engine,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E1D0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406.76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C2C8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A5C7A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73.86</w:t>
            </w:r>
          </w:p>
        </w:tc>
      </w:tr>
      <w:tr w:rsidR="00A0308E" w:rsidRPr="003B10E2" w14:paraId="750C70E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E83A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Harbin Hatou Investment,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D3E9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1 484.98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5EA4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8DEE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67.61</w:t>
            </w:r>
          </w:p>
        </w:tc>
      </w:tr>
      <w:tr w:rsidR="00A0308E" w:rsidRPr="003B10E2" w14:paraId="74F67DA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551D9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Harbin High-Tech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D46D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3 052.53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3218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A5B8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159.52</w:t>
            </w:r>
          </w:p>
        </w:tc>
      </w:tr>
      <w:tr w:rsidR="00A0308E" w:rsidRPr="003B10E2" w14:paraId="71ECD5A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F22D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Harbin Pharmaceutical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894B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1 216.54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DAE3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1FC6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65.88</w:t>
            </w:r>
          </w:p>
        </w:tc>
      </w:tr>
      <w:tr w:rsidR="00A0308E" w:rsidRPr="003B10E2" w14:paraId="646179D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C760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Harbin Pharmarceutical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7C93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553.47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4F66C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6965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31.83</w:t>
            </w:r>
          </w:p>
        </w:tc>
      </w:tr>
      <w:tr w:rsidR="00A0308E" w:rsidRPr="003B10E2" w14:paraId="0EC20BB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C13D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Harbin VITI 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1AD5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311.50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3D01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2513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33.31</w:t>
            </w:r>
          </w:p>
        </w:tc>
      </w:tr>
      <w:tr w:rsidR="00A0308E" w:rsidRPr="003B10E2" w14:paraId="7430CA9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90EF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Harbin Xinguang Optic-Electronics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F707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349.87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99C0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3B7D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21.90</w:t>
            </w:r>
          </w:p>
        </w:tc>
      </w:tr>
      <w:tr w:rsidR="00A0308E" w:rsidRPr="003B10E2" w14:paraId="1859914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D9A72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Harson Trading China,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E4CF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236.37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BC31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788D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15.83</w:t>
            </w:r>
          </w:p>
        </w:tc>
      </w:tr>
      <w:tr w:rsidR="00A0308E" w:rsidRPr="003B10E2" w14:paraId="6676D9F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6025E"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HCR,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599E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187.62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D1C6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18.05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6DF0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16.33</w:t>
            </w:r>
          </w:p>
        </w:tc>
      </w:tr>
      <w:tr w:rsidR="00A0308E" w:rsidRPr="003B10E2" w14:paraId="53C8FD8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400FD"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Healthcare,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6CF3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642.10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83AA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E47E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29.94</w:t>
            </w:r>
          </w:p>
        </w:tc>
      </w:tr>
      <w:tr w:rsidR="00A0308E" w:rsidRPr="003B10E2" w14:paraId="0C77BD2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2D5A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Hebei Hengshui Laobaigan Liquor,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BAFE3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3 271.20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B79E0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26.05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6842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483.06</w:t>
            </w:r>
          </w:p>
        </w:tc>
      </w:tr>
      <w:tr w:rsidR="00A0308E" w:rsidRPr="003B10E2" w14:paraId="676FAB0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F7E6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Hebei Huatong Wires and Cables,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1AA2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496.50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A8BD5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743DB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30.33</w:t>
            </w:r>
          </w:p>
        </w:tc>
      </w:tr>
      <w:tr w:rsidR="00A0308E" w:rsidRPr="003B10E2" w14:paraId="375A7D0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0414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Hebei Jinniu Chemical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5C4B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464.62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8A4F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0D03E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58.70</w:t>
            </w:r>
          </w:p>
        </w:tc>
      </w:tr>
      <w:tr w:rsidR="00A0308E" w:rsidRPr="003B10E2" w14:paraId="0898DD6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BF29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Hebei Yangyuan ZhiHui Beverage,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5DA9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4 280.59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020A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24.17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2B22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60.82</w:t>
            </w:r>
          </w:p>
        </w:tc>
      </w:tr>
      <w:tr w:rsidR="00A0308E" w:rsidRPr="003B10E2" w14:paraId="11CED95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1A50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Hefei Changqing Machinery,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5191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477.06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08AD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16.71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BC4E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46.08</w:t>
            </w:r>
          </w:p>
        </w:tc>
      </w:tr>
      <w:tr w:rsidR="00A0308E" w:rsidRPr="003B10E2" w14:paraId="3294620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74DA9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Hefei Chipmore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3841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0268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15.46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2C24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174.63</w:t>
            </w:r>
          </w:p>
        </w:tc>
      </w:tr>
      <w:tr w:rsidR="00A0308E" w:rsidRPr="003B10E2" w14:paraId="6542195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819BE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Hefei Gocom Information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5F1C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206.88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A81B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17.04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E536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23.46</w:t>
            </w:r>
          </w:p>
        </w:tc>
      </w:tr>
      <w:tr w:rsidR="00A0308E" w:rsidRPr="003B10E2" w14:paraId="65CB2EA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2FBA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Hefei Jianghang Aircraft Equipment,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D998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689.34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791A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C9E8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29.95</w:t>
            </w:r>
          </w:p>
        </w:tc>
      </w:tr>
      <w:tr w:rsidR="00A0308E" w:rsidRPr="003B10E2" w14:paraId="29F6ACC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8EB8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Hefei Jingsong Intelligent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00320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BC87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28.93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5CD6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14.14</w:t>
            </w:r>
          </w:p>
        </w:tc>
      </w:tr>
      <w:tr w:rsidR="00A0308E" w:rsidRPr="003B10E2" w14:paraId="1BF9B72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F5AD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Hefei Kewell Power System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5D7A7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676.57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031A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60.43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C8D6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23.38</w:t>
            </w:r>
          </w:p>
        </w:tc>
      </w:tr>
      <w:tr w:rsidR="00A0308E" w:rsidRPr="003B10E2" w14:paraId="73E2880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4545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Hefei Metalforming Intelligent Manufacturing,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4938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520.65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B860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42271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258.66</w:t>
            </w:r>
          </w:p>
        </w:tc>
      </w:tr>
      <w:tr w:rsidR="00A0308E" w:rsidRPr="003B10E2" w14:paraId="50B6247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A4DB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Hefei Taihe Intelligent Technology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51E9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284.99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3FD1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13.27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0706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19.63</w:t>
            </w:r>
          </w:p>
        </w:tc>
      </w:tr>
      <w:tr w:rsidR="00A0308E" w:rsidRPr="003B10E2" w14:paraId="4D0174B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11D40"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Heilongjiang Agriculture,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C196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3 380.96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97A00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13.59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3AA1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93.71</w:t>
            </w:r>
          </w:p>
        </w:tc>
      </w:tr>
      <w:tr w:rsidR="00A0308E" w:rsidRPr="003B10E2" w14:paraId="2834594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6B4E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Heilongjiang Interchina Water Treatment,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7768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620.33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C27F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5E44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34.23</w:t>
            </w:r>
          </w:p>
        </w:tc>
      </w:tr>
      <w:tr w:rsidR="00A0308E" w:rsidRPr="003B10E2" w14:paraId="189F33E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2DE6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Heilongjiang Publishing &amp; Media,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2BD45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807.97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CDD4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29D7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86.51</w:t>
            </w:r>
          </w:p>
        </w:tc>
      </w:tr>
      <w:tr w:rsidR="00A0308E" w:rsidRPr="003B10E2" w14:paraId="41FD8EC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6C05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Heilongjiang Transport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DB5E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596.66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73E4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CCC7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34.85</w:t>
            </w:r>
          </w:p>
        </w:tc>
      </w:tr>
      <w:tr w:rsidR="00A0308E" w:rsidRPr="003B10E2" w14:paraId="6523D45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B716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Heilongjiang ZBD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AB26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2 156.68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B949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16.36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FC63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99.50</w:t>
            </w:r>
          </w:p>
        </w:tc>
      </w:tr>
      <w:tr w:rsidR="00A0308E" w:rsidRPr="003B10E2" w14:paraId="19B6C96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6F06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Henan Ancai Hi-Tech,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108C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710.12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B0CC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F59DE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20.51</w:t>
            </w:r>
          </w:p>
        </w:tc>
      </w:tr>
      <w:tr w:rsidR="00A0308E" w:rsidRPr="003B10E2" w14:paraId="2B2F188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9809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Henan Dayou Energy,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7B4B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1 381.86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DAF3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7DB2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26.74</w:t>
            </w:r>
          </w:p>
        </w:tc>
      </w:tr>
      <w:tr w:rsidR="00A0308E" w:rsidRPr="003B10E2" w14:paraId="057F7A6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D813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Henan Huanghe Whirlwind,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E3B47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821.45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FE32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9E41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61.98</w:t>
            </w:r>
          </w:p>
        </w:tc>
      </w:tr>
      <w:tr w:rsidR="00A0308E" w:rsidRPr="003B10E2" w14:paraId="449CFB3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6AE0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Henan Lantian Gas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F5E1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595.74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99BD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CF20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20.22</w:t>
            </w:r>
          </w:p>
        </w:tc>
      </w:tr>
      <w:tr w:rsidR="00A0308E" w:rsidRPr="003B10E2" w14:paraId="34A44AE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E213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Henan Lingrui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CB8E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1 275.40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D8CA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16.06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967E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114.13</w:t>
            </w:r>
          </w:p>
        </w:tc>
      </w:tr>
      <w:tr w:rsidR="00A0308E" w:rsidRPr="003B10E2" w14:paraId="70B6A28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A8A6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Henan Mingtai Al.Industrial,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BC53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1 289.60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C9B33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DDFF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162.25</w:t>
            </w:r>
          </w:p>
        </w:tc>
      </w:tr>
      <w:tr w:rsidR="00A0308E" w:rsidRPr="003B10E2" w14:paraId="3163093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8723E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Henan Oriental Silver Star Investment,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8908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289.11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4CAB4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3E41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15.62</w:t>
            </w:r>
          </w:p>
        </w:tc>
      </w:tr>
      <w:tr w:rsidR="00A0308E" w:rsidRPr="003B10E2" w14:paraId="43254A5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659DA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Henan Pinggao Electric,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D261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2 123.07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B432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11.18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D1B1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131.77</w:t>
            </w:r>
          </w:p>
        </w:tc>
      </w:tr>
      <w:tr w:rsidR="00A0308E" w:rsidRPr="003B10E2" w14:paraId="57ED3E7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12D7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Henan Rebecca Hair Products,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AFE5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400.80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CE31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1CB9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11.32</w:t>
            </w:r>
          </w:p>
        </w:tc>
      </w:tr>
      <w:tr w:rsidR="00A0308E" w:rsidRPr="003B10E2" w14:paraId="5485993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1714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Henan Shijia Photons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3B72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972.76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5ADB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15.15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5B31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427.35</w:t>
            </w:r>
          </w:p>
        </w:tc>
      </w:tr>
      <w:tr w:rsidR="00A0308E" w:rsidRPr="003B10E2" w14:paraId="08FCD83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3642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Henan Taloph Pharmaceutical Stock,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5836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459.40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F0DD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1C70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31.93</w:t>
            </w:r>
          </w:p>
        </w:tc>
      </w:tr>
      <w:tr w:rsidR="00A0308E" w:rsidRPr="003B10E2" w14:paraId="074D61D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FA82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Henan Thinker Automatic Equipment,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372E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700.90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BCF13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18.39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EECC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56.52</w:t>
            </w:r>
          </w:p>
        </w:tc>
      </w:tr>
      <w:tr w:rsidR="00A0308E" w:rsidRPr="003B10E2" w14:paraId="0006550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E16C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Henan Yuguang Gold &amp; Lead,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D465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962.76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0FE6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BA99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102.95</w:t>
            </w:r>
          </w:p>
        </w:tc>
      </w:tr>
      <w:tr w:rsidR="00A0308E" w:rsidRPr="003B10E2" w14:paraId="533C36E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8F6D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Henan Zhongfu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15A6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1 597.41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6554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1E14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67.14</w:t>
            </w:r>
          </w:p>
        </w:tc>
      </w:tr>
      <w:tr w:rsidR="00A0308E" w:rsidRPr="003B10E2" w14:paraId="7F5023A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270F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Henan Zhongyuan Expressway Company,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5818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1 163.71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746A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D4A8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49.06</w:t>
            </w:r>
          </w:p>
        </w:tc>
      </w:tr>
      <w:tr w:rsidR="00A0308E" w:rsidRPr="003B10E2" w14:paraId="25740B2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4DA58"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Hengdian Entertainment,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9349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1 590.49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4524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17.92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59FE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64.11</w:t>
            </w:r>
          </w:p>
        </w:tc>
      </w:tr>
      <w:tr w:rsidR="00A0308E" w:rsidRPr="003B10E2" w14:paraId="5DDDB0C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DA84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Hengdian Group Tospo Lighting,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D40A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895.75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F500C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13.42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BDD8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18.87</w:t>
            </w:r>
          </w:p>
        </w:tc>
      </w:tr>
      <w:tr w:rsidR="00A0308E" w:rsidRPr="003B10E2" w14:paraId="7EA7F4B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46398"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Hengli Petrochemical,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D7DC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14 087.07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E568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9D40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200.75</w:t>
            </w:r>
          </w:p>
        </w:tc>
      </w:tr>
      <w:tr w:rsidR="00A0308E" w:rsidRPr="003B10E2" w14:paraId="26B1BA9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4316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Henglin Home Furnishings,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902B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476.10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A9B8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34.02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C2FC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17.20</w:t>
            </w:r>
          </w:p>
        </w:tc>
      </w:tr>
      <w:tr w:rsidR="00A0308E" w:rsidRPr="003B10E2" w14:paraId="0307CE1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4EF4EA"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Hengsheng Energy,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67D3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383.46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CF6AE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13.70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4B60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206.99</w:t>
            </w:r>
          </w:p>
        </w:tc>
      </w:tr>
      <w:tr w:rsidR="00A0308E" w:rsidRPr="003B10E2" w14:paraId="20717CF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8F308"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Hengtong Logistics,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0751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814.07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8D58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20.61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D3DA7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15.46</w:t>
            </w:r>
          </w:p>
        </w:tc>
      </w:tr>
      <w:tr w:rsidR="00A0308E" w:rsidRPr="003B10E2" w14:paraId="5EA76AF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5141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Hengtong Optic-electric,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70547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4 614.99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5A6E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13.96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1034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658.72</w:t>
            </w:r>
          </w:p>
        </w:tc>
      </w:tr>
      <w:tr w:rsidR="00A0308E" w:rsidRPr="003B10E2" w14:paraId="79AA36F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BFA46D"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Hexing Electrical,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3DED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1 722.76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9820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25.19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E13C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188.34</w:t>
            </w:r>
          </w:p>
        </w:tc>
      </w:tr>
      <w:tr w:rsidR="00A0308E" w:rsidRPr="003B10E2" w14:paraId="2F6C081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CD63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Hi-Trend Technology Shanghai,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81CB8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9B69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70.42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E695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40.16</w:t>
            </w:r>
          </w:p>
        </w:tc>
      </w:tr>
      <w:tr w:rsidR="00A0308E" w:rsidRPr="003B10E2" w14:paraId="6010300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E6FBB"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Hillstone Networks,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146E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576.57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AE4D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22.86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8DCE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26.96</w:t>
            </w:r>
          </w:p>
        </w:tc>
      </w:tr>
      <w:tr w:rsidR="00A0308E" w:rsidRPr="003B10E2" w14:paraId="19A63A9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EBA9B"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Hinova Pharmaceuticals,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9AC25"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DC72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57.60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D25F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21.38</w:t>
            </w:r>
          </w:p>
        </w:tc>
      </w:tr>
      <w:tr w:rsidR="00A0308E" w:rsidRPr="003B10E2" w14:paraId="349A222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18B3E"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Hisense Electric,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796B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4 200.06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D2E5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22.94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6925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176.91</w:t>
            </w:r>
          </w:p>
        </w:tc>
      </w:tr>
      <w:tr w:rsidR="00A0308E" w:rsidRPr="003B10E2" w14:paraId="6090462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CEB44"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HitGen,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7A52E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948.22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BB23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16.91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11F0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86.11</w:t>
            </w:r>
          </w:p>
        </w:tc>
      </w:tr>
      <w:tr w:rsidR="00A0308E" w:rsidRPr="003B10E2" w14:paraId="3D3698E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0349D"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HLA Corp,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F3AD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3 941.48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0E85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F936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76.42</w:t>
            </w:r>
          </w:p>
        </w:tc>
      </w:tr>
      <w:tr w:rsidR="00A0308E" w:rsidRPr="003B10E2" w14:paraId="67D5BA7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3CE1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HMT Xiamen New Technical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57CA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1 237.02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CE7A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28.79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0576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72.66</w:t>
            </w:r>
          </w:p>
        </w:tc>
      </w:tr>
      <w:tr w:rsidR="00A0308E" w:rsidRPr="003B10E2" w14:paraId="29F6F5F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E91D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HNA Infrastructure Investment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CAFB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6 683.62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D6FC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4C6A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66.96</w:t>
            </w:r>
          </w:p>
        </w:tc>
      </w:tr>
      <w:tr w:rsidR="00A0308E" w:rsidRPr="003B10E2" w14:paraId="4AE6D28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6FCEB"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HNA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1845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981.93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E9D3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29DA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19.71</w:t>
            </w:r>
          </w:p>
        </w:tc>
      </w:tr>
      <w:tr w:rsidR="00A0308E" w:rsidRPr="003B10E2" w14:paraId="2E575E1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6799B"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HNA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3E183"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BF2CE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0.18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9F98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0.07</w:t>
            </w:r>
          </w:p>
        </w:tc>
      </w:tr>
      <w:tr w:rsidR="00A0308E" w:rsidRPr="003B10E2" w14:paraId="559BBA4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1068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HOB Biotech Group Corp,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413A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308.61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3BB4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34.97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3533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4.41</w:t>
            </w:r>
          </w:p>
        </w:tc>
      </w:tr>
      <w:tr w:rsidR="00A0308E" w:rsidRPr="003B10E2" w14:paraId="247DAEA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5D4E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Holsin Engineering Consulting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04F0E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380.24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B22C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13.55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927AC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37.45</w:t>
            </w:r>
          </w:p>
        </w:tc>
      </w:tr>
      <w:tr w:rsidR="00A0308E" w:rsidRPr="003B10E2" w14:paraId="19EFF20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27F56"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Hongfa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BB5F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3 090.36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80DFF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29.65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D87C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100.55</w:t>
            </w:r>
          </w:p>
        </w:tc>
      </w:tr>
      <w:tr w:rsidR="00A0308E" w:rsidRPr="003B10E2" w14:paraId="6FE0EF4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5E578"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Hongta Securities,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0F30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5 109.22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8237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66B5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75.79</w:t>
            </w:r>
          </w:p>
        </w:tc>
      </w:tr>
      <w:tr w:rsidR="00A0308E" w:rsidRPr="003B10E2" w14:paraId="3998119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753C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Hoshine Silicon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4BD0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10 289.92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3711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6026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180.70</w:t>
            </w:r>
          </w:p>
        </w:tc>
      </w:tr>
      <w:tr w:rsidR="00A0308E" w:rsidRPr="003B10E2" w14:paraId="6EA9678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7FA0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Hoymiles Power 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03B3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1 895.07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C377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338.53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8E0E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340.68</w:t>
            </w:r>
          </w:p>
        </w:tc>
      </w:tr>
      <w:tr w:rsidR="00A0308E" w:rsidRPr="003B10E2" w14:paraId="5E1C6F2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626F8"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Hua Xia Bank,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1F27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12 769.75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F177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338F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151.44</w:t>
            </w:r>
          </w:p>
        </w:tc>
      </w:tr>
      <w:tr w:rsidR="00A0308E" w:rsidRPr="003B10E2" w14:paraId="0B35B4E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14A2B"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Huaan Securities,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7180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3 162.23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1BE8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70FC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67.70</w:t>
            </w:r>
          </w:p>
        </w:tc>
      </w:tr>
      <w:tr w:rsidR="00A0308E" w:rsidRPr="003B10E2" w14:paraId="6207317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A4A8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Huada Automotive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8F40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1 164.96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5AC9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18.96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B221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35.95</w:t>
            </w:r>
          </w:p>
        </w:tc>
      </w:tr>
      <w:tr w:rsidR="00A0308E" w:rsidRPr="003B10E2" w14:paraId="461E592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12753"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Huadian Energy,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E827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839.46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06EA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D2629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172.71</w:t>
            </w:r>
          </w:p>
        </w:tc>
      </w:tr>
      <w:tr w:rsidR="00A0308E" w:rsidRPr="003B10E2" w14:paraId="7CC235E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E526F"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Huadian Energy,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D2112"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AAAF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0.18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CE60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1.71</w:t>
            </w:r>
          </w:p>
        </w:tc>
      </w:tr>
      <w:tr w:rsidR="00A0308E" w:rsidRPr="003B10E2" w14:paraId="6DA20F4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B773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Huadian Heavy Industries,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9B37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1 066.49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72D2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B34B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50.98</w:t>
            </w:r>
          </w:p>
        </w:tc>
      </w:tr>
      <w:tr w:rsidR="00A0308E" w:rsidRPr="003B10E2" w14:paraId="62ABBBC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0AC2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Huadian Power International Corporation,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8FEC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7 473.19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3E5F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96F3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418.92</w:t>
            </w:r>
          </w:p>
        </w:tc>
      </w:tr>
      <w:tr w:rsidR="00A0308E" w:rsidRPr="003B10E2" w14:paraId="0B4CF5D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FFA10"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Huafa Industrial,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9352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3 202.93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9881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10.81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7A40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295.01</w:t>
            </w:r>
          </w:p>
        </w:tc>
      </w:tr>
      <w:tr w:rsidR="00A0308E" w:rsidRPr="003B10E2" w14:paraId="1FF3EF8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80FE26"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Huafang,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A2A9A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256.49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27DA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C16C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18.96</w:t>
            </w:r>
          </w:p>
        </w:tc>
      </w:tr>
      <w:tr w:rsidR="00A0308E" w:rsidRPr="003B10E2" w14:paraId="228DE3E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9A8B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Huaibei Mining Holdings,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B8DE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4 072.85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F29E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11.73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6BD0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191.23</w:t>
            </w:r>
          </w:p>
        </w:tc>
      </w:tr>
      <w:tr w:rsidR="00A0308E" w:rsidRPr="003B10E2" w14:paraId="08E26DE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BBC4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Huaihe Energy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3AB1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1 370.57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7786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2181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35.40</w:t>
            </w:r>
          </w:p>
        </w:tc>
      </w:tr>
      <w:tr w:rsidR="00A0308E" w:rsidRPr="003B10E2" w14:paraId="778DB2D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E874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Huaneng Lancang River Hydropower,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8017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18 263.24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CE9E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61B3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158.45</w:t>
            </w:r>
          </w:p>
        </w:tc>
      </w:tr>
      <w:tr w:rsidR="00A0308E" w:rsidRPr="003B10E2" w14:paraId="591FB40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3AB7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Huaneng Power International,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A6C72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13 544.17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22C5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B8F9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670.39</w:t>
            </w:r>
          </w:p>
        </w:tc>
      </w:tr>
      <w:tr w:rsidR="00A0308E" w:rsidRPr="003B10E2" w14:paraId="241098A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A17C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Huangshan Tourism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01A9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1 386.18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8199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13.58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BC6A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79.40</w:t>
            </w:r>
          </w:p>
        </w:tc>
      </w:tr>
      <w:tr w:rsidR="00A0308E" w:rsidRPr="003B10E2" w14:paraId="1FBB918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C5FE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Huangshan Tourism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7438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A7925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0.76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6529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0.16</w:t>
            </w:r>
          </w:p>
        </w:tc>
      </w:tr>
      <w:tr w:rsidR="00A0308E" w:rsidRPr="003B10E2" w14:paraId="6527FCD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98DC6"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Huatai Securities,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50E09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14 086.07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3C30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13.68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F12F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624.61</w:t>
            </w:r>
          </w:p>
        </w:tc>
      </w:tr>
      <w:tr w:rsidR="00A0308E" w:rsidRPr="003B10E2" w14:paraId="45DAACE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B1C18"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Huaxin Cement,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19EB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3 858.41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2655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13.15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771F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57.53</w:t>
            </w:r>
          </w:p>
        </w:tc>
      </w:tr>
      <w:tr w:rsidR="00A0308E" w:rsidRPr="003B10E2" w14:paraId="5C087C9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6D90D"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Huayi Electric,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1B31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149.95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084C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3614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12.57</w:t>
            </w:r>
          </w:p>
        </w:tc>
      </w:tr>
      <w:tr w:rsidR="00A0308E" w:rsidRPr="003B10E2" w14:paraId="6BE439B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1BBB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HUAYU Automotive Systems,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A96F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8 105.18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F8DB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18.37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CF15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163.24</w:t>
            </w:r>
          </w:p>
        </w:tc>
      </w:tr>
      <w:tr w:rsidR="00A0308E" w:rsidRPr="003B10E2" w14:paraId="45ECC53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67BB8"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Huayuan Property,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506B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541.75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EFE7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4AAE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27.13</w:t>
            </w:r>
          </w:p>
        </w:tc>
      </w:tr>
      <w:tr w:rsidR="00A0308E" w:rsidRPr="003B10E2" w14:paraId="0F1B5DF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7C24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Hubei Chaozhuo Aviation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3EC3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9C11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44.89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1515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16.94</w:t>
            </w:r>
          </w:p>
        </w:tc>
      </w:tr>
      <w:tr w:rsidR="00A0308E" w:rsidRPr="003B10E2" w14:paraId="10223D0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085E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Hubei Chutian Expressway,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DB91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932.88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2C72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FF40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60.30</w:t>
            </w:r>
          </w:p>
        </w:tc>
      </w:tr>
      <w:tr w:rsidR="00A0308E" w:rsidRPr="003B10E2" w14:paraId="16F41AB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8B6EF7"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Hubei Huaqiang,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CA92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946.89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262E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19.64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9566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12.17</w:t>
            </w:r>
          </w:p>
        </w:tc>
      </w:tr>
      <w:tr w:rsidR="00A0308E" w:rsidRPr="003B10E2" w14:paraId="171FD18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09C0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Hubei Huarong 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F1E1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318.08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37A1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11.62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F43F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0.00</w:t>
            </w:r>
          </w:p>
        </w:tc>
      </w:tr>
      <w:tr w:rsidR="00A0308E" w:rsidRPr="003B10E2" w14:paraId="07360FE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B6A7E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Hubei Jianghan New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4EE3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27F0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31.82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0165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32.50</w:t>
            </w:r>
          </w:p>
        </w:tc>
      </w:tr>
      <w:tr w:rsidR="00A0308E" w:rsidRPr="003B10E2" w14:paraId="20F36D8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CD3E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Hubei Jumpcan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A2D9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3 600.08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3F08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28.96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FD38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205.06</w:t>
            </w:r>
          </w:p>
        </w:tc>
      </w:tr>
      <w:tr w:rsidR="00A0308E" w:rsidRPr="003B10E2" w14:paraId="40C7886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E0C2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Hubei Juneyao Health Drinks,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4A61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786.52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447C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13.07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2501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21.58</w:t>
            </w:r>
          </w:p>
        </w:tc>
      </w:tr>
      <w:tr w:rsidR="00A0308E" w:rsidRPr="003B10E2" w14:paraId="754B3A1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8AF8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Hubei Mailyard Share,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2E59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272.06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FF03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F0D3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9.46</w:t>
            </w:r>
          </w:p>
        </w:tc>
      </w:tr>
      <w:tr w:rsidR="00A0308E" w:rsidRPr="003B10E2" w14:paraId="023F032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0844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Hubei Sanxia New Building Material,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EB43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417.27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46C7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1B37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116.16</w:t>
            </w:r>
          </w:p>
        </w:tc>
      </w:tr>
      <w:tr w:rsidR="00A0308E" w:rsidRPr="003B10E2" w14:paraId="12D7A6D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97D2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Hubei Wanrun New Energy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26C8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39519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92.74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C586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15.28</w:t>
            </w:r>
          </w:p>
        </w:tc>
      </w:tr>
      <w:tr w:rsidR="00A0308E" w:rsidRPr="003B10E2" w14:paraId="5D1310E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7FD3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Hubei Xingfa Chemicals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9030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3 522.42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65FF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22.64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D402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203.08</w:t>
            </w:r>
          </w:p>
        </w:tc>
      </w:tr>
      <w:tr w:rsidR="00A0308E" w:rsidRPr="003B10E2" w14:paraId="758F264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B531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Hubei Zhenhua Chemical,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30756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836.04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4992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11.75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54C5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27.78</w:t>
            </w:r>
          </w:p>
        </w:tc>
      </w:tr>
      <w:tr w:rsidR="00A0308E" w:rsidRPr="003B10E2" w14:paraId="3E40026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D8A1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Huida Sanitary Ware,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6F1F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415.95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D5C4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A92D6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13.54</w:t>
            </w:r>
          </w:p>
        </w:tc>
      </w:tr>
      <w:tr w:rsidR="00A0308E" w:rsidRPr="003B10E2" w14:paraId="1CCAF51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889B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Huitong Construction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85E6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419.93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AEB0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7B30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10.12</w:t>
            </w:r>
          </w:p>
        </w:tc>
      </w:tr>
      <w:tr w:rsidR="00A0308E" w:rsidRPr="003B10E2" w14:paraId="474E508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886DC"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Huluwa Pharmaceutical,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A7F2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843.28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D2E8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15.06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F850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25.38</w:t>
            </w:r>
          </w:p>
        </w:tc>
      </w:tr>
      <w:tr w:rsidR="00A0308E" w:rsidRPr="003B10E2" w14:paraId="4B80A6B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42AE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Humanwell Healthcare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DB96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5 999.32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DF739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1943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501.90</w:t>
            </w:r>
          </w:p>
        </w:tc>
      </w:tr>
      <w:tr w:rsidR="00A0308E" w:rsidRPr="003B10E2" w14:paraId="3CA06D1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8FAC0"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Hunan Aihua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84EA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1 196.47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EFBC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21.33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CE766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41.95</w:t>
            </w:r>
          </w:p>
        </w:tc>
      </w:tr>
      <w:tr w:rsidR="00A0308E" w:rsidRPr="003B10E2" w14:paraId="7F964E9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4C20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Hunan Baili Engineering Sci &amp; 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4376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696.46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E080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10.15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651A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83.72</w:t>
            </w:r>
          </w:p>
        </w:tc>
      </w:tr>
      <w:tr w:rsidR="00A0308E" w:rsidRPr="003B10E2" w14:paraId="2AC10EA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523DD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Hunan Changyuan Lico,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C31E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3 220.97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37D5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11.93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BD68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62.44</w:t>
            </w:r>
          </w:p>
        </w:tc>
      </w:tr>
      <w:tr w:rsidR="00A0308E" w:rsidRPr="003B10E2" w14:paraId="5317AC4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BAC7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Hunan Chen Dian International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4AAA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370.80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466F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F13C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27.39</w:t>
            </w:r>
          </w:p>
        </w:tc>
      </w:tr>
      <w:tr w:rsidR="00A0308E" w:rsidRPr="003B10E2" w14:paraId="1B2FBC7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86BC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Hunan Copote Science &amp;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C225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391.09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E240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17.35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99BE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55.14</w:t>
            </w:r>
          </w:p>
        </w:tc>
      </w:tr>
      <w:tr w:rsidR="00A0308E" w:rsidRPr="003B10E2" w14:paraId="114F68D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D4A1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Hunan Corun New Energy,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F024A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1 596.48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BF64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3340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72.90</w:t>
            </w:r>
          </w:p>
        </w:tc>
      </w:tr>
      <w:tr w:rsidR="00A0308E" w:rsidRPr="003B10E2" w14:paraId="3BFED8E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54BB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Hunan Fangsheng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7200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739.20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5416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AEC7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153.81</w:t>
            </w:r>
          </w:p>
        </w:tc>
      </w:tr>
      <w:tr w:rsidR="00A0308E" w:rsidRPr="003B10E2" w14:paraId="305D7CF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4659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Hunan Haili Chemical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B4BB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489.22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4AC3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F495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89.04</w:t>
            </w:r>
          </w:p>
        </w:tc>
      </w:tr>
      <w:tr w:rsidR="00A0308E" w:rsidRPr="003B10E2" w14:paraId="297EBAA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904BA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Hunan Heshun Petroleum,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30E6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403.79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3D2D6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16.64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2F50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30.21</w:t>
            </w:r>
          </w:p>
        </w:tc>
      </w:tr>
      <w:tr w:rsidR="00A0308E" w:rsidRPr="003B10E2" w14:paraId="49E8FB7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B597A"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Hunan Huasheng,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4A21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247.05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B477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1647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15.73</w:t>
            </w:r>
          </w:p>
        </w:tc>
      </w:tr>
      <w:tr w:rsidR="00A0308E" w:rsidRPr="003B10E2" w14:paraId="57D8678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038E8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Hunan Kylinsec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E738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3EB2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109.70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FEA9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62.47</w:t>
            </w:r>
          </w:p>
        </w:tc>
      </w:tr>
      <w:tr w:rsidR="00A0308E" w:rsidRPr="003B10E2" w14:paraId="3650329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08350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Hunan New Wellful,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733F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1 153.68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C1968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10.24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9507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670.49</w:t>
            </w:r>
          </w:p>
        </w:tc>
      </w:tr>
      <w:tr w:rsidR="00A0308E" w:rsidRPr="003B10E2" w14:paraId="1DAE071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139B3"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Hunan Oil Pump,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F4B0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348.84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D9AC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15.52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7218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95.62</w:t>
            </w:r>
          </w:p>
        </w:tc>
      </w:tr>
      <w:tr w:rsidR="00A0308E" w:rsidRPr="003B10E2" w14:paraId="7CBAD8B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2EF6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Hunan Salt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6E11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1 487.07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507D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69B11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149.82</w:t>
            </w:r>
          </w:p>
        </w:tc>
      </w:tr>
      <w:tr w:rsidR="00A0308E" w:rsidRPr="003B10E2" w14:paraId="669C65D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8511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Hunan Sokan New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B1E1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543.40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E508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48.78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4A57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76.23</w:t>
            </w:r>
          </w:p>
        </w:tc>
      </w:tr>
      <w:tr w:rsidR="00A0308E" w:rsidRPr="003B10E2" w14:paraId="01C44B8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C28B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Hunan Tyen Machinery,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21FF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671.82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0FE6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C8DB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24.43</w:t>
            </w:r>
          </w:p>
        </w:tc>
      </w:tr>
      <w:tr w:rsidR="00A0308E" w:rsidRPr="003B10E2" w14:paraId="5BE664B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1D1B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Hunan Tyen Machinery,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7D76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FDE3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0.16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7DB71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0.06</w:t>
            </w:r>
          </w:p>
        </w:tc>
      </w:tr>
      <w:tr w:rsidR="00A0308E" w:rsidRPr="003B10E2" w14:paraId="43A44B0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1CB1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Hunan Warrant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C8332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520.23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023A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39.63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5BE5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48.56</w:t>
            </w:r>
          </w:p>
        </w:tc>
      </w:tr>
      <w:tr w:rsidR="00A0308E" w:rsidRPr="003B10E2" w14:paraId="311F13B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DE23B5"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Hundsun Technologies,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C8F0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8 721.70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D7C2D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42.64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A1D3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1 166.93</w:t>
            </w:r>
          </w:p>
        </w:tc>
      </w:tr>
      <w:tr w:rsidR="00A0308E" w:rsidRPr="003B10E2" w14:paraId="2A4BEE9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4BD7C"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Hwatsing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5FBA4"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381E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336.19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AF45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736.55</w:t>
            </w:r>
          </w:p>
        </w:tc>
      </w:tr>
      <w:tr w:rsidR="00A0308E" w:rsidRPr="003B10E2" w14:paraId="4C43E86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0CF9E9"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HY Energy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C3E6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351.17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3D32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9880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13.56</w:t>
            </w:r>
          </w:p>
        </w:tc>
      </w:tr>
      <w:tr w:rsidR="00A0308E" w:rsidRPr="003B10E2" w14:paraId="705C78C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7A76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Hygon Information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F3C5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BC35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80.78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15DE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2 139.52</w:t>
            </w:r>
          </w:p>
        </w:tc>
      </w:tr>
      <w:tr w:rsidR="00A0308E" w:rsidRPr="003B10E2" w14:paraId="79983EC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3436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Hylink Digital Solution,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8E058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537.13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826C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15.15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5570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182.69</w:t>
            </w:r>
          </w:p>
        </w:tc>
      </w:tr>
      <w:tr w:rsidR="00A0308E" w:rsidRPr="003B10E2" w14:paraId="5959AD1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CF13E"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ICBC,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FC41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188 658.75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2AE2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EE08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809.44</w:t>
            </w:r>
          </w:p>
        </w:tc>
      </w:tr>
      <w:tr w:rsidR="00A0308E" w:rsidRPr="003B10E2" w14:paraId="563D315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2D8DF"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IKD,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6CAB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2 690.56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B90F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44BC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131.81</w:t>
            </w:r>
          </w:p>
        </w:tc>
      </w:tr>
      <w:tr w:rsidR="00A0308E" w:rsidRPr="003B10E2" w14:paraId="01DB8A2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BD5F1"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Industrial Bank,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B3C8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49 453.36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D761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17.01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8E81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717.09</w:t>
            </w:r>
          </w:p>
        </w:tc>
      </w:tr>
      <w:tr w:rsidR="00A0308E" w:rsidRPr="003B10E2" w14:paraId="7B58CB0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EBF1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INESA Intelligent 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5006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2 499.73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CC78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13.06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B07A8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2 015.20</w:t>
            </w:r>
          </w:p>
        </w:tc>
      </w:tr>
      <w:tr w:rsidR="00A0308E" w:rsidRPr="003B10E2" w14:paraId="4E032F3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1CAC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INESA Intelligent 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CD1E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CE80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0.61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D2F7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2.18</w:t>
            </w:r>
          </w:p>
        </w:tc>
      </w:tr>
      <w:tr w:rsidR="00A0308E" w:rsidRPr="003B10E2" w14:paraId="013A762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3821C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InfoVision Optoelectronics (Kunshan),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4E1B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1 991.93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38D8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97DC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7.28</w:t>
            </w:r>
          </w:p>
        </w:tc>
      </w:tr>
      <w:tr w:rsidR="00A0308E" w:rsidRPr="003B10E2" w14:paraId="2C1E2F4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2DD74"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Inly Media,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86829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449.09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C727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FD4A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209.27</w:t>
            </w:r>
          </w:p>
        </w:tc>
      </w:tr>
      <w:tr w:rsidR="00A0308E" w:rsidRPr="003B10E2" w14:paraId="39E28DB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8DFD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Inner Mongolia Baotou Steel Union,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FBFD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11 546.97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EEC8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3C53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194.68</w:t>
            </w:r>
          </w:p>
        </w:tc>
      </w:tr>
      <w:tr w:rsidR="00A0308E" w:rsidRPr="003B10E2" w14:paraId="3853E69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63E6D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Inner Mongolia Eerduosi Resources,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CCBB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2 687.83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0B32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5C06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82.55</w:t>
            </w:r>
          </w:p>
        </w:tc>
      </w:tr>
      <w:tr w:rsidR="00A0308E" w:rsidRPr="003B10E2" w14:paraId="7C84E01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23CB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Inner Mongolia Eerduosi Resources,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F4C9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9DAC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9E3C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0.41</w:t>
            </w:r>
          </w:p>
        </w:tc>
      </w:tr>
      <w:tr w:rsidR="00A0308E" w:rsidRPr="003B10E2" w14:paraId="79F5BD2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61AF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Inner Mongolia First Machinery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44CC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2 249.12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51E46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B41E2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81.96</w:t>
            </w:r>
          </w:p>
        </w:tc>
      </w:tr>
      <w:tr w:rsidR="00A0308E" w:rsidRPr="003B10E2" w14:paraId="417168D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7164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Inner Mongolia Junzheng Energy &amp; Chemical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CD8A5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4 877.06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1E7F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C512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42.38</w:t>
            </w:r>
          </w:p>
        </w:tc>
      </w:tr>
      <w:tr w:rsidR="00A0308E" w:rsidRPr="003B10E2" w14:paraId="5511A82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07BC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Inner Mongolia Lantai Industrial,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9D33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1 188.79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9C9B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8.87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C436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162.99</w:t>
            </w:r>
          </w:p>
        </w:tc>
      </w:tr>
      <w:tr w:rsidR="00A0308E" w:rsidRPr="003B10E2" w14:paraId="198E52C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D61D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Inner Mongolia Meng Dian Hua Neng Thermal 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F8EB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3 681.11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29D8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233E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192.07</w:t>
            </w:r>
          </w:p>
        </w:tc>
      </w:tr>
      <w:tr w:rsidR="00A0308E" w:rsidRPr="003B10E2" w14:paraId="3E91209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9792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Inner Mongolia North Hauler,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A7CA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529.59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BF8B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22.26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06DC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218.53</w:t>
            </w:r>
          </w:p>
        </w:tc>
      </w:tr>
      <w:tr w:rsidR="00A0308E" w:rsidRPr="003B10E2" w14:paraId="34D06E7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C603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Inner Mongolia Xinhua Publishing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4785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707.49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8C72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D8D3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155.66</w:t>
            </w:r>
          </w:p>
        </w:tc>
      </w:tr>
      <w:tr w:rsidR="00A0308E" w:rsidRPr="003B10E2" w14:paraId="5ABD1E2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9ED0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Inner Mongolia Yili Industrial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7B2D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25 912.22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48E8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28.93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D12F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777.58</w:t>
            </w:r>
          </w:p>
        </w:tc>
      </w:tr>
      <w:tr w:rsidR="00A0308E" w:rsidRPr="003B10E2" w14:paraId="4687EED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A1C7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Inner Mongolia Yitai Coal,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24BA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3 929.38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D4AB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9254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2.08</w:t>
            </w:r>
          </w:p>
        </w:tc>
      </w:tr>
      <w:tr w:rsidR="00A0308E" w:rsidRPr="003B10E2" w14:paraId="3703507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32E4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Innovita Biological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3817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B392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24.61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C757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27.61</w:t>
            </w:r>
          </w:p>
        </w:tc>
      </w:tr>
      <w:tr w:rsidR="00A0308E" w:rsidRPr="003B10E2" w14:paraId="0D69955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1BC58"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Insigma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345C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1 136.02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8938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13AC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594.13</w:t>
            </w:r>
          </w:p>
        </w:tc>
      </w:tr>
      <w:tr w:rsidR="00A0308E" w:rsidRPr="003B10E2" w14:paraId="4B4F8DC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27C9A"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Inspur Software,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2E58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791.93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ED489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17.46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7623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191.05</w:t>
            </w:r>
          </w:p>
        </w:tc>
      </w:tr>
      <w:tr w:rsidR="00A0308E" w:rsidRPr="003B10E2" w14:paraId="4352166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EF52B"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InventisBio,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03F59"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B132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14.67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B50A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51.24</w:t>
            </w:r>
          </w:p>
        </w:tc>
      </w:tr>
      <w:tr w:rsidR="00A0308E" w:rsidRPr="003B10E2" w14:paraId="7153540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2FB76"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Inzone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5A99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440.33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904B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7A78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27.58</w:t>
            </w:r>
          </w:p>
        </w:tc>
      </w:tr>
      <w:tr w:rsidR="00A0308E" w:rsidRPr="003B10E2" w14:paraId="70B329F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B0A1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iRay Technology Company,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F499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2 771.75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7A80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273.00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71EB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352.63</w:t>
            </w:r>
          </w:p>
        </w:tc>
      </w:tr>
      <w:tr w:rsidR="00A0308E" w:rsidRPr="003B10E2" w14:paraId="500E336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D41B2"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IReader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E0B3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2 122.16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1877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34.55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5A59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707.77</w:t>
            </w:r>
          </w:p>
        </w:tc>
      </w:tr>
      <w:tr w:rsidR="00A0308E" w:rsidRPr="003B10E2" w14:paraId="12CA1A0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79E7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Jack Sewing Machine,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6E1B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1 126.29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6F1DC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18.05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70AE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14.88</w:t>
            </w:r>
          </w:p>
        </w:tc>
      </w:tr>
      <w:tr w:rsidR="00A0308E" w:rsidRPr="003B10E2" w14:paraId="011BBB2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5678A1"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Jadard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EA7C3"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68D4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22.75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76A16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32.31</w:t>
            </w:r>
          </w:p>
        </w:tc>
      </w:tr>
      <w:tr w:rsidR="00A0308E" w:rsidRPr="003B10E2" w14:paraId="683F20A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67D04"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Jangho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6B36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1 400.27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C8D0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B469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91.38</w:t>
            </w:r>
          </w:p>
        </w:tc>
      </w:tr>
      <w:tr w:rsidR="00A0308E" w:rsidRPr="003B10E2" w14:paraId="0FD7499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3DFA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Jason Furniture Hangzhou,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7428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3 477.21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0159B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AAAC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181.62</w:t>
            </w:r>
          </w:p>
        </w:tc>
      </w:tr>
      <w:tr w:rsidR="00A0308E" w:rsidRPr="003B10E2" w14:paraId="56E0637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2F453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JCHX Mining Management,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FA95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2 554.42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8F942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30.73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4063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80.97</w:t>
            </w:r>
          </w:p>
        </w:tc>
      </w:tr>
      <w:tr w:rsidR="00A0308E" w:rsidRPr="003B10E2" w14:paraId="091481A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53EDF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JDM JingDa Machine Ningbo,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DD2FF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339.78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5EDB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DA7A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32.59</w:t>
            </w:r>
          </w:p>
        </w:tc>
      </w:tr>
      <w:tr w:rsidR="00A0308E" w:rsidRPr="003B10E2" w14:paraId="721CB63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F16BE"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Jee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87BE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781.68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4F5C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40.77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6808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57.51</w:t>
            </w:r>
          </w:p>
        </w:tc>
      </w:tr>
      <w:tr w:rsidR="00A0308E" w:rsidRPr="003B10E2" w14:paraId="5318A4B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6742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Jenkem Technology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1F96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920.80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A592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109.66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A505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42.43</w:t>
            </w:r>
          </w:p>
        </w:tc>
      </w:tr>
      <w:tr w:rsidR="00A0308E" w:rsidRPr="003B10E2" w14:paraId="287132A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31601"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JHT Design,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0204C"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3C7D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134.39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77BB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277.15</w:t>
            </w:r>
          </w:p>
        </w:tc>
      </w:tr>
      <w:tr w:rsidR="00A0308E" w:rsidRPr="003B10E2" w14:paraId="50F54AF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12C74"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Jiahe Foods,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03145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1 136.97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F276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20.31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07EBF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24.20</w:t>
            </w:r>
          </w:p>
        </w:tc>
      </w:tr>
      <w:tr w:rsidR="00A0308E" w:rsidRPr="003B10E2" w14:paraId="6F614D7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A8BF9"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Jiajiayue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8B4E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1 110.29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1266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13.04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A725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40.29</w:t>
            </w:r>
          </w:p>
        </w:tc>
      </w:tr>
      <w:tr w:rsidR="00A0308E" w:rsidRPr="003B10E2" w14:paraId="122BFF6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4E02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 Su Wujin Stainless Steel Pipe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8655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453.73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4189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037D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24.15</w:t>
            </w:r>
          </w:p>
        </w:tc>
      </w:tr>
      <w:tr w:rsidR="00A0308E" w:rsidRPr="003B10E2" w14:paraId="37DA664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24F1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 Xi Chenguang New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0E71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480.29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D5C7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18.57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11A45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21.68</w:t>
            </w:r>
          </w:p>
        </w:tc>
      </w:tr>
      <w:tr w:rsidR="00A0308E" w:rsidRPr="003B10E2" w14:paraId="6056681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2DFB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Jiangshan Oupai Door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CC66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775.47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74E26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52.74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E094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90.30</w:t>
            </w:r>
          </w:p>
        </w:tc>
      </w:tr>
      <w:tr w:rsidR="00A0308E" w:rsidRPr="003B10E2" w14:paraId="7C73CFE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52EB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Aidea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F4C2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789.39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923E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13.43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2FD1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50.00</w:t>
            </w:r>
          </w:p>
        </w:tc>
      </w:tr>
      <w:tr w:rsidR="00A0308E" w:rsidRPr="003B10E2" w14:paraId="73F7AB7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B3FB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Bide Science,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6FF1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241.83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5832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F65A6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114.68</w:t>
            </w:r>
          </w:p>
        </w:tc>
      </w:tr>
      <w:tr w:rsidR="00A0308E" w:rsidRPr="003B10E2" w14:paraId="42C8C75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7AB47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Bioperfectus Technologies,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A6CB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467.45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D8509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9651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25.70</w:t>
            </w:r>
          </w:p>
        </w:tc>
      </w:tr>
      <w:tr w:rsidR="00A0308E" w:rsidRPr="003B10E2" w14:paraId="5E30F59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49BE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Boqian New Materials Stock,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2E402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1 107.83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F80A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30.26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6EC3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55.54</w:t>
            </w:r>
          </w:p>
        </w:tc>
      </w:tr>
      <w:tr w:rsidR="00A0308E" w:rsidRPr="003B10E2" w14:paraId="4302253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B56A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Boxin Investing &amp; Holdings,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7737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227.25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4BA2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06268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35.08</w:t>
            </w:r>
          </w:p>
        </w:tc>
      </w:tr>
      <w:tr w:rsidR="00A0308E" w:rsidRPr="003B10E2" w14:paraId="508406F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5ADD7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Broadcasting Cable Information Network,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FDFD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2 645.40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A6C3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5FCE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284.01</w:t>
            </w:r>
          </w:p>
        </w:tc>
      </w:tr>
      <w:tr w:rsidR="00A0308E" w:rsidRPr="003B10E2" w14:paraId="535F249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0C959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Cai Qin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3837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1 287.52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8571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29AF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62.36</w:t>
            </w:r>
          </w:p>
        </w:tc>
      </w:tr>
      <w:tr w:rsidR="00A0308E" w:rsidRPr="003B10E2" w14:paraId="3129EEA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B4CD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Changjiang Electronics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F660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8 335.55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96AB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33.47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0B2D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2 152.40</w:t>
            </w:r>
          </w:p>
        </w:tc>
      </w:tr>
      <w:tr w:rsidR="00A0308E" w:rsidRPr="003B10E2" w14:paraId="2DEF9BB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60D0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Changling Hydraulic,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ECFD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357.30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9109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26.23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EAA1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14.79</w:t>
            </w:r>
          </w:p>
        </w:tc>
      </w:tr>
      <w:tr w:rsidR="00A0308E" w:rsidRPr="003B10E2" w14:paraId="64A2784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52B7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Changshu Rural Commercial Bank,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D0933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2 700.39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BDCC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087B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82.27</w:t>
            </w:r>
          </w:p>
        </w:tc>
      </w:tr>
      <w:tr w:rsidR="00A0308E" w:rsidRPr="003B10E2" w14:paraId="42C7521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C1F1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Chengxing Phosph-Chemicals,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72A30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858.64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446C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9.26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C7CA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41.67</w:t>
            </w:r>
          </w:p>
        </w:tc>
      </w:tr>
      <w:tr w:rsidR="00A0308E" w:rsidRPr="003B10E2" w14:paraId="5A63894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5D98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Chunlan Refrigerating Equipment Stock,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7282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415.10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C097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3843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303.60</w:t>
            </w:r>
          </w:p>
        </w:tc>
      </w:tr>
      <w:tr w:rsidR="00A0308E" w:rsidRPr="003B10E2" w14:paraId="3789D76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6EA3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Cnano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A5513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1 453.40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9C57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44.72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9EE5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208.11</w:t>
            </w:r>
          </w:p>
        </w:tc>
      </w:tr>
      <w:tr w:rsidR="00A0308E" w:rsidRPr="003B10E2" w14:paraId="4A2CD14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942B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Cowin Biotech,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0439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CDAFA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27.88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9660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23.45</w:t>
            </w:r>
          </w:p>
        </w:tc>
      </w:tr>
      <w:tr w:rsidR="00A0308E" w:rsidRPr="003B10E2" w14:paraId="05BBA3E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5280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Dingsheng New Material,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BD2D7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1 256.17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87274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18.47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A5C8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132.24</w:t>
            </w:r>
          </w:p>
        </w:tc>
      </w:tr>
      <w:tr w:rsidR="00A0308E" w:rsidRPr="003B10E2" w14:paraId="1520832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C4D29"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Jiangsu Etern,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8C8C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1 340.85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A6A0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3820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1 498.18</w:t>
            </w:r>
          </w:p>
        </w:tc>
      </w:tr>
      <w:tr w:rsidR="00A0308E" w:rsidRPr="003B10E2" w14:paraId="27001E2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3B6D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Evergreen New Material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97FB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558C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29.85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AFD3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60.31</w:t>
            </w:r>
          </w:p>
        </w:tc>
      </w:tr>
      <w:tr w:rsidR="00A0308E" w:rsidRPr="003B10E2" w14:paraId="1643579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1F12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Expressway Company,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DFC8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5 222.59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C9A5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994E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64.34</w:t>
            </w:r>
          </w:p>
        </w:tc>
      </w:tr>
      <w:tr w:rsidR="00A0308E" w:rsidRPr="003B10E2" w14:paraId="4591C13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3E94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Favored Nanotechnology,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88C0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0B67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17.77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4EFD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27.34</w:t>
            </w:r>
          </w:p>
        </w:tc>
      </w:tr>
      <w:tr w:rsidR="00A0308E" w:rsidRPr="003B10E2" w14:paraId="117FF6A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DC74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Fengshan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2AB0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309.22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8539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13.61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C4B4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8.43</w:t>
            </w:r>
          </w:p>
        </w:tc>
      </w:tr>
      <w:tr w:rsidR="00A0308E" w:rsidRPr="003B10E2" w14:paraId="331859E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6FA3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Feymer Technology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96EE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287.02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1C32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16.79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7B00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7.29</w:t>
            </w:r>
          </w:p>
        </w:tc>
      </w:tr>
      <w:tr w:rsidR="00A0308E" w:rsidRPr="003B10E2" w14:paraId="41E64A2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EB61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Financial Leasing,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C2D6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2 641.61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79AB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8762C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61.12</w:t>
            </w:r>
          </w:p>
        </w:tc>
      </w:tr>
      <w:tr w:rsidR="00A0308E" w:rsidRPr="003B10E2" w14:paraId="5DF5AED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B6D74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Gdk Biotechnology,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D13A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639.42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7161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51.92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6CA2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42.96</w:t>
            </w:r>
          </w:p>
        </w:tc>
      </w:tr>
      <w:tr w:rsidR="00A0308E" w:rsidRPr="003B10E2" w14:paraId="6795F68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1D11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General Science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E33E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601.66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AA7C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4066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30.09</w:t>
            </w:r>
          </w:p>
        </w:tc>
      </w:tr>
      <w:tr w:rsidR="00A0308E" w:rsidRPr="003B10E2" w14:paraId="241D1D9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F8ED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GoodWe Power Supply Technology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7498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1 853.23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CE39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150.48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4C59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564.93</w:t>
            </w:r>
          </w:p>
        </w:tc>
      </w:tr>
      <w:tr w:rsidR="00A0308E" w:rsidRPr="003B10E2" w14:paraId="6A8CA62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57E9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Guomao Reducer,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D5C13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1 164.95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633A5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17.59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12A9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66.46</w:t>
            </w:r>
          </w:p>
        </w:tc>
      </w:tr>
      <w:tr w:rsidR="00A0308E" w:rsidRPr="003B10E2" w14:paraId="4382EC8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FB75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Hengli Hydraulic,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A18F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10 433.02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BAB3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3683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207.42</w:t>
            </w:r>
          </w:p>
        </w:tc>
      </w:tr>
      <w:tr w:rsidR="00A0308E" w:rsidRPr="003B10E2" w14:paraId="582798E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83D3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Hengrui Medicine,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09EA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40 172.85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A421D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B2605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879.42</w:t>
            </w:r>
          </w:p>
        </w:tc>
      </w:tr>
      <w:tr w:rsidR="00A0308E" w:rsidRPr="003B10E2" w14:paraId="77C3AE5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22DA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Hengshang Energy Conservation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D9DE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EAE8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9A60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54.39</w:t>
            </w:r>
          </w:p>
        </w:tc>
      </w:tr>
      <w:tr w:rsidR="00A0308E" w:rsidRPr="003B10E2" w14:paraId="051187E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512B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Hengshun Vinegar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C6DF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1 543.98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039B5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BF13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48.45</w:t>
            </w:r>
          </w:p>
        </w:tc>
      </w:tr>
      <w:tr w:rsidR="00A0308E" w:rsidRPr="003B10E2" w14:paraId="3246E19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74FE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HHCK Advanced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055F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4E956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79FB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123.57</w:t>
            </w:r>
          </w:p>
        </w:tc>
      </w:tr>
      <w:tr w:rsidR="00A0308E" w:rsidRPr="003B10E2" w14:paraId="57FD607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9E50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High Hope International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32E3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941.47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06EB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5071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36.79</w:t>
            </w:r>
          </w:p>
        </w:tc>
      </w:tr>
      <w:tr w:rsidR="00A0308E" w:rsidRPr="003B10E2" w14:paraId="62028C0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BDBB5"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Jiangsu Holly,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86D1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284.91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E105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6366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26.83</w:t>
            </w:r>
          </w:p>
        </w:tc>
      </w:tr>
      <w:tr w:rsidR="00A0308E" w:rsidRPr="003B10E2" w14:paraId="6379EB1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2A46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Hongdou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A2F0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1 015.26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A118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0466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22.62</w:t>
            </w:r>
          </w:p>
        </w:tc>
      </w:tr>
      <w:tr w:rsidR="00A0308E" w:rsidRPr="003B10E2" w14:paraId="5CE7F07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D572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Hongtu High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5660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61.60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82C3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0.38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4A4E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0.00</w:t>
            </w:r>
          </w:p>
        </w:tc>
      </w:tr>
      <w:tr w:rsidR="00A0308E" w:rsidRPr="003B10E2" w14:paraId="7586CD6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FD88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HSC New Energy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24C5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89B2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35.61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3E07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17.97</w:t>
            </w:r>
          </w:p>
        </w:tc>
      </w:tr>
      <w:tr w:rsidR="00A0308E" w:rsidRPr="003B10E2" w14:paraId="68AD6DD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3E88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Huachen Transformer,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7B5F5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4D16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23.46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E2965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368.13</w:t>
            </w:r>
          </w:p>
        </w:tc>
      </w:tr>
      <w:tr w:rsidR="00A0308E" w:rsidRPr="003B10E2" w14:paraId="19343AB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C288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Jiangnan High Polymer Fiber,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8B7ED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494.41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DAFA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7B62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7.27</w:t>
            </w:r>
          </w:p>
        </w:tc>
      </w:tr>
      <w:tr w:rsidR="00A0308E" w:rsidRPr="003B10E2" w14:paraId="5B4540A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CF63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Jiangnan Water,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F5CC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956.74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5FC6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FEBC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121.20</w:t>
            </w:r>
          </w:p>
        </w:tc>
      </w:tr>
      <w:tr w:rsidR="00A0308E" w:rsidRPr="003B10E2" w14:paraId="30C6E22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D4CB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Jibeier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03BA8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897.88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6B40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34.32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5C0E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25.12</w:t>
            </w:r>
          </w:p>
        </w:tc>
      </w:tr>
      <w:tr w:rsidR="00A0308E" w:rsidRPr="003B10E2" w14:paraId="471A495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FE8F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Jingyuan Environmental Protection,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A5E8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142.95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8778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9.52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EF2E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14.86</w:t>
            </w:r>
          </w:p>
        </w:tc>
      </w:tr>
      <w:tr w:rsidR="00A0308E" w:rsidRPr="003B10E2" w14:paraId="323BC56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7D316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Kanion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D143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2 109.16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E172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25.42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AA95A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262.25</w:t>
            </w:r>
          </w:p>
        </w:tc>
      </w:tr>
      <w:tr w:rsidR="00A0308E" w:rsidRPr="003B10E2" w14:paraId="2803376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1519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King's Luck Brewery,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4F9A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9 852.71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9908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56.12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A21E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285.15</w:t>
            </w:r>
          </w:p>
        </w:tc>
      </w:tr>
      <w:tr w:rsidR="00A0308E" w:rsidRPr="003B10E2" w14:paraId="7101783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0D21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Leadmicro Nano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7AEB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377D5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CFABE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59.81</w:t>
            </w:r>
          </w:p>
        </w:tc>
      </w:tr>
      <w:tr w:rsidR="00A0308E" w:rsidRPr="003B10E2" w14:paraId="2C654BC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E50B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Lettall Electronic,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A677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468.29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F75C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25.74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531D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1 215.19</w:t>
            </w:r>
          </w:p>
        </w:tc>
      </w:tr>
      <w:tr w:rsidR="00A0308E" w:rsidRPr="003B10E2" w14:paraId="5157C6C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9399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Liance Electromechanical,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2E19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413.82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6581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46.42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E679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4.56</w:t>
            </w:r>
          </w:p>
        </w:tc>
      </w:tr>
      <w:tr w:rsidR="00A0308E" w:rsidRPr="003B10E2" w14:paraId="64CC9A0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23E8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Lianhuan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5804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388.53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A72FA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D2B2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34.02</w:t>
            </w:r>
          </w:p>
        </w:tc>
      </w:tr>
      <w:tr w:rsidR="00A0308E" w:rsidRPr="003B10E2" w14:paraId="68CF325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3E073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Lianyungang Port,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A7887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736.17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A517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4D43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38.28</w:t>
            </w:r>
          </w:p>
        </w:tc>
      </w:tr>
      <w:tr w:rsidR="00A0308E" w:rsidRPr="003B10E2" w14:paraId="0CAC357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A984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Liba Enterprise,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FEA5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534.48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E588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14.34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7517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89.15</w:t>
            </w:r>
          </w:p>
        </w:tc>
      </w:tr>
      <w:tr w:rsidR="00A0308E" w:rsidRPr="003B10E2" w14:paraId="69909D6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8AFE5A"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Jiangsu Libert,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C956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561.22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CF1B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24DD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21.85</w:t>
            </w:r>
          </w:p>
        </w:tc>
      </w:tr>
      <w:tr w:rsidR="00A0308E" w:rsidRPr="003B10E2" w14:paraId="76B55AF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F27CB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Lidao New Material,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7303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326.82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2004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11.18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2850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8.28</w:t>
            </w:r>
          </w:p>
        </w:tc>
      </w:tr>
      <w:tr w:rsidR="00A0308E" w:rsidRPr="003B10E2" w14:paraId="1420577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EB8C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Linyang Energy,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2787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2 194.09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52BF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4E41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87.07</w:t>
            </w:r>
          </w:p>
        </w:tc>
      </w:tr>
      <w:tr w:rsidR="00A0308E" w:rsidRPr="003B10E2" w14:paraId="3FCADBE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796B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Longda Superalloy,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CDBD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9C0C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4B89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12.89</w:t>
            </w:r>
          </w:p>
        </w:tc>
      </w:tr>
      <w:tr w:rsidR="00A0308E" w:rsidRPr="003B10E2" w14:paraId="480B743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27BB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Lopal 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0022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1 180.01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0602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17.49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04750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49.94</w:t>
            </w:r>
          </w:p>
        </w:tc>
      </w:tr>
      <w:tr w:rsidR="00A0308E" w:rsidRPr="003B10E2" w14:paraId="010DC8E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69C4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Lugang Culture,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5328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708.13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FE81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88B8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355.21</w:t>
            </w:r>
          </w:p>
        </w:tc>
      </w:tr>
      <w:tr w:rsidR="00A0308E" w:rsidRPr="003B10E2" w14:paraId="0F2BED4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23B3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Luokai Mechanical &amp; Electrical,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065DE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461.49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D8A1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20.61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6D59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331.37</w:t>
            </w:r>
          </w:p>
        </w:tc>
      </w:tr>
      <w:tr w:rsidR="00A0308E" w:rsidRPr="003B10E2" w14:paraId="7922707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A68D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Maixinlin Aviation,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5458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296.67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9B0E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18.95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350E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18.72</w:t>
            </w:r>
          </w:p>
        </w:tc>
      </w:tr>
      <w:tr w:rsidR="00A0308E" w:rsidRPr="003B10E2" w14:paraId="1D535B9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2B12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Maysta Chemical,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2BFC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233.44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3AE8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11.84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DC23B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15.09</w:t>
            </w:r>
          </w:p>
        </w:tc>
      </w:tr>
      <w:tr w:rsidR="00A0308E" w:rsidRPr="003B10E2" w14:paraId="3B797A3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D21C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Nanfang Medical,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556B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216.53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C5D4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372D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26.68</w:t>
            </w:r>
          </w:p>
        </w:tc>
      </w:tr>
      <w:tr w:rsidR="00A0308E" w:rsidRPr="003B10E2" w14:paraId="5325693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2A79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New Energy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3046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1 281.19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C82A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13.35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2D83C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50.43</w:t>
            </w:r>
          </w:p>
        </w:tc>
      </w:tr>
      <w:tr w:rsidR="00A0308E" w:rsidRPr="003B10E2" w14:paraId="2230D7F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417F5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Pacific Quartz,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E7D0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5 128.06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F424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103.76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E2AE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324.83</w:t>
            </w:r>
          </w:p>
        </w:tc>
      </w:tr>
      <w:tr w:rsidR="00A0308E" w:rsidRPr="003B10E2" w14:paraId="49B9B90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9850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Phoenix Property Investment,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1522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493.87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8AE1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4C0DC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16.08</w:t>
            </w:r>
          </w:p>
        </w:tc>
      </w:tr>
      <w:tr w:rsidR="00A0308E" w:rsidRPr="003B10E2" w14:paraId="510AAE9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D0A2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Phoenix Publishing&amp;Media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C541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4 790.27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3A86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1AA9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238.05</w:t>
            </w:r>
          </w:p>
        </w:tc>
      </w:tr>
      <w:tr w:rsidR="00A0308E" w:rsidRPr="003B10E2" w14:paraId="3A921F9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885C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Provincial Agricultural Reclamation and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0587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2 291.04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9DAF4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11.88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A3AE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43.65</w:t>
            </w:r>
          </w:p>
        </w:tc>
      </w:tr>
      <w:tr w:rsidR="00A0308E" w:rsidRPr="003B10E2" w14:paraId="5A039F2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2806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Riying 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4D12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223.52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78D1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17.92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BBA3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238.96</w:t>
            </w:r>
          </w:p>
        </w:tc>
      </w:tr>
      <w:tr w:rsidR="00A0308E" w:rsidRPr="003B10E2" w14:paraId="72B56EB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E815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Rongtai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43EA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780.80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D5071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34.87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D65C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296.32</w:t>
            </w:r>
          </w:p>
        </w:tc>
      </w:tr>
      <w:tr w:rsidR="00A0308E" w:rsidRPr="003B10E2" w14:paraId="0E8AB83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650E9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Rutong Petro-Machinery,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E766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295.26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4201D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10.21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CC76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24.33</w:t>
            </w:r>
          </w:p>
        </w:tc>
      </w:tr>
      <w:tr w:rsidR="00A0308E" w:rsidRPr="003B10E2" w14:paraId="4D678B1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A3B9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Safety Wire Rope,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C3A3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443.48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2124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11.04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4979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38.22</w:t>
            </w:r>
          </w:p>
        </w:tc>
      </w:tr>
      <w:tr w:rsidR="00A0308E" w:rsidRPr="003B10E2" w14:paraId="5EBB4FD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4FBD09"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Jiangsu Sainty,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3C74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322.59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0D3C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A0D4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19.23</w:t>
            </w:r>
          </w:p>
        </w:tc>
      </w:tr>
      <w:tr w:rsidR="00A0308E" w:rsidRPr="003B10E2" w14:paraId="7F80892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344D9"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Jiangsu Sanfame,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50CD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1 483.18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9EC3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8EE7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12.07</w:t>
            </w:r>
          </w:p>
        </w:tc>
      </w:tr>
      <w:tr w:rsidR="00A0308E" w:rsidRPr="003B10E2" w14:paraId="011EBAC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A225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Seagull Cooling Tower,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A42B9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187.39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9EED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11.90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D8ED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174.43</w:t>
            </w:r>
          </w:p>
        </w:tc>
      </w:tr>
      <w:tr w:rsidR="00A0308E" w:rsidRPr="003B10E2" w14:paraId="3E114B1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0663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Shemar Electric,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E4AD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904.39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9C69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14.95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3DAE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39.75</w:t>
            </w:r>
          </w:p>
        </w:tc>
      </w:tr>
      <w:tr w:rsidR="00A0308E" w:rsidRPr="003B10E2" w14:paraId="5D2B856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A5C8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SINOJIT Wind Energy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D6F6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514.29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6B42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9324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12.26</w:t>
            </w:r>
          </w:p>
        </w:tc>
      </w:tr>
      <w:tr w:rsidR="00A0308E" w:rsidRPr="003B10E2" w14:paraId="2175B90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A44B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Sopo Chemical,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B216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1 080.32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E69F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38C2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11.22</w:t>
            </w:r>
          </w:p>
        </w:tc>
      </w:tr>
      <w:tr w:rsidR="00A0308E" w:rsidRPr="003B10E2" w14:paraId="3567A33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48D06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Sunshine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017D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574.02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EBEA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53E6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10.54</w:t>
            </w:r>
          </w:p>
        </w:tc>
      </w:tr>
      <w:tr w:rsidR="00A0308E" w:rsidRPr="003B10E2" w14:paraId="60A5A01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CB4B1"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Jiangsu Suyan Jingshen,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DCC9F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1 087.11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DA0A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10.05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49649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222.24</w:t>
            </w:r>
          </w:p>
        </w:tc>
      </w:tr>
      <w:tr w:rsidR="00A0308E" w:rsidRPr="003B10E2" w14:paraId="0E74320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C8B0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Suzhou Rural Commercial Bank,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E1CC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1 145.61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2CF9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F2B0C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43.32</w:t>
            </w:r>
          </w:p>
        </w:tc>
      </w:tr>
      <w:tr w:rsidR="00A0308E" w:rsidRPr="003B10E2" w14:paraId="2D7364F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04D2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Tianmu Lake Tourism,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C886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743.04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9392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231F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39.69</w:t>
            </w:r>
          </w:p>
        </w:tc>
      </w:tr>
      <w:tr w:rsidR="00A0308E" w:rsidRPr="003B10E2" w14:paraId="3618F8D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50D0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Tongli Risheng Machinery,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00BED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653.85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567D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27.81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E608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34.09</w:t>
            </w:r>
          </w:p>
        </w:tc>
      </w:tr>
      <w:tr w:rsidR="00A0308E" w:rsidRPr="003B10E2" w14:paraId="6554DAD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E86D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United Water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7342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7A9F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14.31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0F3C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95.44</w:t>
            </w:r>
          </w:p>
        </w:tc>
      </w:tr>
      <w:tr w:rsidR="00A0308E" w:rsidRPr="003B10E2" w14:paraId="513D55D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CDAE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Wanlin Modern Logistics,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787F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330.51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9099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0E7E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3.01</w:t>
            </w:r>
          </w:p>
        </w:tc>
      </w:tr>
      <w:tr w:rsidR="00A0308E" w:rsidRPr="003B10E2" w14:paraId="64DDE6B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4146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Wuzhong Industrial,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F2C0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723.80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7D68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D499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62.07</w:t>
            </w:r>
          </w:p>
        </w:tc>
      </w:tr>
      <w:tr w:rsidR="00A0308E" w:rsidRPr="003B10E2" w14:paraId="6E42053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832A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Xinquan Automotive Trim,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AF68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2 245.26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12B3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35BB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312.62</w:t>
            </w:r>
          </w:p>
        </w:tc>
      </w:tr>
      <w:tr w:rsidR="00A0308E" w:rsidRPr="003B10E2" w14:paraId="15B6810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F26B5"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Jiangsu Xinri E-Vehicle,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CE73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468.78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EED6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16.42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5E8F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48.08</w:t>
            </w:r>
          </w:p>
        </w:tc>
      </w:tr>
      <w:tr w:rsidR="00A0308E" w:rsidRPr="003B10E2" w14:paraId="058706A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0BFB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Xukuang Energy,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77E9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10A2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0429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158.50</w:t>
            </w:r>
          </w:p>
        </w:tc>
      </w:tr>
      <w:tr w:rsidR="00A0308E" w:rsidRPr="003B10E2" w14:paraId="05A6A81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60051"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Jiangsu Yabang Dyestuff,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6F53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284.07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B593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A590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9.23</w:t>
            </w:r>
          </w:p>
        </w:tc>
      </w:tr>
      <w:tr w:rsidR="00A0308E" w:rsidRPr="003B10E2" w14:paraId="46161FF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BD49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Yahong Meditech,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8B62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903.00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18AB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11.32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D3EC1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42.12</w:t>
            </w:r>
          </w:p>
        </w:tc>
      </w:tr>
      <w:tr w:rsidR="00A0308E" w:rsidRPr="003B10E2" w14:paraId="7F0CDF2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5950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Yangnong Chemical,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249B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3 693.81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93B39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85.17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5DC9A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75.94</w:t>
            </w:r>
          </w:p>
        </w:tc>
      </w:tr>
      <w:tr w:rsidR="00A0308E" w:rsidRPr="003B10E2" w14:paraId="16EC371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AE2A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Yueda Investment,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696D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510.86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4512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E90ED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36.46</w:t>
            </w:r>
          </w:p>
        </w:tc>
      </w:tr>
      <w:tr w:rsidR="00A0308E" w:rsidRPr="003B10E2" w14:paraId="5C857E7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B0C8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Yulong Steel Pipe,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D863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1 183.50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1E12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6E5A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57.84</w:t>
            </w:r>
          </w:p>
        </w:tc>
      </w:tr>
      <w:tr w:rsidR="00A0308E" w:rsidRPr="003B10E2" w14:paraId="5A94A45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0FDD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Zhenjiang New Energy Equipment,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27B2F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610.97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09A9F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34.75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A225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89.26</w:t>
            </w:r>
          </w:p>
        </w:tc>
      </w:tr>
      <w:tr w:rsidR="00A0308E" w:rsidRPr="003B10E2" w14:paraId="17A9661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0BE8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Zhongtian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9E14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7 360.37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3A53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15.41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66C6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1 435.44</w:t>
            </w:r>
          </w:p>
        </w:tc>
      </w:tr>
      <w:tr w:rsidR="00A0308E" w:rsidRPr="003B10E2" w14:paraId="71D8120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E3C7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Zijin Rural Commercial Bank,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21D52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1 347.47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C118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9AE1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36.66</w:t>
            </w:r>
          </w:p>
        </w:tc>
      </w:tr>
      <w:tr w:rsidR="00A0308E" w:rsidRPr="003B10E2" w14:paraId="17B4468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386B71"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Jiangsu Zongyi,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7E79E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996.99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6B6E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3BA0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53.77</w:t>
            </w:r>
          </w:p>
        </w:tc>
      </w:tr>
      <w:tr w:rsidR="00A0308E" w:rsidRPr="003B10E2" w14:paraId="7AD272D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38F4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Jiangxi Changjiu Biochemical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C5A8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1 394.10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9CEA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A906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272.81</w:t>
            </w:r>
          </w:p>
        </w:tc>
      </w:tr>
      <w:tr w:rsidR="00A0308E" w:rsidRPr="003B10E2" w14:paraId="0462F63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BACFD"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Jiangxi Changyun,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869D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209.41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81F1D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6B10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12.01</w:t>
            </w:r>
          </w:p>
        </w:tc>
      </w:tr>
      <w:tr w:rsidR="00A0308E" w:rsidRPr="003B10E2" w14:paraId="27351A7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BB80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Jiangxi Copper Company,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FB28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5 486.17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115BB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18.89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8071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114.95</w:t>
            </w:r>
          </w:p>
        </w:tc>
      </w:tr>
      <w:tr w:rsidR="00A0308E" w:rsidRPr="003B10E2" w14:paraId="6408580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45B6B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Jiangxi Ganyue Expressway,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7EDEF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1 202.76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3BD5A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0960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55.02</w:t>
            </w:r>
          </w:p>
        </w:tc>
      </w:tr>
      <w:tr w:rsidR="00A0308E" w:rsidRPr="003B10E2" w14:paraId="158BBC2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58A9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Jiangxi Guoguang Commercial Chains,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377D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622.81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A101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6E0D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244.71</w:t>
            </w:r>
          </w:p>
        </w:tc>
      </w:tr>
      <w:tr w:rsidR="00A0308E" w:rsidRPr="003B10E2" w14:paraId="3F751F1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E9C55"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Jiangxi Guotai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0332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704.11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6796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CBE1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23.34</w:t>
            </w:r>
          </w:p>
        </w:tc>
      </w:tr>
      <w:tr w:rsidR="00A0308E" w:rsidRPr="003B10E2" w14:paraId="74E3871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6B20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Jiangxi Hongcheng Waterworks,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8E6B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1 097.45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73C4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0C5D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37.38</w:t>
            </w:r>
          </w:p>
        </w:tc>
      </w:tr>
      <w:tr w:rsidR="00A0308E" w:rsidRPr="003B10E2" w14:paraId="60F8A95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2C5C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Jiangxi Hongdu Aviation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AAC0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2 149.69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1653A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21.42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2D4C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111.10</w:t>
            </w:r>
          </w:p>
        </w:tc>
      </w:tr>
      <w:tr w:rsidR="00A0308E" w:rsidRPr="003B10E2" w14:paraId="0A126B9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5FF9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Jiangxi Hungpai New Material,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AA530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451.15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F852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4656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34.62</w:t>
            </w:r>
          </w:p>
        </w:tc>
      </w:tr>
      <w:tr w:rsidR="00A0308E" w:rsidRPr="003B10E2" w14:paraId="7146E82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B67DE2"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Jiangxi Jovo Energy,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834E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1 340.91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12CE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21.63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43DE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61.42</w:t>
            </w:r>
          </w:p>
        </w:tc>
      </w:tr>
      <w:tr w:rsidR="00A0308E" w:rsidRPr="003B10E2" w14:paraId="0AF0A74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442C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Jiangxi Lianchuang Optoelectronic Science &amp;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3CCB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2 258.42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2BB8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35.43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081C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305.86</w:t>
            </w:r>
          </w:p>
        </w:tc>
      </w:tr>
      <w:tr w:rsidR="00A0308E" w:rsidRPr="003B10E2" w14:paraId="4A76FD2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E612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Jiangxi Salt Industry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0FF0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3EFA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11.92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CCFA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236.81</w:t>
            </w:r>
          </w:p>
        </w:tc>
      </w:tr>
      <w:tr w:rsidR="00A0308E" w:rsidRPr="003B10E2" w14:paraId="3023C06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BB17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JiangXi Tianxin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30CD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FCD2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27.75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E043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9.67</w:t>
            </w:r>
          </w:p>
        </w:tc>
      </w:tr>
      <w:tr w:rsidR="00A0308E" w:rsidRPr="003B10E2" w14:paraId="4C140B6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8881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Jiangxi Yuean Advanced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9599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563.19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F703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FDC5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79.91</w:t>
            </w:r>
          </w:p>
        </w:tc>
      </w:tr>
      <w:tr w:rsidR="00A0308E" w:rsidRPr="003B10E2" w14:paraId="3178064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76C6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Jiangyin Hengrun Heavy Industries,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6856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908.37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8C66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19.14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FBB7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70.01</w:t>
            </w:r>
          </w:p>
        </w:tc>
      </w:tr>
      <w:tr w:rsidR="00A0308E" w:rsidRPr="003B10E2" w14:paraId="6712EE6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6565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Jiangyin Jianghua Microelectronics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A50E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452.80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F2C0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16.51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7D3B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67.33</w:t>
            </w:r>
          </w:p>
        </w:tc>
      </w:tr>
      <w:tr w:rsidR="00A0308E" w:rsidRPr="003B10E2" w14:paraId="658395E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098BE"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Jiangzhong Pharmaceutical,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09B2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1 945.85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BD5E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22.07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97FA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254.32</w:t>
            </w:r>
          </w:p>
        </w:tc>
      </w:tr>
      <w:tr w:rsidR="00A0308E" w:rsidRPr="003B10E2" w14:paraId="0541130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B32A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Jianmin Pharmaceutical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3528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1 522.72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31529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70.93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3B47E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104.09</w:t>
            </w:r>
          </w:p>
        </w:tc>
      </w:tr>
      <w:tr w:rsidR="00A0308E" w:rsidRPr="003B10E2" w14:paraId="032EB3E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2AA7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Jianzhijia Health Chain,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1507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758.94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8036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64B2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27.71</w:t>
            </w:r>
          </w:p>
        </w:tc>
      </w:tr>
      <w:tr w:rsidR="00A0308E" w:rsidRPr="003B10E2" w14:paraId="32AC4FF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B83B06"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Jiaxing ZMAX Optech,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D1F11"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D770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32.28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C866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15.64</w:t>
            </w:r>
          </w:p>
        </w:tc>
      </w:tr>
      <w:tr w:rsidR="00A0308E" w:rsidRPr="003B10E2" w14:paraId="19EFBB0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3B17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Jiayou International Logistics,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AC3D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970.11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80B1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21.87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F229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55.55</w:t>
            </w:r>
          </w:p>
        </w:tc>
      </w:tr>
      <w:tr w:rsidR="00A0308E" w:rsidRPr="003B10E2" w14:paraId="6935D38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6B4DE"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Jihua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55A6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1 843.80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9EC4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9FE8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70.39</w:t>
            </w:r>
          </w:p>
        </w:tc>
      </w:tr>
      <w:tr w:rsidR="00A0308E" w:rsidRPr="003B10E2" w14:paraId="159C0F3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020B5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Jilin Expressway (JLEC),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79BBC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644.44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5C3D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612C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24.87</w:t>
            </w:r>
          </w:p>
        </w:tc>
      </w:tr>
      <w:tr w:rsidR="00A0308E" w:rsidRPr="003B10E2" w14:paraId="14252E7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FF15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Jilin Jinguan Electric,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B74D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440.01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D75A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38627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72.28</w:t>
            </w:r>
          </w:p>
        </w:tc>
      </w:tr>
      <w:tr w:rsidR="00A0308E" w:rsidRPr="003B10E2" w14:paraId="0A3A495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3710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JiLin OLED Material Tech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C3FA6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498.46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AFC3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48.70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9C07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60.03</w:t>
            </w:r>
          </w:p>
        </w:tc>
      </w:tr>
      <w:tr w:rsidR="00A0308E" w:rsidRPr="003B10E2" w14:paraId="428126E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C3E7B"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Jilin Quanyangquan,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5F78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627.57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515C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0A40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37.40</w:t>
            </w:r>
          </w:p>
        </w:tc>
      </w:tr>
      <w:tr w:rsidR="00A0308E" w:rsidRPr="003B10E2" w14:paraId="77005DB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EA35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Jilin Sino-Microelectronics,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D339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947.46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22DB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0559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76.26</w:t>
            </w:r>
          </w:p>
        </w:tc>
      </w:tr>
      <w:tr w:rsidR="00A0308E" w:rsidRPr="003B10E2" w14:paraId="7718EF7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829D8"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Jilin Yatai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A20C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982.11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976B6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0E9E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11.97</w:t>
            </w:r>
          </w:p>
        </w:tc>
      </w:tr>
      <w:tr w:rsidR="00A0308E" w:rsidRPr="003B10E2" w14:paraId="7096760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7B82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Jinan Shengquan Group Share 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120E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2 075.32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87BF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19.14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7723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115.06</w:t>
            </w:r>
          </w:p>
        </w:tc>
      </w:tr>
      <w:tr w:rsidR="00A0308E" w:rsidRPr="003B10E2" w14:paraId="22F96CB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A217D"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Jinduicheng Molybdenum,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38E8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5 043.90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EB96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11.17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AF29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198.95</w:t>
            </w:r>
          </w:p>
        </w:tc>
      </w:tr>
      <w:tr w:rsidR="00A0308E" w:rsidRPr="003B10E2" w14:paraId="49EADCC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C647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Jing-Jin Electric Technologies,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3848E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729.36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2C8C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8.83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D268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86.52</w:t>
            </w:r>
          </w:p>
        </w:tc>
      </w:tr>
      <w:tr w:rsidR="00A0308E" w:rsidRPr="003B10E2" w14:paraId="59A8C18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24CE2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Jingjin Environmental Protection,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5A4C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1 602.59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F54B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2A67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70.73</w:t>
            </w:r>
          </w:p>
        </w:tc>
      </w:tr>
      <w:tr w:rsidR="00A0308E" w:rsidRPr="003B10E2" w14:paraId="3751B00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4340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Jinhong Fashion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CB2E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546.63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92BC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0560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55.26</w:t>
            </w:r>
          </w:p>
        </w:tc>
      </w:tr>
      <w:tr w:rsidR="00A0308E" w:rsidRPr="003B10E2" w14:paraId="6F65C55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DBA43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Jinhua Chunguang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77C0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304.71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D7B7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6988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11.58</w:t>
            </w:r>
          </w:p>
        </w:tc>
      </w:tr>
      <w:tr w:rsidR="00A0308E" w:rsidRPr="003B10E2" w14:paraId="2BD0A0A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5055BA"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Jinhui Liquor,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5802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1 677.50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36D1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23.63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C889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78.81</w:t>
            </w:r>
          </w:p>
        </w:tc>
      </w:tr>
      <w:tr w:rsidR="00A0308E" w:rsidRPr="003B10E2" w14:paraId="73484B3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12A4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Jinhui Mining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F8AF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1 590.42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2B67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11.62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DD3F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7.20</w:t>
            </w:r>
          </w:p>
        </w:tc>
      </w:tr>
      <w:tr w:rsidR="00A0308E" w:rsidRPr="003B10E2" w14:paraId="08622CA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A838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JinJian Cereals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5A64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645.78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995E9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DB9E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38.65</w:t>
            </w:r>
          </w:p>
        </w:tc>
      </w:tr>
      <w:tr w:rsidR="00A0308E" w:rsidRPr="003B10E2" w14:paraId="57A52CA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8238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Jinko Power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83E4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2 041.45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AC94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91A5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165.65</w:t>
            </w:r>
          </w:p>
        </w:tc>
      </w:tr>
      <w:tr w:rsidR="00A0308E" w:rsidRPr="003B10E2" w14:paraId="5E3FCCB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E54A9"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Jinko Solar,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2C35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17 409.56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DBD3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12.44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1FA6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684.63</w:t>
            </w:r>
          </w:p>
        </w:tc>
      </w:tr>
      <w:tr w:rsidR="00A0308E" w:rsidRPr="003B10E2" w14:paraId="18F3C32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E0C2E"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Jinling Hotel,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6304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502.13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6FF6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072D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33.33</w:t>
            </w:r>
          </w:p>
        </w:tc>
      </w:tr>
      <w:tr w:rsidR="00A0308E" w:rsidRPr="003B10E2" w14:paraId="4F0B6F3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2AFF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Jinneng Science &amp;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75A02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974.08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DB09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C621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37.76</w:t>
            </w:r>
          </w:p>
        </w:tc>
      </w:tr>
      <w:tr w:rsidR="00A0308E" w:rsidRPr="003B10E2" w14:paraId="5611C1D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62B36"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Jintuo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459C2"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4489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16.52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1658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363.22</w:t>
            </w:r>
          </w:p>
        </w:tc>
      </w:tr>
      <w:tr w:rsidR="00A0308E" w:rsidRPr="003B10E2" w14:paraId="58A485E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72DDB"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Jinxi Axle,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B6D39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711.84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142E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11F2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128.47</w:t>
            </w:r>
          </w:p>
        </w:tc>
      </w:tr>
      <w:tr w:rsidR="00A0308E" w:rsidRPr="003B10E2" w14:paraId="32F6A99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B13F3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Jinyu Bio-Technology,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1F99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1 541.43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0F7E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14831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111.73</w:t>
            </w:r>
          </w:p>
        </w:tc>
      </w:tr>
      <w:tr w:rsidR="00A0308E" w:rsidRPr="003B10E2" w14:paraId="1D98128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57062"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Jinzhou Jixiang Moly,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5279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876.07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D548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12.31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6FA19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222.67</w:t>
            </w:r>
          </w:p>
        </w:tc>
      </w:tr>
      <w:tr w:rsidR="00A0308E" w:rsidRPr="003B10E2" w14:paraId="48F9788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C7121"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Jinzhou Port,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5CEAE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849.06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BCF8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4FF0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35.63</w:t>
            </w:r>
          </w:p>
        </w:tc>
      </w:tr>
      <w:tr w:rsidR="00A0308E" w:rsidRPr="003B10E2" w14:paraId="6E055A1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2A978"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Jinzhou Port,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C17D2"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A81B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0.22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0478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0.21</w:t>
            </w:r>
          </w:p>
        </w:tc>
      </w:tr>
      <w:tr w:rsidR="00A0308E" w:rsidRPr="003B10E2" w14:paraId="20B5C5E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DFFD7"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JiShi Media,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CD31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905.64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A059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590E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112.09</w:t>
            </w:r>
          </w:p>
        </w:tc>
      </w:tr>
      <w:tr w:rsidR="00A0308E" w:rsidRPr="003B10E2" w14:paraId="2887280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67879"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Joeone,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8AB5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916.78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1624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11.40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2F5A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27.80</w:t>
            </w:r>
          </w:p>
        </w:tc>
      </w:tr>
      <w:tr w:rsidR="00A0308E" w:rsidRPr="003B10E2" w14:paraId="5816215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6F03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Joincare Pharmaceutical Group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9D10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3 454.76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601F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12.94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55E0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149.88</w:t>
            </w:r>
          </w:p>
        </w:tc>
      </w:tr>
      <w:tr w:rsidR="00A0308E" w:rsidRPr="003B10E2" w14:paraId="7593314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08FF5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Joinn Laboratories China,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94B9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2 001.13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560D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44.61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08CB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144.69</w:t>
            </w:r>
          </w:p>
        </w:tc>
      </w:tr>
      <w:tr w:rsidR="00A0308E" w:rsidRPr="003B10E2" w14:paraId="7FFFD89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D75B9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Jointown Pharmaceutical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1C38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3 954.65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75F7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15.08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7673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128.15</w:t>
            </w:r>
          </w:p>
        </w:tc>
      </w:tr>
      <w:tr w:rsidR="00A0308E" w:rsidRPr="003B10E2" w14:paraId="1263D98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25CFE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Jonjee Hi-tech Industrial and Commercial 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4EAA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4 084.92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A71B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36.64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A498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167.86</w:t>
            </w:r>
          </w:p>
        </w:tc>
      </w:tr>
      <w:tr w:rsidR="00A0308E" w:rsidRPr="003B10E2" w14:paraId="1D5346C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BB6FA"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Juewei Food,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C7667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3 380.04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3C92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39.29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391E7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332.49</w:t>
            </w:r>
          </w:p>
        </w:tc>
      </w:tr>
      <w:tr w:rsidR="00A0308E" w:rsidRPr="003B10E2" w14:paraId="60091CB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FF27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Juheshun New Material,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506A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402.74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D55E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5C7A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14.50</w:t>
            </w:r>
          </w:p>
        </w:tc>
      </w:tr>
      <w:tr w:rsidR="00A0308E" w:rsidRPr="003B10E2" w14:paraId="5F7737C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0A560"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Juneyao Airlines,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5337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4 322.74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4ED3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15.71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C662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177.28</w:t>
            </w:r>
          </w:p>
        </w:tc>
      </w:tr>
      <w:tr w:rsidR="00A0308E" w:rsidRPr="003B10E2" w14:paraId="13FFE25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4099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Junhe Pumps 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0AB1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333.86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064E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BB9B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57.26</w:t>
            </w:r>
          </w:p>
        </w:tc>
      </w:tr>
      <w:tr w:rsidR="00A0308E" w:rsidRPr="003B10E2" w14:paraId="6068A8F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A128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Kaili Catalyst &amp; New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6458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763.94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5F62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58.47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1132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20.31</w:t>
            </w:r>
          </w:p>
        </w:tc>
      </w:tr>
      <w:tr w:rsidR="00A0308E" w:rsidRPr="003B10E2" w14:paraId="2D00BEE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26F7D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Kailuan Energy Chemical,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F442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1 322.15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683D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C38E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30.95</w:t>
            </w:r>
          </w:p>
        </w:tc>
      </w:tr>
      <w:tr w:rsidR="00A0308E" w:rsidRPr="003B10E2" w14:paraId="15B000F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97A58"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Kama,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7393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232.96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9E1A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0.36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15BE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0.07</w:t>
            </w:r>
          </w:p>
        </w:tc>
      </w:tr>
      <w:tr w:rsidR="00A0308E" w:rsidRPr="003B10E2" w14:paraId="027421C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1DF5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Kangxin New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2F89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496.76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83BE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E245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21.91</w:t>
            </w:r>
          </w:p>
        </w:tc>
      </w:tr>
      <w:tr w:rsidR="00A0308E" w:rsidRPr="003B10E2" w14:paraId="560B3CA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F92ED"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KBC Corporation,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44F3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1 601.31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FB58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142.67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450C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96.59</w:t>
            </w:r>
          </w:p>
        </w:tc>
      </w:tr>
      <w:tr w:rsidR="00A0308E" w:rsidRPr="003B10E2" w14:paraId="160388C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3B203"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Keboda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0C58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3 310.88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78F5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38DC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127.79</w:t>
            </w:r>
          </w:p>
        </w:tc>
      </w:tr>
      <w:tr w:rsidR="00A0308E" w:rsidRPr="003B10E2" w14:paraId="65D5D92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A3009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Keda Clean Energy,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9EFC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2 909.73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0801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11.01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F6B5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72.87</w:t>
            </w:r>
          </w:p>
        </w:tc>
      </w:tr>
      <w:tr w:rsidR="00A0308E" w:rsidRPr="003B10E2" w14:paraId="6B94C11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859E6"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Keda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9DB74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1 365.82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C054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2D4A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457.00</w:t>
            </w:r>
          </w:p>
        </w:tc>
      </w:tr>
      <w:tr w:rsidR="00A0308E" w:rsidRPr="003B10E2" w14:paraId="5EB9B65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F7E1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KEDE Numerical Control,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44AB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1 116.24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3F21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87.92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BA73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94.53</w:t>
            </w:r>
          </w:p>
        </w:tc>
      </w:tr>
      <w:tr w:rsidR="00A0308E" w:rsidRPr="003B10E2" w14:paraId="4241224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940367"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Keeson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34A9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484.85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1DB0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12.37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C504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34.88</w:t>
            </w:r>
          </w:p>
        </w:tc>
      </w:tr>
      <w:tr w:rsidR="00A0308E" w:rsidRPr="003B10E2" w14:paraId="2068499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D5104"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Kehua Holdings,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9E20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276.86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08BF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14.83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58A5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25.25</w:t>
            </w:r>
          </w:p>
        </w:tc>
      </w:tr>
      <w:tr w:rsidR="00A0308E" w:rsidRPr="003B10E2" w14:paraId="22A0811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C5C4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Keli Sensing Technology Ningbo,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CE017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876.10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BFA7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26.75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584B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470.42</w:t>
            </w:r>
          </w:p>
        </w:tc>
      </w:tr>
      <w:tr w:rsidR="00A0308E" w:rsidRPr="003B10E2" w14:paraId="312B927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856D2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KENGIC Intelligent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95F8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2F9F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C587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14.93</w:t>
            </w:r>
          </w:p>
        </w:tc>
      </w:tr>
      <w:tr w:rsidR="00A0308E" w:rsidRPr="003B10E2" w14:paraId="5A256E9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FD8DE"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Keystone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FA87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521.74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FEEC1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523A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208.95</w:t>
            </w:r>
          </w:p>
        </w:tc>
      </w:tr>
      <w:tr w:rsidR="00A0308E" w:rsidRPr="003B10E2" w14:paraId="7FADFD7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0AE82"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Kingclean Electric,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3A3A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1 939.09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9B26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EF65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63.28</w:t>
            </w:r>
          </w:p>
        </w:tc>
      </w:tr>
      <w:tr w:rsidR="00A0308E" w:rsidRPr="003B10E2" w14:paraId="4FD7500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09F9B"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Kingfa Sci &amp; Tech,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7E92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3 108.30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77F7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0CD7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62.70</w:t>
            </w:r>
          </w:p>
        </w:tc>
      </w:tr>
      <w:tr w:rsidR="00A0308E" w:rsidRPr="003B10E2" w14:paraId="541E92C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52749"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Kingsemi,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0C4B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3 321.84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8100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282.05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BAB1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615.75</w:t>
            </w:r>
          </w:p>
        </w:tc>
      </w:tr>
      <w:tr w:rsidR="00A0308E" w:rsidRPr="003B10E2" w14:paraId="1D84207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2A454"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Koal Software,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970CE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554.54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699F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E4ED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106.15</w:t>
            </w:r>
          </w:p>
        </w:tc>
      </w:tr>
      <w:tr w:rsidR="00A0308E" w:rsidRPr="003B10E2" w14:paraId="58B29E9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F620E"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KPC Pharmaceuticals,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19C9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2 306.97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0F6B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21.74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69F1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267.88</w:t>
            </w:r>
          </w:p>
        </w:tc>
      </w:tr>
      <w:tr w:rsidR="00A0308E" w:rsidRPr="003B10E2" w14:paraId="0FE8F93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7B8B4E"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KTK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C17D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1 262.36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C3BA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11.42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A0CC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128.99</w:t>
            </w:r>
          </w:p>
        </w:tc>
      </w:tr>
      <w:tr w:rsidR="00A0308E" w:rsidRPr="003B10E2" w14:paraId="783C460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DCBC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Kuaijishan Shaoxing Wine,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EB95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886.07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89C1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12.73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7F5C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147.98</w:t>
            </w:r>
          </w:p>
        </w:tc>
      </w:tr>
      <w:tr w:rsidR="00A0308E" w:rsidRPr="003B10E2" w14:paraId="700EBDC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7750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Kunshan Dongwei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24CF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1 552.24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F600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75.35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373C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332.92</w:t>
            </w:r>
          </w:p>
        </w:tc>
      </w:tr>
      <w:tr w:rsidR="00A0308E" w:rsidRPr="003B10E2" w14:paraId="6D4BFA0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3D65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Kunshan GuoLi Electronic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16C2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841.03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E79F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C9083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101.60</w:t>
            </w:r>
          </w:p>
        </w:tc>
      </w:tr>
      <w:tr w:rsidR="00A0308E" w:rsidRPr="003B10E2" w14:paraId="2889D75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370D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Kunshan Huguang Auto Harness,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C34C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896.79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1A63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333D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65.24</w:t>
            </w:r>
          </w:p>
        </w:tc>
      </w:tr>
      <w:tr w:rsidR="00A0308E" w:rsidRPr="003B10E2" w14:paraId="43EBC28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6081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Kunshan Kersen Science &amp;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40D65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543.08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A75E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9292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35.23</w:t>
            </w:r>
          </w:p>
        </w:tc>
      </w:tr>
      <w:tr w:rsidR="00A0308E" w:rsidRPr="003B10E2" w14:paraId="1D68DE9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1E83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Kunwu Jiuding Investment Holdings,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7656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782.69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9A97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12.90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F7D30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7.96</w:t>
            </w:r>
          </w:p>
        </w:tc>
      </w:tr>
      <w:tr w:rsidR="00A0308E" w:rsidRPr="003B10E2" w14:paraId="48DABF1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EF461"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Kweichow Moutai,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224A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298 688.69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5C8D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1 699.00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7426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2 485.40</w:t>
            </w:r>
          </w:p>
        </w:tc>
      </w:tr>
      <w:tr w:rsidR="00A0308E" w:rsidRPr="003B10E2" w14:paraId="6DF4AA2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E170C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L&amp;K Engineering Suzhou,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B06E9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492.98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E763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16.51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9BEA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68.48</w:t>
            </w:r>
          </w:p>
        </w:tc>
      </w:tr>
      <w:tr w:rsidR="00A0308E" w:rsidRPr="003B10E2" w14:paraId="6214884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0293A"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Lafang China,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A838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490.45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52D6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15.47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CCF2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44.15</w:t>
            </w:r>
          </w:p>
        </w:tc>
      </w:tr>
      <w:tr w:rsidR="00A0308E" w:rsidRPr="003B10E2" w14:paraId="2DBBECF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BCD599"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Langfang Development,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B253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282.51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AEEE7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F3C5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30.86</w:t>
            </w:r>
          </w:p>
        </w:tc>
      </w:tr>
      <w:tr w:rsidR="00A0308E" w:rsidRPr="003B10E2" w14:paraId="110C8E6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F9615"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Lanpec Technologies,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D53E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341.36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7DE0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E16C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14.03</w:t>
            </w:r>
          </w:p>
        </w:tc>
      </w:tr>
      <w:tr w:rsidR="00A0308E" w:rsidRPr="003B10E2" w14:paraId="1455BB1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C01BE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Lanzhou Great Wall Electrical,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A300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346.20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1333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79BE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25.92</w:t>
            </w:r>
          </w:p>
        </w:tc>
      </w:tr>
      <w:tr w:rsidR="00A0308E" w:rsidRPr="003B10E2" w14:paraId="0A4CB48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78C6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Lanzhou LS Heavy Equipment,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2B2A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1 197.43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C529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A0F6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69.67</w:t>
            </w:r>
          </w:p>
        </w:tc>
      </w:tr>
      <w:tr w:rsidR="00A0308E" w:rsidRPr="003B10E2" w14:paraId="3657BF7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5C8E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Lanzhou Minbai Shareholding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8178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580.19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DCAF2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83BB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100.77</w:t>
            </w:r>
          </w:p>
        </w:tc>
      </w:tr>
      <w:tr w:rsidR="00A0308E" w:rsidRPr="003B10E2" w14:paraId="5360527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7EB00"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Lao Feng Xiang,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F4B7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4 681.01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0219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63.94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4E77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102.17</w:t>
            </w:r>
          </w:p>
        </w:tc>
      </w:tr>
      <w:tr w:rsidR="00A0308E" w:rsidRPr="003B10E2" w14:paraId="6B49F52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771D9"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Lao Feng Xiang,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75F89"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8CC1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B10A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0.89</w:t>
            </w:r>
          </w:p>
        </w:tc>
      </w:tr>
      <w:tr w:rsidR="00A0308E" w:rsidRPr="003B10E2" w14:paraId="057013A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0003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Laobaixing Pharmacy Chain,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5067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1 953.12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4C2F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68541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95.24</w:t>
            </w:r>
          </w:p>
        </w:tc>
      </w:tr>
      <w:tr w:rsidR="00A0308E" w:rsidRPr="003B10E2" w14:paraId="5E49AE6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F118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Leader Harmonious Drive Systems,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0982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2 280.09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8D7E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135.30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0397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427.31</w:t>
            </w:r>
          </w:p>
        </w:tc>
      </w:tr>
      <w:tr w:rsidR="00A0308E" w:rsidRPr="003B10E2" w14:paraId="2F4A14D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457E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Leaguer Shenzhen Microelectronics,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DBC8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617.73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7091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44.14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4CD7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86.39</w:t>
            </w:r>
          </w:p>
        </w:tc>
      </w:tr>
      <w:tr w:rsidR="00A0308E" w:rsidRPr="003B10E2" w14:paraId="6263524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F073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Leedarson IoT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5049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1 045.41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DE5B3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14.94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D391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15.42</w:t>
            </w:r>
          </w:p>
        </w:tc>
      </w:tr>
      <w:tr w:rsidR="00A0308E" w:rsidRPr="003B10E2" w14:paraId="5277C8A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99AA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Leshan Electric 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FFA5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534.22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3185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8D74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24.41</w:t>
            </w:r>
          </w:p>
        </w:tc>
      </w:tr>
      <w:tr w:rsidR="00A0308E" w:rsidRPr="003B10E2" w14:paraId="3254C20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9DDA0"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Leysen Jewellery,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821F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307.33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C98B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C5C7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10.08</w:t>
            </w:r>
          </w:p>
        </w:tc>
      </w:tr>
      <w:tr w:rsidR="00A0308E" w:rsidRPr="003B10E2" w14:paraId="399AF21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3B31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Liaoning Cheng Da,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9AC6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2 924.34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7D6C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13.66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7E86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86.73</w:t>
            </w:r>
          </w:p>
        </w:tc>
      </w:tr>
      <w:tr w:rsidR="00A0308E" w:rsidRPr="003B10E2" w14:paraId="3D76C9E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6F55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Liaoning Chengda Biotechnology,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EC3E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1 937.27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EF333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33.24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C8FD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37.88</w:t>
            </w:r>
          </w:p>
        </w:tc>
      </w:tr>
      <w:tr w:rsidR="00A0308E" w:rsidRPr="003B10E2" w14:paraId="1FE34EC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C6F7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Liaoning Dingjide Petrochemical,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E270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C848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5C78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43.41</w:t>
            </w:r>
          </w:p>
        </w:tc>
      </w:tr>
      <w:tr w:rsidR="00A0308E" w:rsidRPr="003B10E2" w14:paraId="4FC80F4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51AA2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Liaoning Fu-An Heavy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9FBD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515.61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3FB7E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0083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33.14</w:t>
            </w:r>
          </w:p>
        </w:tc>
      </w:tr>
      <w:tr w:rsidR="00A0308E" w:rsidRPr="003B10E2" w14:paraId="0E67D93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E125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Liaoning Hongyang Energy Resource Invest,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11A83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841.81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FD47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6F52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174.05</w:t>
            </w:r>
          </w:p>
        </w:tc>
      </w:tr>
      <w:tr w:rsidR="00A0308E" w:rsidRPr="003B10E2" w14:paraId="43ED2FE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5237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Liaoning SG Automotive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2D87A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478.42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B120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04FA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132.21</w:t>
            </w:r>
          </w:p>
        </w:tc>
      </w:tr>
      <w:tr w:rsidR="00A0308E" w:rsidRPr="003B10E2" w14:paraId="79BE4DF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2C5F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Liaoning Shidai Wanheng,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299C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329.08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1845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DCD0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19.97</w:t>
            </w:r>
          </w:p>
        </w:tc>
      </w:tr>
      <w:tr w:rsidR="00A0308E" w:rsidRPr="003B10E2" w14:paraId="5DDBDD6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1FC3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Liaoning Wellhope Agri-Tech Joint Stock,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F46FD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1 192.21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4547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9.24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A2C2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38.10</w:t>
            </w:r>
          </w:p>
        </w:tc>
      </w:tr>
      <w:tr w:rsidR="00A0308E" w:rsidRPr="003B10E2" w14:paraId="41B6E95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9BC7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Lifan Industry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F16D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2 210.48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BFD2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B090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40.99</w:t>
            </w:r>
          </w:p>
        </w:tc>
      </w:tr>
      <w:tr w:rsidR="00A0308E" w:rsidRPr="003B10E2" w14:paraId="461A9EB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1F86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Lihuayi Weiyuan Chemical,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487A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1 423.97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4D68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76D01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16.54</w:t>
            </w:r>
          </w:p>
        </w:tc>
      </w:tr>
      <w:tr w:rsidR="00A0308E" w:rsidRPr="003B10E2" w14:paraId="429ACF4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76C1C"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Lily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B31C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650.97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0B32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14.63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674C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8.56</w:t>
            </w:r>
          </w:p>
        </w:tc>
      </w:tr>
      <w:tr w:rsidR="00A0308E" w:rsidRPr="003B10E2" w14:paraId="343EBC8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FDB72"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Linewell Software,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284C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1 318.75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C6A0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15.95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CA76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333.10</w:t>
            </w:r>
          </w:p>
        </w:tc>
      </w:tr>
      <w:tr w:rsidR="00A0308E" w:rsidRPr="003B10E2" w14:paraId="54AE1BB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2B9D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Lingyuan Iron &amp; Steel,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1500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874.14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87A0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E5C0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7.46</w:t>
            </w:r>
          </w:p>
        </w:tc>
      </w:tr>
      <w:tr w:rsidR="00A0308E" w:rsidRPr="003B10E2" w14:paraId="5445735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A0FC7"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Lingyun Industrial,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C060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809.89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0385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6E873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42.86</w:t>
            </w:r>
          </w:p>
        </w:tc>
      </w:tr>
      <w:tr w:rsidR="00A0308E" w:rsidRPr="003B10E2" w14:paraId="7BF298D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66A9D9"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Linhai,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EAA2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276.30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13B4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B1E3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63.41</w:t>
            </w:r>
          </w:p>
        </w:tc>
      </w:tr>
      <w:tr w:rsidR="00A0308E" w:rsidRPr="003B10E2" w14:paraId="32937AF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D614B"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Linkage Software,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EA4C4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930.40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DAF1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16.62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3CB8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149.46</w:t>
            </w:r>
          </w:p>
        </w:tc>
      </w:tr>
      <w:tr w:rsidR="00A0308E" w:rsidRPr="003B10E2" w14:paraId="7344DB4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0504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Lionco Pharmaceutical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4C71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470.35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70E5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BD9D3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8.29</w:t>
            </w:r>
          </w:p>
        </w:tc>
      </w:tr>
      <w:tr w:rsidR="00A0308E" w:rsidRPr="003B10E2" w14:paraId="0D17A6A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D61F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Liqun Commercial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4815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661.16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3F34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B8B58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7.46</w:t>
            </w:r>
          </w:p>
        </w:tc>
      </w:tr>
      <w:tr w:rsidR="00A0308E" w:rsidRPr="003B10E2" w14:paraId="736C3CD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60FC2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Liuzhou Chemical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659C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348.74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0146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C2BE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7.99</w:t>
            </w:r>
          </w:p>
        </w:tc>
      </w:tr>
      <w:tr w:rsidR="00A0308E" w:rsidRPr="003B10E2" w14:paraId="2CE51B1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7DA3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Liuzhou Iron &amp; Steel,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BCB4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1 495.61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2EF7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4A4FD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33.89</w:t>
            </w:r>
          </w:p>
        </w:tc>
      </w:tr>
      <w:tr w:rsidR="00A0308E" w:rsidRPr="003B10E2" w14:paraId="342B57E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4CCEC4"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Liuzhou Liangmianzhen,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522B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393.32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2E8C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A047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33.36</w:t>
            </w:r>
          </w:p>
        </w:tc>
      </w:tr>
      <w:tr w:rsidR="00A0308E" w:rsidRPr="003B10E2" w14:paraId="2F335AE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D8E620"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Loncin Motor,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1615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1 434.07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F5ED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E5D54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115.69</w:t>
            </w:r>
          </w:p>
        </w:tc>
      </w:tr>
      <w:tr w:rsidR="00A0308E" w:rsidRPr="003B10E2" w14:paraId="745D6AD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361F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Long Yuan Construction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1A82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1 138.94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CCA3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5947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122.41</w:t>
            </w:r>
          </w:p>
        </w:tc>
      </w:tr>
      <w:tr w:rsidR="00A0308E" w:rsidRPr="003B10E2" w14:paraId="64AC0BF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8197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LONGi Green Energy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4B00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21 021.54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214A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27.75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EF3C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2 080.49</w:t>
            </w:r>
          </w:p>
        </w:tc>
      </w:tr>
      <w:tr w:rsidR="00A0308E" w:rsidRPr="003B10E2" w14:paraId="7D14683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3CC6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Longjian Road &amp; Bridge,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4BAA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634.89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92D2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4EEA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313.54</w:t>
            </w:r>
          </w:p>
        </w:tc>
      </w:tr>
      <w:tr w:rsidR="00A0308E" w:rsidRPr="003B10E2" w14:paraId="2BF1D1A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DEC6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Longyan Zhuoyue New Energy,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2114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751.86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E2BB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44.77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09BB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11.92</w:t>
            </w:r>
          </w:p>
        </w:tc>
      </w:tr>
      <w:tr w:rsidR="00A0308E" w:rsidRPr="003B10E2" w14:paraId="73E4D92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5EE21"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Lontium Semiconductor,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D53BC"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D234E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103.00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455BF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107.58</w:t>
            </w:r>
          </w:p>
        </w:tc>
      </w:tr>
      <w:tr w:rsidR="00A0308E" w:rsidRPr="003B10E2" w14:paraId="4A64D43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ACA1D"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Loongson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D88F93"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900D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142.88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1736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323.06</w:t>
            </w:r>
          </w:p>
        </w:tc>
      </w:tr>
      <w:tr w:rsidR="00A0308E" w:rsidRPr="003B10E2" w14:paraId="4902D0C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F0D6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Lotus Health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1780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720.52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5FE4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7E46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72.35</w:t>
            </w:r>
          </w:p>
        </w:tc>
      </w:tr>
      <w:tr w:rsidR="00A0308E" w:rsidRPr="003B10E2" w14:paraId="43C3B70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088CA"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Lucky Film,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C51B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552.88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803B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377B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19.13</w:t>
            </w:r>
          </w:p>
        </w:tc>
      </w:tr>
      <w:tr w:rsidR="00A0308E" w:rsidRPr="003B10E2" w14:paraId="0A723E8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50D5A4"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Luenmei Quantum,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20CF7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2 238.33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C3EEB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AA685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25.87</w:t>
            </w:r>
          </w:p>
        </w:tc>
      </w:tr>
      <w:tr w:rsidR="00A0308E" w:rsidRPr="003B10E2" w14:paraId="241E6EE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5A838"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Luoyang Glass,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34AC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866.05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7A2D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15.64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AF961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27.68</w:t>
            </w:r>
          </w:p>
        </w:tc>
      </w:tr>
      <w:tr w:rsidR="00A0308E" w:rsidRPr="003B10E2" w14:paraId="6B6B51A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0D59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Luoyang Jalon Micro-Nano New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E63C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496.63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7DC4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61.19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9A49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26.98</w:t>
            </w:r>
          </w:p>
        </w:tc>
      </w:tr>
      <w:tr w:rsidR="00A0308E" w:rsidRPr="003B10E2" w14:paraId="55A3330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83AA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Lushan New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DE69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553.95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3055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43.02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1C5E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109.78</w:t>
            </w:r>
          </w:p>
        </w:tc>
      </w:tr>
      <w:tr w:rsidR="00A0308E" w:rsidRPr="003B10E2" w14:paraId="1373CEE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A294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Lushang Health Industry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F55E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1 464.55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D02EC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10.37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E6AC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59.87</w:t>
            </w:r>
          </w:p>
        </w:tc>
      </w:tr>
      <w:tr w:rsidR="00A0308E" w:rsidRPr="003B10E2" w14:paraId="61D8571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64A90"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LUSTER LightTech,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768CE"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C6F4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65C8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248.86</w:t>
            </w:r>
          </w:p>
        </w:tc>
      </w:tr>
      <w:tr w:rsidR="00A0308E" w:rsidRPr="003B10E2" w14:paraId="24C83FF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913803"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Lutian Machinery,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EA93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450.50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DE8C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36.58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7558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22.48</w:t>
            </w:r>
          </w:p>
        </w:tc>
      </w:tr>
      <w:tr w:rsidR="00A0308E" w:rsidRPr="003B10E2" w14:paraId="5E53D5C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A6AD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Luxin Venture Capital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206A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1 312.56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6569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12.60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4A67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18.93</w:t>
            </w:r>
          </w:p>
        </w:tc>
      </w:tr>
      <w:tr w:rsidR="00A0308E" w:rsidRPr="003B10E2" w14:paraId="19814C1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C773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Luyin Investment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5C5C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672.30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72475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8278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68.13</w:t>
            </w:r>
          </w:p>
        </w:tc>
      </w:tr>
      <w:tr w:rsidR="00A0308E" w:rsidRPr="003B10E2" w14:paraId="4BA6AAF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11DB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Maanshan Iron&amp;Steel Company,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CFB8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2 188.16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791C1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6855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51.08</w:t>
            </w:r>
          </w:p>
        </w:tc>
      </w:tr>
      <w:tr w:rsidR="00A0308E" w:rsidRPr="003B10E2" w14:paraId="742BB08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A3E7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Mabwell Shanghai Bioscience,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C436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1 219.69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2F29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21.81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1E78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26.59</w:t>
            </w:r>
          </w:p>
        </w:tc>
      </w:tr>
      <w:tr w:rsidR="00A0308E" w:rsidRPr="003B10E2" w14:paraId="0BE35B8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03BB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Macmic Science &amp;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0452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843.58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AE42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FA25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84.36</w:t>
            </w:r>
          </w:p>
        </w:tc>
      </w:tr>
      <w:tr w:rsidR="00A0308E" w:rsidRPr="003B10E2" w14:paraId="31B678D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A991E"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Maoye Commercial,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0D64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957.43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985D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F477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22.89</w:t>
            </w:r>
          </w:p>
        </w:tc>
      </w:tr>
      <w:tr w:rsidR="00A0308E" w:rsidRPr="003B10E2" w14:paraId="4067C99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61E8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Markor International Home Furnishings,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D0B4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742.89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75DF5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0693F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57.55</w:t>
            </w:r>
          </w:p>
        </w:tc>
      </w:tr>
      <w:tr w:rsidR="00A0308E" w:rsidRPr="003B10E2" w14:paraId="7D978F1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ACA128"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Maxic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AF616F"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9BA5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93.07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AF4FD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184.07</w:t>
            </w:r>
          </w:p>
        </w:tc>
      </w:tr>
      <w:tr w:rsidR="00A0308E" w:rsidRPr="003B10E2" w14:paraId="276CA97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59BB0D"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MayAir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9BD10"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6D26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38.86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266B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71.90</w:t>
            </w:r>
          </w:p>
        </w:tc>
      </w:tr>
      <w:tr w:rsidR="00A0308E" w:rsidRPr="003B10E2" w14:paraId="721D2DF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E32A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Mayinglong Pharmaceutical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9937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1 701.17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A5C6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782A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207.66</w:t>
            </w:r>
          </w:p>
        </w:tc>
      </w:tr>
      <w:tr w:rsidR="00A0308E" w:rsidRPr="003B10E2" w14:paraId="4E3B139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8637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MeiHua Holdings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DDD2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3 850.78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AB94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8.88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51A53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104.89</w:t>
            </w:r>
          </w:p>
        </w:tc>
      </w:tr>
      <w:tr w:rsidR="00A0308E" w:rsidRPr="003B10E2" w14:paraId="0EB8EEA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AF93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MEMSensing Microsystems (Suzhou, China),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8AF9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405.28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A6100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2796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27.88</w:t>
            </w:r>
          </w:p>
        </w:tc>
      </w:tr>
      <w:tr w:rsidR="00A0308E" w:rsidRPr="003B10E2" w14:paraId="1AD549D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7CB3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Mengtian Home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BDB5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424.72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9803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13.71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8133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7.32</w:t>
            </w:r>
          </w:p>
        </w:tc>
      </w:tr>
      <w:tr w:rsidR="00A0308E" w:rsidRPr="003B10E2" w14:paraId="64A5EA5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FA84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Metallurgical Corporation of China,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7BBC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9 943.80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CAC0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0220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247.72</w:t>
            </w:r>
          </w:p>
        </w:tc>
      </w:tr>
      <w:tr w:rsidR="00A0308E" w:rsidRPr="003B10E2" w14:paraId="1C957F2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1CD5BD"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Metro Land,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0995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681.12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4764B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0811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640.94</w:t>
            </w:r>
          </w:p>
        </w:tc>
      </w:tr>
      <w:tr w:rsidR="00A0308E" w:rsidRPr="003B10E2" w14:paraId="71DD95F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B4080"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MGI Tech,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63FB9"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67722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90.70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302C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76.04</w:t>
            </w:r>
          </w:p>
        </w:tc>
      </w:tr>
      <w:tr w:rsidR="00A0308E" w:rsidRPr="003B10E2" w14:paraId="7B4CF73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FADA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Micro Tech Nanjing,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6AA7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1 573.22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6E1F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84.05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86E5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111.83</w:t>
            </w:r>
          </w:p>
        </w:tc>
      </w:tr>
      <w:tr w:rsidR="00A0308E" w:rsidRPr="003B10E2" w14:paraId="5948625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5B02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Milkyway Chemical Supply Chain Service,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3D60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1 813.92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5DEA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B4A9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69.27</w:t>
            </w:r>
          </w:p>
        </w:tc>
      </w:tr>
      <w:tr w:rsidR="00A0308E" w:rsidRPr="003B10E2" w14:paraId="3ABE4F6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23A6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Minfeng Special Paper,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7C9E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264.01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A65A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9DE3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12.90</w:t>
            </w:r>
          </w:p>
        </w:tc>
      </w:tr>
      <w:tr w:rsidR="00A0308E" w:rsidRPr="003B10E2" w14:paraId="4D46AC5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7F19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Ming Yang Smart Energy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BEDE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4 982.72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335D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16.92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4B73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250.59</w:t>
            </w:r>
          </w:p>
        </w:tc>
      </w:tr>
      <w:tr w:rsidR="00A0308E" w:rsidRPr="003B10E2" w14:paraId="201700E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DCE16"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Minmetals Capital,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7E4F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3 449.64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48337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C5F7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150.37</w:t>
            </w:r>
          </w:p>
        </w:tc>
      </w:tr>
      <w:tr w:rsidR="00A0308E" w:rsidRPr="003B10E2" w14:paraId="366BEC6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B0320"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Minmetals Development,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3AE9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1 420.61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E2AD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DDB8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24.40</w:t>
            </w:r>
          </w:p>
        </w:tc>
      </w:tr>
      <w:tr w:rsidR="00A0308E" w:rsidRPr="003B10E2" w14:paraId="53A5A2A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96996"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Mloptic,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4797B"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5434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175.72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3656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123.03</w:t>
            </w:r>
          </w:p>
        </w:tc>
      </w:tr>
      <w:tr w:rsidR="00A0308E" w:rsidRPr="003B10E2" w14:paraId="71B4766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E3ED5"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Montage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9D3A8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9 964.03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A71D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62.85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EB64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1 411.69</w:t>
            </w:r>
          </w:p>
        </w:tc>
      </w:tr>
      <w:tr w:rsidR="00A0308E" w:rsidRPr="003B10E2" w14:paraId="460DC93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2FEDE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Motorcomm Electronic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629F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44659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155.03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9ED3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261.23</w:t>
            </w:r>
          </w:p>
        </w:tc>
      </w:tr>
      <w:tr w:rsidR="00A0308E" w:rsidRPr="003B10E2" w14:paraId="04A1EBD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C4CD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Mudanjiang Hengfeng Paper,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4BDCF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320.66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8F74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328D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14.33</w:t>
            </w:r>
          </w:p>
        </w:tc>
      </w:tr>
      <w:tr w:rsidR="00A0308E" w:rsidRPr="003B10E2" w14:paraId="6BB7A6D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0573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Nacity Property Service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EABD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307.20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39FF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11.69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D85E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18.51</w:t>
            </w:r>
          </w:p>
        </w:tc>
      </w:tr>
      <w:tr w:rsidR="00A0308E" w:rsidRPr="003B10E2" w14:paraId="3BBBF9B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88CD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Namchow Food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F6B4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1 222.13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3103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20.42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61886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15.43</w:t>
            </w:r>
          </w:p>
        </w:tc>
      </w:tr>
      <w:tr w:rsidR="00A0308E" w:rsidRPr="003B10E2" w14:paraId="57744CF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68CBAF"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Nancal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AD45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1 137.57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1BAD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8C54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114.85</w:t>
            </w:r>
          </w:p>
        </w:tc>
      </w:tr>
      <w:tr w:rsidR="00A0308E" w:rsidRPr="003B10E2" w14:paraId="5C406E7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89CFC"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Nanhua Futures,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B247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914.39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620C6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10.71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2569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18.88</w:t>
            </w:r>
          </w:p>
        </w:tc>
      </w:tr>
      <w:tr w:rsidR="00A0308E" w:rsidRPr="003B10E2" w14:paraId="440B896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9B68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Nanjing Canatal Data Centre Environmental 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B10F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340.00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76E2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8FF6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384.78</w:t>
            </w:r>
          </w:p>
        </w:tc>
      </w:tr>
      <w:tr w:rsidR="00A0308E" w:rsidRPr="003B10E2" w14:paraId="3F02529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2598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Nanjing Central Emporium Group Stocks,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1839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436.50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1C86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269D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67.02</w:t>
            </w:r>
          </w:p>
        </w:tc>
      </w:tr>
      <w:tr w:rsidR="00A0308E" w:rsidRPr="003B10E2" w14:paraId="589EF04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63DC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Nanjing Chemical Fibre,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C982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232.76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5744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4B4B9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12.59</w:t>
            </w:r>
          </w:p>
        </w:tc>
      </w:tr>
      <w:tr w:rsidR="00A0308E" w:rsidRPr="003B10E2" w14:paraId="737AC98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50F0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Nanjing Chervon Auto Precision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EC96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416.33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134E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14.77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8776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189.36</w:t>
            </w:r>
          </w:p>
        </w:tc>
      </w:tr>
      <w:tr w:rsidR="00A0308E" w:rsidRPr="003B10E2" w14:paraId="5A30B72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1D83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Nanjing Chixia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21B62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479.04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540F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A454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48.79</w:t>
            </w:r>
          </w:p>
        </w:tc>
      </w:tr>
      <w:tr w:rsidR="00A0308E" w:rsidRPr="003B10E2" w14:paraId="19465D5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FC89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Nanjing CIGU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EDEAE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A127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28.73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83119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51.34</w:t>
            </w:r>
          </w:p>
        </w:tc>
      </w:tr>
      <w:tr w:rsidR="00A0308E" w:rsidRPr="003B10E2" w14:paraId="47A4A99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8A9A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Nanjing Develop Advanced Manufacturing,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04E1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659.29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0C8E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946F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27.93</w:t>
            </w:r>
          </w:p>
        </w:tc>
      </w:tr>
      <w:tr w:rsidR="00A0308E" w:rsidRPr="003B10E2" w14:paraId="2D1F11C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B6F69"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Nanjing Gaoke,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BDD4C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1 181.38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7C02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2D84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88.74</w:t>
            </w:r>
          </w:p>
        </w:tc>
      </w:tr>
      <w:tr w:rsidR="00A0308E" w:rsidRPr="003B10E2" w14:paraId="2BB08D7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9C2C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Nanjing Gova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B3259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4DF2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40.67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1ACD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64.36</w:t>
            </w:r>
          </w:p>
        </w:tc>
      </w:tr>
      <w:tr w:rsidR="00A0308E" w:rsidRPr="003B10E2" w14:paraId="3223849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10F5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Nanjing Huamai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72E8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303.18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1301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13.49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F830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86.60</w:t>
            </w:r>
          </w:p>
        </w:tc>
      </w:tr>
      <w:tr w:rsidR="00A0308E" w:rsidRPr="003B10E2" w14:paraId="3946230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A303F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Nanjing Inform Storage Equipment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DB72B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489.42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CCD6D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11.63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A88F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80.87</w:t>
            </w:r>
          </w:p>
        </w:tc>
      </w:tr>
      <w:tr w:rsidR="00A0308E" w:rsidRPr="003B10E2" w14:paraId="203DFBF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BC57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Nanjing Kangni Mechanical &amp; Electrical,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48B2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671.40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C28B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2FFD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44.50</w:t>
            </w:r>
          </w:p>
        </w:tc>
      </w:tr>
      <w:tr w:rsidR="00A0308E" w:rsidRPr="003B10E2" w14:paraId="172ACBB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87F1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Nanjing King-friend Biochemical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F491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2 121.54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43E7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12.19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C404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111.72</w:t>
            </w:r>
          </w:p>
        </w:tc>
      </w:tr>
      <w:tr w:rsidR="00A0308E" w:rsidRPr="003B10E2" w14:paraId="64659E7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6293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Nanjing Medlander Medical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7CE8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A65E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3775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17.78</w:t>
            </w:r>
          </w:p>
        </w:tc>
      </w:tr>
      <w:tr w:rsidR="00A0308E" w:rsidRPr="003B10E2" w14:paraId="6777785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D29F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Nanjing OLO Home Furnishing,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0212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347.51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3C98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61D8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7.74</w:t>
            </w:r>
          </w:p>
        </w:tc>
      </w:tr>
      <w:tr w:rsidR="00A0308E" w:rsidRPr="003B10E2" w14:paraId="61AED74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0B09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Nanjing Panda 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29A6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955.27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9E7F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10.16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3B47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69.19</w:t>
            </w:r>
          </w:p>
        </w:tc>
      </w:tr>
      <w:tr w:rsidR="00A0308E" w:rsidRPr="003B10E2" w14:paraId="37E9455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5926B"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Nanjing Pharmaceutical,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EBB4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976.28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2A92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FC5E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84.42</w:t>
            </w:r>
          </w:p>
        </w:tc>
      </w:tr>
      <w:tr w:rsidR="00A0308E" w:rsidRPr="003B10E2" w14:paraId="1B2CC05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589C0"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Nanjing Securities,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2433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4 251.01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AA01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BF11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68.62</w:t>
            </w:r>
          </w:p>
        </w:tc>
      </w:tr>
      <w:tr w:rsidR="00A0308E" w:rsidRPr="003B10E2" w14:paraId="62BEFB6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ACFC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Nanjing Tanker Corporation,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1AB6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2 125.70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A864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D700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284.64</w:t>
            </w:r>
          </w:p>
        </w:tc>
      </w:tr>
      <w:tr w:rsidR="00A0308E" w:rsidRPr="003B10E2" w14:paraId="39B1AB3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C08AB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Nanjing Textiles Import &amp; Export,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693E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311.66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B5D83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3BB9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216.61</w:t>
            </w:r>
          </w:p>
        </w:tc>
      </w:tr>
      <w:tr w:rsidR="00A0308E" w:rsidRPr="003B10E2" w14:paraId="502A80D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2188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Nanjing Vazyme Biotech,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49C3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1 806.50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99861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32.27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98B8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67.92</w:t>
            </w:r>
          </w:p>
        </w:tc>
      </w:tr>
      <w:tr w:rsidR="00A0308E" w:rsidRPr="003B10E2" w14:paraId="698672F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DF7A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Nanjing Vishee Medical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1731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674.33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91B8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1487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17.19</w:t>
            </w:r>
          </w:p>
        </w:tc>
      </w:tr>
      <w:tr w:rsidR="00A0308E" w:rsidRPr="003B10E2" w14:paraId="1FB728F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6721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Nanjing Well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37A7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490.30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E74E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25.86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7D94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18.48</w:t>
            </w:r>
          </w:p>
        </w:tc>
      </w:tr>
      <w:tr w:rsidR="00A0308E" w:rsidRPr="003B10E2" w14:paraId="68C51CF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BAA6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Nanjing Wondux Environmental Protection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60CD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231.60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8380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19.47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2A31C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7.06</w:t>
            </w:r>
          </w:p>
        </w:tc>
      </w:tr>
      <w:tr w:rsidR="00A0308E" w:rsidRPr="003B10E2" w14:paraId="1CEEA60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6642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Nanjing Xinjiekou Department Store,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6E617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1 541.02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D54B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7C57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37.65</w:t>
            </w:r>
          </w:p>
        </w:tc>
      </w:tr>
      <w:tr w:rsidR="00A0308E" w:rsidRPr="003B10E2" w14:paraId="02DA261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3CE1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Nanning Chemical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6B5C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561.42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96B1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17.06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D2CB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44.25</w:t>
            </w:r>
          </w:p>
        </w:tc>
      </w:tr>
      <w:tr w:rsidR="00A0308E" w:rsidRPr="003B10E2" w14:paraId="3D98ADB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48C5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Nanning Department Store,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7B3E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292.70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C49E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C893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11.94</w:t>
            </w:r>
          </w:p>
        </w:tc>
      </w:tr>
      <w:tr w:rsidR="00A0308E" w:rsidRPr="003B10E2" w14:paraId="38C8C5E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C277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Nantong Acetic Acid Chemical,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28A4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480.76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F5FF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0898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13.11</w:t>
            </w:r>
          </w:p>
        </w:tc>
      </w:tr>
      <w:tr w:rsidR="00A0308E" w:rsidRPr="003B10E2" w14:paraId="6643DB3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C074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Nantong Guosheng Intelligence Technology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1088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598.90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066E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32.42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77EA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13.75</w:t>
            </w:r>
          </w:p>
        </w:tc>
      </w:tr>
      <w:tr w:rsidR="00A0308E" w:rsidRPr="003B10E2" w14:paraId="577859E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D861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Nantong Haixing 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4D707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506.82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0CF8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15.14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86A51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11.71</w:t>
            </w:r>
          </w:p>
        </w:tc>
      </w:tr>
      <w:tr w:rsidR="00A0308E" w:rsidRPr="003B10E2" w14:paraId="3F976D7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D674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Nantong Jiangshan Agrochemical &amp; Chemical,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0EF4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855.82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77B3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20.59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F98D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59.13</w:t>
            </w:r>
          </w:p>
        </w:tc>
      </w:tr>
      <w:tr w:rsidR="00A0308E" w:rsidRPr="003B10E2" w14:paraId="188D03B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F1D4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Nantong Xingqiu Graphite,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3560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444.00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93D7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43.62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6D02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4.48</w:t>
            </w:r>
          </w:p>
        </w:tc>
      </w:tr>
      <w:tr w:rsidR="00A0308E" w:rsidRPr="003B10E2" w14:paraId="6433D5A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D3AA1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Nanya New Material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119C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782.70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B7F1F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23.86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978F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29.12</w:t>
            </w:r>
          </w:p>
        </w:tc>
      </w:tr>
      <w:tr w:rsidR="00A0308E" w:rsidRPr="003B10E2" w14:paraId="23F8AD2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87429"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NARI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D127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20 775.57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A940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26.61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DDC4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289.46</w:t>
            </w:r>
          </w:p>
        </w:tc>
      </w:tr>
      <w:tr w:rsidR="00A0308E" w:rsidRPr="003B10E2" w14:paraId="55EE32A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72901"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Naruida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8CC68F"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A227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52.19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F8B96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53.45</w:t>
            </w:r>
          </w:p>
        </w:tc>
      </w:tr>
      <w:tr w:rsidR="00A0308E" w:rsidRPr="003B10E2" w14:paraId="6E547E2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B444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National Silicon Industry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8514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8 291.67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3150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21.78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B115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310.25</w:t>
            </w:r>
          </w:p>
        </w:tc>
      </w:tr>
      <w:tr w:rsidR="00A0308E" w:rsidRPr="003B10E2" w14:paraId="14865D9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79B38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NBTM New Materials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935F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641.79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7D1C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73D4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55.13</w:t>
            </w:r>
          </w:p>
        </w:tc>
      </w:tr>
      <w:tr w:rsidR="00A0308E" w:rsidRPr="003B10E2" w14:paraId="6A78D77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0C49F"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NCPC,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3B0A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1 349.44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D971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95D3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57.56</w:t>
            </w:r>
          </w:p>
        </w:tc>
      </w:tr>
      <w:tr w:rsidR="00A0308E" w:rsidRPr="003B10E2" w14:paraId="238EBB9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013E8"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Neusoft,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386CE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1 964.70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751B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65A9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297.88</w:t>
            </w:r>
          </w:p>
        </w:tc>
      </w:tr>
      <w:tr w:rsidR="00A0308E" w:rsidRPr="003B10E2" w14:paraId="158E7FD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F23B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New China Life Insurance,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9DC2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11 326.83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E9DC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38.81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C6BEB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425.79</w:t>
            </w:r>
          </w:p>
        </w:tc>
      </w:tr>
      <w:tr w:rsidR="00A0308E" w:rsidRPr="003B10E2" w14:paraId="76AE993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B386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New East New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3F33A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738.11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CCFD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26.21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EBDA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125.20</w:t>
            </w:r>
          </w:p>
        </w:tc>
      </w:tr>
      <w:tr w:rsidR="00A0308E" w:rsidRPr="003B10E2" w14:paraId="46315C7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9B6BE"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Neway CNC,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45AF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1 141.08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345B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24.96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68B7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179.74</w:t>
            </w:r>
          </w:p>
        </w:tc>
      </w:tr>
      <w:tr w:rsidR="00A0308E" w:rsidRPr="003B10E2" w14:paraId="68389AE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B48A28"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Neway Valve Suzhou,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50D5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1 381.66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D1F7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13.18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CEAC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49.94</w:t>
            </w:r>
          </w:p>
        </w:tc>
      </w:tr>
      <w:tr w:rsidR="00A0308E" w:rsidRPr="003B10E2" w14:paraId="682F02D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9B875A"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Nexchip Semiconductor,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47611"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2330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19.59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B9C7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301.19</w:t>
            </w:r>
          </w:p>
        </w:tc>
      </w:tr>
      <w:tr w:rsidR="00A0308E" w:rsidRPr="003B10E2" w14:paraId="73952AB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8C91CC"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Nextool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238F2"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F5CE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43.43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6AE9B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76.62</w:t>
            </w:r>
          </w:p>
        </w:tc>
      </w:tr>
      <w:tr w:rsidR="00A0308E" w:rsidRPr="003B10E2" w14:paraId="4AA44A5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44D20"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Ningbo Bird,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FA9B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466.46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E398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0DEE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46.34</w:t>
            </w:r>
          </w:p>
        </w:tc>
      </w:tr>
      <w:tr w:rsidR="00A0308E" w:rsidRPr="003B10E2" w14:paraId="3EAF7AF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4C03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Boway Alloy Material,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0E412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1 509.22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5C90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13.65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E38A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72.24</w:t>
            </w:r>
          </w:p>
        </w:tc>
      </w:tr>
      <w:tr w:rsidR="00A0308E" w:rsidRPr="003B10E2" w14:paraId="2600EDF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C2C1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Changhong Polymer Scientific and Technical,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4659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1 261.30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9453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14.03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12B2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7.71</w:t>
            </w:r>
          </w:p>
        </w:tc>
      </w:tr>
      <w:tr w:rsidR="00A0308E" w:rsidRPr="003B10E2" w14:paraId="3557E99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5765F"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Ningbo Construction,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ACDF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678.91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D349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7118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209.02</w:t>
            </w:r>
          </w:p>
        </w:tc>
      </w:tr>
      <w:tr w:rsidR="00A0308E" w:rsidRPr="003B10E2" w14:paraId="137F227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A251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Dechang Electrical Machinery Made,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EDE1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387.11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C062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14.56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4FD8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30.83</w:t>
            </w:r>
          </w:p>
        </w:tc>
      </w:tr>
      <w:tr w:rsidR="00A0308E" w:rsidRPr="003B10E2" w14:paraId="4847433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8FDAF"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NingBo Deye,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08CAB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3 138.43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675E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131.40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6C09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447.29</w:t>
            </w:r>
          </w:p>
        </w:tc>
      </w:tr>
      <w:tr w:rsidR="00A0308E" w:rsidRPr="003B10E2" w14:paraId="5934390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B419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Fubang Jingye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0342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198.97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E284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10.63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B9FF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20.87</w:t>
            </w:r>
          </w:p>
        </w:tc>
      </w:tr>
      <w:tr w:rsidR="00A0308E" w:rsidRPr="003B10E2" w14:paraId="762EA37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C4570"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Ningbo Fuda,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80C49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744.31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3763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DB7BF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10.64</w:t>
            </w:r>
          </w:p>
        </w:tc>
      </w:tr>
      <w:tr w:rsidR="00A0308E" w:rsidRPr="003B10E2" w14:paraId="6EB3F87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2010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Fujia Industrial,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EE3B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743.02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3439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13.24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4DCB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62.32</w:t>
            </w:r>
          </w:p>
        </w:tc>
      </w:tr>
      <w:tr w:rsidR="00A0308E" w:rsidRPr="003B10E2" w14:paraId="67159F8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0294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Gaofa Automotive Control System,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D45D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360.88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C2A6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11.56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3BC9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24.93</w:t>
            </w:r>
          </w:p>
        </w:tc>
      </w:tr>
      <w:tr w:rsidR="00A0308E" w:rsidRPr="003B10E2" w14:paraId="48E1275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96C9C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Haitian Precision Machinery,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6A95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2 366.92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A1E6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32.40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C518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191.77</w:t>
            </w:r>
          </w:p>
        </w:tc>
      </w:tr>
      <w:tr w:rsidR="00A0308E" w:rsidRPr="003B10E2" w14:paraId="44CD4F3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E863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Heli Mould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0283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498.35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F3112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22.71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60EA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300.76</w:t>
            </w:r>
          </w:p>
        </w:tc>
      </w:tr>
      <w:tr w:rsidR="00A0308E" w:rsidRPr="003B10E2" w14:paraId="0215EBF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511D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Jifeng Auto Parts,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AB15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2 270.98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2F61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841E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48.70</w:t>
            </w:r>
          </w:p>
        </w:tc>
      </w:tr>
      <w:tr w:rsidR="00A0308E" w:rsidRPr="003B10E2" w14:paraId="1DAD1C3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9B4B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Jintian Copper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7092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1 334.31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810B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6F33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17.12</w:t>
            </w:r>
          </w:p>
        </w:tc>
      </w:tr>
      <w:tr w:rsidR="00A0308E" w:rsidRPr="003B10E2" w14:paraId="021C9D9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2002E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Joyson Electronic,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D50F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3 329.51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7A17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17.39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94F1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816.27</w:t>
            </w:r>
          </w:p>
        </w:tc>
      </w:tr>
      <w:tr w:rsidR="00A0308E" w:rsidRPr="003B10E2" w14:paraId="21916AF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6A17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Lehui International Engineering Equipment,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C41F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728.89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CAB3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43.15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1B6E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55.53</w:t>
            </w:r>
          </w:p>
        </w:tc>
      </w:tr>
      <w:tr w:rsidR="00A0308E" w:rsidRPr="003B10E2" w14:paraId="4ADCCAB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088E6"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Ningbo Marine,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0C83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599.43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E4FC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E6948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7.50</w:t>
            </w:r>
          </w:p>
        </w:tc>
      </w:tr>
      <w:tr w:rsidR="00A0308E" w:rsidRPr="003B10E2" w14:paraId="333630C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9E03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Menovo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FB82F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388.34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CD1B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18.34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54C8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46.64</w:t>
            </w:r>
          </w:p>
        </w:tc>
      </w:tr>
      <w:tr w:rsidR="00A0308E" w:rsidRPr="003B10E2" w14:paraId="1EB47E4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A632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Ocean Shipping,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B1B6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7DDE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9587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27.27</w:t>
            </w:r>
          </w:p>
        </w:tc>
      </w:tr>
      <w:tr w:rsidR="00A0308E" w:rsidRPr="003B10E2" w14:paraId="1A7A4B5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CBBD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Orient Wires and Cables,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FD9D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4 460.93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5BF3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46.35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46E5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805.85</w:t>
            </w:r>
          </w:p>
        </w:tc>
      </w:tr>
      <w:tr w:rsidR="00A0308E" w:rsidRPr="003B10E2" w14:paraId="7F2414B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8F79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Peacebird Fashion,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F0B0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1 579.86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828E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23.68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6C3D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35.54</w:t>
            </w:r>
          </w:p>
        </w:tc>
      </w:tr>
      <w:tr w:rsidR="00A0308E" w:rsidRPr="003B10E2" w14:paraId="670996C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B121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PIA Automation,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0AD2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917.92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08E7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6FD8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120.32</w:t>
            </w:r>
          </w:p>
        </w:tc>
      </w:tr>
      <w:tr w:rsidR="00A0308E" w:rsidRPr="003B10E2" w14:paraId="6095370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B70D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Ronbay New Energy 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3F82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3 336.38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42F0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53.21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C521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272.70</w:t>
            </w:r>
          </w:p>
        </w:tc>
      </w:tr>
      <w:tr w:rsidR="00A0308E" w:rsidRPr="003B10E2" w14:paraId="1300E9E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E0EF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Sanxing Medical Electric,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115B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2 405.80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BBEB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12.27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132A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39.36</w:t>
            </w:r>
          </w:p>
        </w:tc>
      </w:tr>
      <w:tr w:rsidR="00A0308E" w:rsidRPr="003B10E2" w14:paraId="59A2770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A8728"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Ningbo Shanshan,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BFD88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4 360.51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1B7F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14.54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A3B5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129.00</w:t>
            </w:r>
          </w:p>
        </w:tc>
      </w:tr>
      <w:tr w:rsidR="00A0308E" w:rsidRPr="003B10E2" w14:paraId="33F9C27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BE2BC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Shenglong Automotive Powertrain System,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1528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329.86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7962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7335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31.18</w:t>
            </w:r>
          </w:p>
        </w:tc>
      </w:tr>
      <w:tr w:rsidR="00A0308E" w:rsidRPr="003B10E2" w14:paraId="4B89FE5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6F14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Solartron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30FA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627.79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C51D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15.73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D36B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28.90</w:t>
            </w:r>
          </w:p>
        </w:tc>
      </w:tr>
      <w:tr w:rsidR="00A0308E" w:rsidRPr="003B10E2" w14:paraId="540F48C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F88AF"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Ningbo Techmation,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B47B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481.97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AFC6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8.52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24C8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43.80</w:t>
            </w:r>
          </w:p>
        </w:tc>
      </w:tr>
      <w:tr w:rsidR="00A0308E" w:rsidRPr="003B10E2" w14:paraId="562B71B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739A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Thermal 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1AB8B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672.65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C4B0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6EE2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55.11</w:t>
            </w:r>
          </w:p>
        </w:tc>
      </w:tr>
      <w:tr w:rsidR="00A0308E" w:rsidRPr="003B10E2" w14:paraId="511EA2D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7272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Tianlong 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574D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376.04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0DB2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13.51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4996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50.62</w:t>
            </w:r>
          </w:p>
        </w:tc>
      </w:tr>
      <w:tr w:rsidR="00A0308E" w:rsidRPr="003B10E2" w14:paraId="44C93FD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B084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TIP Rubber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A40C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298.73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4AF3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15.92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3D54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22.55</w:t>
            </w:r>
          </w:p>
        </w:tc>
      </w:tr>
      <w:tr w:rsidR="00A0308E" w:rsidRPr="003B10E2" w14:paraId="55F30E0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3B090"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Ningbo Tuopu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975C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10 561.63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7474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68.48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54FC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907.95</w:t>
            </w:r>
          </w:p>
        </w:tc>
      </w:tr>
      <w:tr w:rsidR="00A0308E" w:rsidRPr="003B10E2" w14:paraId="52ADD67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6D7F4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United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7A53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324.13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B4A6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286E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12.75</w:t>
            </w:r>
          </w:p>
        </w:tc>
      </w:tr>
      <w:tr w:rsidR="00A0308E" w:rsidRPr="003B10E2" w14:paraId="6FD1487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A1DF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Water Meter,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CCBE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413.28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611F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14.53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AFB8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31.36</w:t>
            </w:r>
          </w:p>
        </w:tc>
      </w:tr>
      <w:tr w:rsidR="00A0308E" w:rsidRPr="003B10E2" w14:paraId="75F1C1D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684F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Xusheng Auto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8530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1 677.29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6C03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26.81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9A59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270.44</w:t>
            </w:r>
          </w:p>
        </w:tc>
      </w:tr>
      <w:tr w:rsidR="00A0308E" w:rsidRPr="003B10E2" w14:paraId="5C96342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5E28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Yongxin Optics,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EFCF9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1 348.21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B0A4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C6116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194.94</w:t>
            </w:r>
          </w:p>
        </w:tc>
      </w:tr>
      <w:tr w:rsidR="00A0308E" w:rsidRPr="003B10E2" w14:paraId="460964A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C45B8"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Ningbo Yunsheng,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B4D2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1 099.09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FAC80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9652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81.11</w:t>
            </w:r>
          </w:p>
        </w:tc>
      </w:tr>
      <w:tr w:rsidR="00A0308E" w:rsidRPr="003B10E2" w14:paraId="5B717E2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62C75"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Ningbo Zhongbai,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478A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313.93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51A6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2876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13.28</w:t>
            </w:r>
          </w:p>
        </w:tc>
      </w:tr>
      <w:tr w:rsidR="00A0308E" w:rsidRPr="003B10E2" w14:paraId="5D4F86C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1115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Zhoushan Port,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3A79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7 632.16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0923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6EDD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46.68</w:t>
            </w:r>
          </w:p>
        </w:tc>
      </w:tr>
      <w:tr w:rsidR="00A0308E" w:rsidRPr="003B10E2" w14:paraId="3F6E9A1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3790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Ningxia Baofeng Energy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70CD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13 177.57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43AE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12.84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526C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184.43</w:t>
            </w:r>
          </w:p>
        </w:tc>
      </w:tr>
      <w:tr w:rsidR="00A0308E" w:rsidRPr="003B10E2" w14:paraId="04E30EA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19EB2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Ningxia Building Materials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FE52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1 151.70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E5FD4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17.21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261E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585.30</w:t>
            </w:r>
          </w:p>
        </w:tc>
      </w:tr>
      <w:tr w:rsidR="00A0308E" w:rsidRPr="003B10E2" w14:paraId="3623D50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6ACF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Ningxia Jiaze Renewables,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61B7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1 437.61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954D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9BF7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61.95</w:t>
            </w:r>
          </w:p>
        </w:tc>
      </w:tr>
      <w:tr w:rsidR="00A0308E" w:rsidRPr="003B10E2" w14:paraId="76B8F23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07DB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Ningxia Xinri Hengli Steel Wire,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D34E8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368.06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7D58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8538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30.98</w:t>
            </w:r>
          </w:p>
        </w:tc>
      </w:tr>
      <w:tr w:rsidR="00A0308E" w:rsidRPr="003B10E2" w14:paraId="6715842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17DE7"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NISCO,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7D0D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2 973.66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4DF9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18E8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68.36</w:t>
            </w:r>
          </w:p>
        </w:tc>
      </w:tr>
      <w:tr w:rsidR="00A0308E" w:rsidRPr="003B10E2" w14:paraId="0702E17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B54A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Niutech Environment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AB8D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230.44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42293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20.58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2CD8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9.11</w:t>
            </w:r>
          </w:p>
        </w:tc>
      </w:tr>
      <w:tr w:rsidR="00A0308E" w:rsidRPr="003B10E2" w14:paraId="0A4CE78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0B25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Noblelift Intelligent Equipment,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1706E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879.09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0AE7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23.51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1462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135.10</w:t>
            </w:r>
          </w:p>
        </w:tc>
      </w:tr>
      <w:tr w:rsidR="00A0308E" w:rsidRPr="003B10E2" w14:paraId="1074BF2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A5FE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North Electro-Optic,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E46E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882.88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9232C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12.40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1EA4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32.76</w:t>
            </w:r>
          </w:p>
        </w:tc>
      </w:tr>
      <w:tr w:rsidR="00A0308E" w:rsidRPr="003B10E2" w14:paraId="3BC4AB5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5A7C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North Navigation Control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1BBF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2 303.13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E470D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11.05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A6D0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181.09</w:t>
            </w:r>
          </w:p>
        </w:tc>
      </w:tr>
      <w:tr w:rsidR="00A0308E" w:rsidRPr="003B10E2" w14:paraId="5C5891B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DD24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Northern United Publishing &amp; Media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8543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593.67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4AAA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04FC8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121.25</w:t>
            </w:r>
          </w:p>
        </w:tc>
      </w:tr>
      <w:tr w:rsidR="00A0308E" w:rsidRPr="003B10E2" w14:paraId="0C7A133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C29E6"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Novogene,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02A6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1 558.68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7A70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27.83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C0A4A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35.50</w:t>
            </w:r>
          </w:p>
        </w:tc>
      </w:tr>
      <w:tr w:rsidR="00A0308E" w:rsidRPr="003B10E2" w14:paraId="4BC5D53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F9EFD"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Novoprotein Scientific,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3155F"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79F9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53.68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2925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9.34</w:t>
            </w:r>
          </w:p>
        </w:tc>
      </w:tr>
      <w:tr w:rsidR="00A0308E" w:rsidRPr="003B10E2" w14:paraId="0E9D90D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0D014"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Novoray,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B853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844.39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1F22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70.18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2DEE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59.21</w:t>
            </w:r>
          </w:p>
        </w:tc>
      </w:tr>
      <w:tr w:rsidR="00A0308E" w:rsidRPr="003B10E2" w14:paraId="08125E9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98069"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Nuode Investment,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5017D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1 660.56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012F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5330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68.73</w:t>
            </w:r>
          </w:p>
        </w:tc>
      </w:tr>
      <w:tr w:rsidR="00A0308E" w:rsidRPr="003B10E2" w14:paraId="42A3A8D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3ADA8"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ObioTechnology (Shanghai),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9E7F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883.47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4B1B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2A22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54.65</w:t>
            </w:r>
          </w:p>
        </w:tc>
      </w:tr>
      <w:tr w:rsidR="00A0308E" w:rsidRPr="003B10E2" w14:paraId="36BCA9D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1A89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Offshore Oil Engineering,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E345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3 712.56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B25B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524F6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118.78</w:t>
            </w:r>
          </w:p>
        </w:tc>
      </w:tr>
      <w:tr w:rsidR="00A0308E" w:rsidRPr="003B10E2" w14:paraId="5637040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C4FF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OKE Precision Cutting Tools,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2536D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745.22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583E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174B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107.60</w:t>
            </w:r>
          </w:p>
        </w:tc>
      </w:tr>
      <w:tr w:rsidR="00A0308E" w:rsidRPr="003B10E2" w14:paraId="6D36DBA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A2EDF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Olympic Circuit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0F48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1 401.85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0BA6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18.82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CBEF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256.34</w:t>
            </w:r>
          </w:p>
        </w:tc>
      </w:tr>
      <w:tr w:rsidR="00A0308E" w:rsidRPr="003B10E2" w14:paraId="7B7690F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4776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Oppein Home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62C1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8 478.94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C6880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99.46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D89A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341.40</w:t>
            </w:r>
          </w:p>
        </w:tc>
      </w:tr>
      <w:tr w:rsidR="00A0308E" w:rsidRPr="003B10E2" w14:paraId="4EA70A1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4A156"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Opple Lighting,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E23E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2 178.56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42F9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20.64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238B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21.30</w:t>
            </w:r>
          </w:p>
        </w:tc>
      </w:tr>
      <w:tr w:rsidR="00A0308E" w:rsidRPr="003B10E2" w14:paraId="144EFC4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3A077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OPT Machine Vision 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E340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1 679.06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EE6D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145.47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B322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90.12</w:t>
            </w:r>
          </w:p>
        </w:tc>
      </w:tr>
      <w:tr w:rsidR="00A0308E" w:rsidRPr="003B10E2" w14:paraId="636FB43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0CC91"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Optowide Technologies,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4A6E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617.83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249A2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BA68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132.51</w:t>
            </w:r>
          </w:p>
        </w:tc>
      </w:tr>
      <w:tr w:rsidR="00A0308E" w:rsidRPr="003B10E2" w14:paraId="5181213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1D73B"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Orbbec,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ADB2E"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7715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4EE2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253.72</w:t>
            </w:r>
          </w:p>
        </w:tc>
      </w:tr>
      <w:tr w:rsidR="00A0308E" w:rsidRPr="003B10E2" w14:paraId="2251AE5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3122A"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Orient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CCC6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1 190.45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7A113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F237C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40.98</w:t>
            </w:r>
          </w:p>
        </w:tc>
      </w:tr>
      <w:tr w:rsidR="00A0308E" w:rsidRPr="003B10E2" w14:paraId="2A26CD7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B427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Orient International Enterprise,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17B7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1 007.73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957F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0AE9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587.52</w:t>
            </w:r>
          </w:p>
        </w:tc>
      </w:tr>
      <w:tr w:rsidR="00A0308E" w:rsidRPr="003B10E2" w14:paraId="31509DD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53CAD"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Orient Securities,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588A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8 224.86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80CF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9.85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53BB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507.84</w:t>
            </w:r>
          </w:p>
        </w:tc>
      </w:tr>
      <w:tr w:rsidR="00A0308E" w:rsidRPr="003B10E2" w14:paraId="54F03C3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C524F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Panda Financial 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6FC7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269.02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0C6B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11.58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5022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16.69</w:t>
            </w:r>
          </w:p>
        </w:tc>
      </w:tr>
      <w:tr w:rsidR="00A0308E" w:rsidRPr="003B10E2" w14:paraId="0BC2AC8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26CE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Pang Da Automobile Trade,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8EE3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572.51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B7064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0.40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88CE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0.00</w:t>
            </w:r>
          </w:p>
        </w:tc>
      </w:tr>
      <w:tr w:rsidR="00A0308E" w:rsidRPr="003B10E2" w14:paraId="46FDABB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251E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PCI-Suntek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CB2A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1 865.14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DAEA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2AA5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772.37</w:t>
            </w:r>
          </w:p>
        </w:tc>
      </w:tr>
      <w:tr w:rsidR="00A0308E" w:rsidRPr="003B10E2" w14:paraId="02B7CBB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24D3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Pengxin International Mining,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95C3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1 049.85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2D7D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FE9C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181.71</w:t>
            </w:r>
          </w:p>
        </w:tc>
      </w:tr>
      <w:tr w:rsidR="00A0308E" w:rsidRPr="003B10E2" w14:paraId="13B18D8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0DDD5A"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People.Cn,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1AB4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4 458.05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57F2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28.81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B5D9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3 219.28</w:t>
            </w:r>
          </w:p>
        </w:tc>
      </w:tr>
      <w:tr w:rsidR="00A0308E" w:rsidRPr="003B10E2" w14:paraId="3501FF3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FEFBB"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Perfect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C916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312.36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4012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22.32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D06F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15.34</w:t>
            </w:r>
          </w:p>
        </w:tc>
      </w:tr>
      <w:tr w:rsidR="00A0308E" w:rsidRPr="003B10E2" w14:paraId="5CB9A64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98D3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Peric Special Gases,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B70D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3C2B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44.17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2AB1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222.84</w:t>
            </w:r>
          </w:p>
        </w:tc>
      </w:tr>
      <w:tr w:rsidR="00A0308E" w:rsidRPr="003B10E2" w14:paraId="777FEB8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D02C7"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PetroChina,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0785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172 447.98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5789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05AF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1 548.41</w:t>
            </w:r>
          </w:p>
        </w:tc>
      </w:tr>
      <w:tr w:rsidR="00A0308E" w:rsidRPr="003B10E2" w14:paraId="00EE068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7BCD33"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Phenix Optical,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BDCB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792.06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E50D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0F61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87.64</w:t>
            </w:r>
          </w:p>
        </w:tc>
      </w:tr>
      <w:tr w:rsidR="00A0308E" w:rsidRPr="003B10E2" w14:paraId="7692834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C728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Ping An Insurance,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1B16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75 239.68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0A3D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49.63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AA25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2 170.45</w:t>
            </w:r>
          </w:p>
        </w:tc>
      </w:tr>
      <w:tr w:rsidR="00A0308E" w:rsidRPr="003B10E2" w14:paraId="1E09D19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3F48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Pingdingshan Tianan Coal Mining,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885A2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2 446.28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F82B5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29A6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183.83</w:t>
            </w:r>
          </w:p>
        </w:tc>
      </w:tr>
      <w:tr w:rsidR="00A0308E" w:rsidRPr="003B10E2" w14:paraId="643F30E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B1AFF"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Piotech,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793DD"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C0361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426.55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E6E72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722.23</w:t>
            </w:r>
          </w:p>
        </w:tc>
      </w:tr>
      <w:tr w:rsidR="00A0308E" w:rsidRPr="003B10E2" w14:paraId="2B25888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4682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PNC Process Systems,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5DB17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1 425.02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EB6C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31.97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674DE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266.85</w:t>
            </w:r>
          </w:p>
        </w:tc>
      </w:tr>
      <w:tr w:rsidR="00A0308E" w:rsidRPr="003B10E2" w14:paraId="7A5C74F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3F13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Polaris Bay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AD2E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1 528.85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AD48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7C70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93.25</w:t>
            </w:r>
          </w:p>
        </w:tc>
      </w:tr>
      <w:tr w:rsidR="00A0308E" w:rsidRPr="003B10E2" w14:paraId="0737BDD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13FB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Poly Real Estate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62AA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22 732.73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FBE2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13.57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DFA4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915.22</w:t>
            </w:r>
          </w:p>
        </w:tc>
      </w:tr>
      <w:tr w:rsidR="00A0308E" w:rsidRPr="003B10E2" w14:paraId="717B557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B2D4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Polyrocks Chemical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5223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231.59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F340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17.73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FC134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9.45</w:t>
            </w:r>
          </w:p>
        </w:tc>
      </w:tr>
      <w:tr w:rsidR="00A0308E" w:rsidRPr="003B10E2" w14:paraId="553090C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AA08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Postal Savings Bank of China,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3E37D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55 622.75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0D4D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1727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343.62</w:t>
            </w:r>
          </w:p>
        </w:tc>
      </w:tr>
      <w:tr w:rsidR="00A0308E" w:rsidRPr="003B10E2" w14:paraId="77DADBC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EE47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Poten Environment Gr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FF1EE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167.80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50E81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5B84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19.07</w:t>
            </w:r>
          </w:p>
        </w:tc>
      </w:tr>
      <w:tr w:rsidR="00A0308E" w:rsidRPr="003B10E2" w14:paraId="62E4551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F0BC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Power Construction Corporation of China Limited,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4D0D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12 246.94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D0E1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177F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514.98</w:t>
            </w:r>
          </w:p>
        </w:tc>
      </w:tr>
      <w:tr w:rsidR="00A0308E" w:rsidRPr="003B10E2" w14:paraId="22D7827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20237"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Power HF,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BD92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269.07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6EA5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15.84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9BDE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49.64</w:t>
            </w:r>
          </w:p>
        </w:tc>
      </w:tr>
      <w:tr w:rsidR="00A0308E" w:rsidRPr="003B10E2" w14:paraId="69548EA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B4DB82"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Primarius Technologies,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5E09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1 836.48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6F7C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D244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86.74</w:t>
            </w:r>
          </w:p>
        </w:tc>
      </w:tr>
      <w:tr w:rsidR="00A0308E" w:rsidRPr="003B10E2" w14:paraId="6061ED3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F28479"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Proya Cosmetics,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0F8F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3 102.85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AE71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110.30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FC69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313.40</w:t>
            </w:r>
          </w:p>
        </w:tc>
      </w:tr>
      <w:tr w:rsidR="00A0308E" w:rsidRPr="003B10E2" w14:paraId="2606E3F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61B7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Pulike Biological Engineering,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E87ED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1 117.62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608E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24.84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0F5E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51.95</w:t>
            </w:r>
          </w:p>
        </w:tc>
      </w:tr>
      <w:tr w:rsidR="00A0308E" w:rsidRPr="003B10E2" w14:paraId="3FEB591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4EE8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Puya Semiconductor (Shanghai),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04CF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893.87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4C2E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176.30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5A30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268.52</w:t>
            </w:r>
          </w:p>
        </w:tc>
      </w:tr>
      <w:tr w:rsidR="00A0308E" w:rsidRPr="003B10E2" w14:paraId="5B2F393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4DD2F"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Pylon Technologies,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61F2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4 141.83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5F52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191.13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5ADF2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343.56</w:t>
            </w:r>
          </w:p>
        </w:tc>
      </w:tr>
      <w:tr w:rsidR="00A0308E" w:rsidRPr="003B10E2" w14:paraId="26E83E6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3350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Qi An Xin Technology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6D21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5 593.73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B5C5A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58.60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D15C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178.16</w:t>
            </w:r>
          </w:p>
        </w:tc>
      </w:tr>
      <w:tr w:rsidR="00A0308E" w:rsidRPr="003B10E2" w14:paraId="7BDDF07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AF564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Qianhe Condiment and Food,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DBF9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2 358.73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C60A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5655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205.01</w:t>
            </w:r>
          </w:p>
        </w:tc>
      </w:tr>
      <w:tr w:rsidR="00A0308E" w:rsidRPr="003B10E2" w14:paraId="6B1FAC0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E8C4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Qianjiang Water Resources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8364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737.06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6AA9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14.92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A4AA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223.87</w:t>
            </w:r>
          </w:p>
        </w:tc>
      </w:tr>
      <w:tr w:rsidR="00A0308E" w:rsidRPr="003B10E2" w14:paraId="5E7832A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893CA"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Qibu,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A8C3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177.02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2000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81C0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4.08</w:t>
            </w:r>
          </w:p>
        </w:tc>
      </w:tr>
      <w:tr w:rsidR="00A0308E" w:rsidRPr="003B10E2" w14:paraId="44CE764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CF389"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Qijing Machinery,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79CB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344.99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32EE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12.83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CB56D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13.76</w:t>
            </w:r>
          </w:p>
        </w:tc>
      </w:tr>
      <w:tr w:rsidR="00A0308E" w:rsidRPr="003B10E2" w14:paraId="081054C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C6047"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Qilu Bank,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65F8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2 596.37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ABE4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3026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36.73</w:t>
            </w:r>
          </w:p>
        </w:tc>
      </w:tr>
      <w:tr w:rsidR="00A0308E" w:rsidRPr="003B10E2" w14:paraId="3052353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13FF0"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QingCloud,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EDEB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456.99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C3B89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CB6E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536.52</w:t>
            </w:r>
          </w:p>
        </w:tc>
      </w:tr>
      <w:tr w:rsidR="00A0308E" w:rsidRPr="003B10E2" w14:paraId="60C63A9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FF1F1"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Qingdao Citymedia,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1938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952.11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567E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EE14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177.27</w:t>
            </w:r>
          </w:p>
        </w:tc>
      </w:tr>
      <w:tr w:rsidR="00A0308E" w:rsidRPr="003B10E2" w14:paraId="5BAAFD6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C270B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Qingdao Copton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C2A9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327.76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A256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11.71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6A2F7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34.47</w:t>
            </w:r>
          </w:p>
        </w:tc>
      </w:tr>
      <w:tr w:rsidR="00A0308E" w:rsidRPr="003B10E2" w14:paraId="778BCA4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771B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Qingdao Daneng Environmental Protection Equipment,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16C0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332.68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79B1B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29DC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30.81</w:t>
            </w:r>
          </w:p>
        </w:tc>
      </w:tr>
      <w:tr w:rsidR="00A0308E" w:rsidRPr="003B10E2" w14:paraId="2279511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B468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Qingdao Gaoce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E83B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955.18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0AE7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42.17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11B8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196.94</w:t>
            </w:r>
          </w:p>
        </w:tc>
      </w:tr>
      <w:tr w:rsidR="00A0308E" w:rsidRPr="003B10E2" w14:paraId="0AA2C77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9042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Qingdao Haier Biomedical,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0038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2 292.34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381C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51.66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7346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112.51</w:t>
            </w:r>
          </w:p>
        </w:tc>
      </w:tr>
      <w:tr w:rsidR="00A0308E" w:rsidRPr="003B10E2" w14:paraId="59B3F04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AC47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Qingdao Hiron Commercial Cold Chain,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112A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620.39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66F2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42D1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36.98</w:t>
            </w:r>
          </w:p>
        </w:tc>
      </w:tr>
      <w:tr w:rsidR="00A0308E" w:rsidRPr="003B10E2" w14:paraId="504367B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6A55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Qingdao Huijintong Power Eouipment,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205F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456.58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BF59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9EE3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13.73</w:t>
            </w:r>
          </w:p>
        </w:tc>
      </w:tr>
      <w:tr w:rsidR="00A0308E" w:rsidRPr="003B10E2" w14:paraId="33D5A8A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F1E91"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Qingdao NovelBeam,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46BE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956.77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C64D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78.60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589D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129.19</w:t>
            </w:r>
          </w:p>
        </w:tc>
      </w:tr>
      <w:tr w:rsidR="00A0308E" w:rsidRPr="003B10E2" w14:paraId="2E6CFE3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3639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Qingdao Port International,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03A5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5 418.11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A4AE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88E6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65.92</w:t>
            </w:r>
          </w:p>
        </w:tc>
      </w:tr>
      <w:tr w:rsidR="00A0308E" w:rsidRPr="003B10E2" w14:paraId="39F718D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2095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Qingdao Richen Food,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CCAF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432.52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2107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31.34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F40D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28.22</w:t>
            </w:r>
          </w:p>
        </w:tc>
      </w:tr>
      <w:tr w:rsidR="00A0308E" w:rsidRPr="003B10E2" w14:paraId="4B99635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81252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Qingdao Tianhua Institute Chemistry Engineering,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A5D3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474.94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62AD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5841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49.78</w:t>
            </w:r>
          </w:p>
        </w:tc>
      </w:tr>
      <w:tr w:rsidR="00A0308E" w:rsidRPr="003B10E2" w14:paraId="5CB5AE6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4B32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Qingdao Topscomm Communication,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ADCD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907.25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77BA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0659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20.06</w:t>
            </w:r>
          </w:p>
        </w:tc>
      </w:tr>
      <w:tr w:rsidR="00A0308E" w:rsidRPr="003B10E2" w14:paraId="09D3DC7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0F5A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Qingdao Victall Railway,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C8C4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367.84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FBCF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0485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11.48</w:t>
            </w:r>
          </w:p>
        </w:tc>
      </w:tr>
      <w:tr w:rsidR="00A0308E" w:rsidRPr="003B10E2" w14:paraId="1618673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BD972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Qingdao Vland Biotech,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D59F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466.03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5015B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13.21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D086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6.82</w:t>
            </w:r>
          </w:p>
        </w:tc>
      </w:tr>
      <w:tr w:rsidR="00A0308E" w:rsidRPr="003B10E2" w14:paraId="726633B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C258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Qingdao Yunlu Advanced Materials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8C4F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1 147.86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953E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68.35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3CD4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32.42</w:t>
            </w:r>
          </w:p>
        </w:tc>
      </w:tr>
      <w:tr w:rsidR="00A0308E" w:rsidRPr="003B10E2" w14:paraId="1437C98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BE6E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Qinghai Huading Industrial,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5EE8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251.19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0C9D3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9121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11.72</w:t>
            </w:r>
          </w:p>
        </w:tc>
      </w:tr>
      <w:tr w:rsidR="00A0308E" w:rsidRPr="003B10E2" w14:paraId="12D6ADF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B43B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Qinghai Jinrui Mineral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0BC9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350.87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0885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A1E3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7.62</w:t>
            </w:r>
          </w:p>
        </w:tc>
      </w:tr>
      <w:tr w:rsidR="00A0308E" w:rsidRPr="003B10E2" w14:paraId="2DBA997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D22E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Qinghai Spring Medicinal Resources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155B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655.62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1CD6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1E1A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32.74</w:t>
            </w:r>
          </w:p>
        </w:tc>
      </w:tr>
      <w:tr w:rsidR="00A0308E" w:rsidRPr="003B10E2" w14:paraId="0995216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E1CE1"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Qinhuangdao Port,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6DBD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2 297.05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CF43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0C5E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126.30</w:t>
            </w:r>
          </w:p>
        </w:tc>
      </w:tr>
      <w:tr w:rsidR="00A0308E" w:rsidRPr="003B10E2" w14:paraId="700E64B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F819A"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QuantumCTek,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8BBD3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1 865.90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70A1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166.66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B4B8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434.51</w:t>
            </w:r>
          </w:p>
        </w:tc>
      </w:tr>
      <w:tr w:rsidR="00A0308E" w:rsidRPr="003B10E2" w14:paraId="67177C2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9F6E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Quechen Silicon Chemical,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1C7A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998.75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5DD8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17.09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0B89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13.37</w:t>
            </w:r>
          </w:p>
        </w:tc>
      </w:tr>
      <w:tr w:rsidR="00A0308E" w:rsidRPr="003B10E2" w14:paraId="5A96CE7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306E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Quectel Wireless Solutions,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D069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1 785.83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61AE0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87.78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5F56E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404.89</w:t>
            </w:r>
          </w:p>
        </w:tc>
      </w:tr>
      <w:tr w:rsidR="00A0308E" w:rsidRPr="003B10E2" w14:paraId="664B908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A80C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Quick Intelligent Equipment,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AD67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768.02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359D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28.75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A848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32.09</w:t>
            </w:r>
          </w:p>
        </w:tc>
      </w:tr>
      <w:tr w:rsidR="00A0308E" w:rsidRPr="003B10E2" w14:paraId="68409CC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36DB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QuMei Home Furnishings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40E6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419.93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A071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F16F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28.56</w:t>
            </w:r>
          </w:p>
        </w:tc>
      </w:tr>
      <w:tr w:rsidR="00A0308E" w:rsidRPr="003B10E2" w14:paraId="59C4471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B6E2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Quzhou Wuzhou Special Paper,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DFC0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812.84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9756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14.52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A9FE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17.86</w:t>
            </w:r>
          </w:p>
        </w:tc>
      </w:tr>
      <w:tr w:rsidR="00A0308E" w:rsidRPr="003B10E2" w14:paraId="4EEBE6D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81AB7"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Raisecom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5C4C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523.26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A1DF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8.88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D791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137.46</w:t>
            </w:r>
          </w:p>
        </w:tc>
      </w:tr>
      <w:tr w:rsidR="00A0308E" w:rsidRPr="003B10E2" w14:paraId="0B79912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46F0C"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Raytron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4F32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3 004.86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015A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C5BC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163.40</w:t>
            </w:r>
          </w:p>
        </w:tc>
      </w:tr>
      <w:tr w:rsidR="00A0308E" w:rsidRPr="003B10E2" w14:paraId="55E4CFE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3217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Red Avenue New Materials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6F1C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2 741.95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701B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32.81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9A4D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161.26</w:t>
            </w:r>
          </w:p>
        </w:tc>
      </w:tr>
      <w:tr w:rsidR="00A0308E" w:rsidRPr="003B10E2" w14:paraId="480F9E5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7981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Red Star Macalline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1C04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2 462.74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9760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19A0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38.31</w:t>
            </w:r>
          </w:p>
        </w:tc>
      </w:tr>
      <w:tr w:rsidR="00A0308E" w:rsidRPr="003B10E2" w14:paraId="1DFCBE8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A6399"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RemeGen,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B9EF3"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DBD3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68.93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B1119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134.01</w:t>
            </w:r>
          </w:p>
        </w:tc>
      </w:tr>
      <w:tr w:rsidR="00A0308E" w:rsidRPr="003B10E2" w14:paraId="1A3BA34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6E1E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Ribo Fashion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4CA4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729.52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C11FE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21.72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26C9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310.10</w:t>
            </w:r>
          </w:p>
        </w:tc>
      </w:tr>
      <w:tr w:rsidR="00A0308E" w:rsidRPr="003B10E2" w14:paraId="6E957D9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2F7BC"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Rightway Holdings,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6E28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359.38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E33C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5637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11.38</w:t>
            </w:r>
          </w:p>
        </w:tc>
      </w:tr>
      <w:tr w:rsidR="00A0308E" w:rsidRPr="003B10E2" w14:paraId="5341D47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0980B"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Rigol Technologies,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D5DE33"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A1C4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54.09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B89C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31.76</w:t>
            </w:r>
          </w:p>
        </w:tc>
      </w:tr>
      <w:tr w:rsidR="00A0308E" w:rsidRPr="003B10E2" w14:paraId="0F720EF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818B9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Rising Nonferrous Metals Share,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5D57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1 629.09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AD80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34.60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E34F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79.99</w:t>
            </w:r>
          </w:p>
        </w:tc>
      </w:tr>
      <w:tr w:rsidR="00A0308E" w:rsidRPr="003B10E2" w14:paraId="5BAD504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4040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Riyue Heavy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B372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2 579.62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0300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19.05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0753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143.57</w:t>
            </w:r>
          </w:p>
        </w:tc>
      </w:tr>
      <w:tr w:rsidR="00A0308E" w:rsidRPr="003B10E2" w14:paraId="275BA9F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DFF2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Rizhao Port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22D9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1 269.78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C036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C32F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71.36</w:t>
            </w:r>
          </w:p>
        </w:tc>
      </w:tr>
      <w:tr w:rsidR="00A0308E" w:rsidRPr="003B10E2" w14:paraId="7021E80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4FF6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Road Environment Technology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666D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386.87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2F7F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02E6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41.02</w:t>
            </w:r>
          </w:p>
        </w:tc>
      </w:tr>
      <w:tr w:rsidR="00A0308E" w:rsidRPr="003B10E2" w14:paraId="5CA3139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066D5"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RoadMainT,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5DC0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258.12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80DC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27.66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48AF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31.09</w:t>
            </w:r>
          </w:p>
        </w:tc>
      </w:tr>
      <w:tr w:rsidR="00A0308E" w:rsidRPr="003B10E2" w14:paraId="4635C6C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48CF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Ropeok Technology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076C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416.49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ABAF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15.89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27DE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49.25</w:t>
            </w:r>
          </w:p>
        </w:tc>
      </w:tr>
      <w:tr w:rsidR="00A0308E" w:rsidRPr="003B10E2" w14:paraId="7190DB6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7F71F"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Routon Electronic,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701B8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232.77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CFDE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499E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36.67</w:t>
            </w:r>
          </w:p>
        </w:tc>
      </w:tr>
      <w:tr w:rsidR="00A0308E" w:rsidRPr="003B10E2" w14:paraId="17ED518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CF55F"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Runner Xiamen,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E355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681.75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075A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10.85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DC8C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6.92</w:t>
            </w:r>
          </w:p>
        </w:tc>
      </w:tr>
      <w:tr w:rsidR="00A0308E" w:rsidRPr="003B10E2" w14:paraId="5902B62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DF8A6"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SAIC Motor,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189FC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22 776.66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6FE0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13.93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BE66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207.37</w:t>
            </w:r>
          </w:p>
        </w:tc>
      </w:tr>
      <w:tr w:rsidR="00A0308E" w:rsidRPr="003B10E2" w14:paraId="6B5E307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1249CF"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Sailun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6760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4 561.68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A864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10.64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DC07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168.43</w:t>
            </w:r>
          </w:p>
        </w:tc>
      </w:tr>
      <w:tr w:rsidR="00A0308E" w:rsidRPr="003B10E2" w14:paraId="62F5DE6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5E96C"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Sanan Optoelectronics,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8A3E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10 619.28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3F22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16.94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DFFA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3 209.33</w:t>
            </w:r>
          </w:p>
        </w:tc>
      </w:tr>
      <w:tr w:rsidR="00A0308E" w:rsidRPr="003B10E2" w14:paraId="382411B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1A70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Sanjiang Shopping Club,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1855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971.11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4631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12.67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A747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357.16</w:t>
            </w:r>
          </w:p>
        </w:tc>
      </w:tr>
      <w:tr w:rsidR="00A0308E" w:rsidRPr="003B10E2" w14:paraId="3BBEFDA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C96530"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Sansec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3BC0FE"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7D95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71.44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8DAC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67.86</w:t>
            </w:r>
          </w:p>
        </w:tc>
      </w:tr>
      <w:tr w:rsidR="00A0308E" w:rsidRPr="003B10E2" w14:paraId="5D18627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4FFCD"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Sansure Biotech,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A62E0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960.04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13C4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17.15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2594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21.26</w:t>
            </w:r>
          </w:p>
        </w:tc>
      </w:tr>
      <w:tr w:rsidR="00A0308E" w:rsidRPr="003B10E2" w14:paraId="562AB95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76A3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Sanxiang Advanced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2B62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428.67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26E1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5B76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23.93</w:t>
            </w:r>
          </w:p>
        </w:tc>
      </w:tr>
      <w:tr w:rsidR="00A0308E" w:rsidRPr="003B10E2" w14:paraId="07A4011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562A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Sany Heavy Energy,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55F0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C682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32.17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3EE9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25.27</w:t>
            </w:r>
          </w:p>
        </w:tc>
      </w:tr>
      <w:tr w:rsidR="00A0308E" w:rsidRPr="003B10E2" w14:paraId="6F55B2F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A0BE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Sany Heavy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8244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18 636.03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516A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15.68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1FFF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485.23</w:t>
            </w:r>
          </w:p>
        </w:tc>
      </w:tr>
      <w:tr w:rsidR="00A0308E" w:rsidRPr="003B10E2" w14:paraId="074D686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0BBA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Saurer Intelligent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CAA0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607.44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286C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99D1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11.72</w:t>
            </w:r>
          </w:p>
        </w:tc>
      </w:tr>
      <w:tr w:rsidR="00A0308E" w:rsidRPr="003B10E2" w14:paraId="0AC97FA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AB35D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SBT Ultrasonic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CA38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AAE5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125.78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F04D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95.72</w:t>
            </w:r>
          </w:p>
        </w:tc>
      </w:tr>
      <w:tr w:rsidR="00A0308E" w:rsidRPr="003B10E2" w14:paraId="017F23C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2F17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Science Environmental Protection,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65A31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2D985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3B3C2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24.11</w:t>
            </w:r>
          </w:p>
        </w:tc>
      </w:tr>
      <w:tr w:rsidR="00A0308E" w:rsidRPr="003B10E2" w14:paraId="1FAAAF1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D001C"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SDEC,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9F21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1 406.52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D9190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1223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30.07</w:t>
            </w:r>
          </w:p>
        </w:tc>
      </w:tr>
      <w:tr w:rsidR="00A0308E" w:rsidRPr="003B10E2" w14:paraId="65DF0D2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CAD3F"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SDEC,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F2F30"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2347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3354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0.08</w:t>
            </w:r>
          </w:p>
        </w:tc>
      </w:tr>
      <w:tr w:rsidR="00A0308E" w:rsidRPr="003B10E2" w14:paraId="374C237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770E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SDIC Essence Holdings,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2ED1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6 600.20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E546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91DE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111.81</w:t>
            </w:r>
          </w:p>
        </w:tc>
      </w:tr>
      <w:tr w:rsidR="00A0308E" w:rsidRPr="003B10E2" w14:paraId="3E7939C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A820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SDIC Power Holdings,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BE81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12 956.53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2A89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12.42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BAA8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165.85</w:t>
            </w:r>
          </w:p>
        </w:tc>
      </w:tr>
      <w:tr w:rsidR="00A0308E" w:rsidRPr="003B10E2" w14:paraId="1D297C2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99D1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SDIC Zhonglu Fruit Juice,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D795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422.00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4D89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61ED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27.34</w:t>
            </w:r>
          </w:p>
        </w:tc>
      </w:tr>
      <w:tr w:rsidR="00A0308E" w:rsidRPr="003B10E2" w14:paraId="73E0769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8D263B"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Seazen Holdings,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00908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4 656.74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4945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14.70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AC4BB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233.58</w:t>
            </w:r>
          </w:p>
        </w:tc>
      </w:tr>
      <w:tr w:rsidR="00A0308E" w:rsidRPr="003B10E2" w14:paraId="6AD6A53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2DFB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SEC Electric Machinery,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D4D5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321.59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DD97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CFE5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20.30</w:t>
            </w:r>
          </w:p>
        </w:tc>
      </w:tr>
      <w:tr w:rsidR="00A0308E" w:rsidRPr="003B10E2" w14:paraId="640C6D6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D767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Semiconductor Manufacturing Electronics Shaoxing,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594E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E698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3A42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435.25</w:t>
            </w:r>
          </w:p>
        </w:tc>
      </w:tr>
      <w:tr w:rsidR="00A0308E" w:rsidRPr="003B10E2" w14:paraId="3995AA5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CD624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Semiconductor Manufacturing International Corporation,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02C8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15 029.16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96F7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55.40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351C9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2 988.57</w:t>
            </w:r>
          </w:p>
        </w:tc>
      </w:tr>
      <w:tr w:rsidR="00A0308E" w:rsidRPr="003B10E2" w14:paraId="4DDAC2E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47FE8"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Serum Biotech,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BB8E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328.95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0622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21.72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2913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6.67</w:t>
            </w:r>
          </w:p>
        </w:tc>
      </w:tr>
      <w:tr w:rsidR="00A0308E" w:rsidRPr="003B10E2" w14:paraId="748F31F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3F2F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Servyou Software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C6F1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2 404.50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E367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42.33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B87A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75.14</w:t>
            </w:r>
          </w:p>
        </w:tc>
      </w:tr>
      <w:tr w:rsidR="00A0308E" w:rsidRPr="003B10E2" w14:paraId="5571F86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D6C1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Shaanxi Aerospace Power Hi-Tech,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946D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834.21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E6ED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9.34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EAFF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62.67</w:t>
            </w:r>
          </w:p>
        </w:tc>
      </w:tr>
      <w:tr w:rsidR="00A0308E" w:rsidRPr="003B10E2" w14:paraId="1783196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3D83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Shaanxi Baoguang Vacuum Electronic Apparatus,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BA54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448.25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07E1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133F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38.04</w:t>
            </w:r>
          </w:p>
        </w:tc>
      </w:tr>
      <w:tr w:rsidR="00A0308E" w:rsidRPr="003B10E2" w14:paraId="58F3534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2E86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Shaanxi Beiyuan Chemical Industry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4B842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2 799.74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A7F6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5553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15.74</w:t>
            </w:r>
          </w:p>
        </w:tc>
      </w:tr>
      <w:tr w:rsidR="00A0308E" w:rsidRPr="003B10E2" w14:paraId="6883EA8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DE5D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Shaanxi Broadcast &amp; TV Network Intermediary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8414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672.16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C18A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AA7C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127.04</w:t>
            </w:r>
          </w:p>
        </w:tc>
      </w:tr>
      <w:tr w:rsidR="00A0308E" w:rsidRPr="003B10E2" w14:paraId="37C8AC7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8A6A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Shaanxi Coal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DAF8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24 151.00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32BE1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3EE4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490.50</w:t>
            </w:r>
          </w:p>
        </w:tc>
      </w:tr>
      <w:tr w:rsidR="00A0308E" w:rsidRPr="003B10E2" w14:paraId="23F030D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C9A6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Shaanxi Construction Engineering Group (SCEGC),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B7CF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2 607.08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4ED2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A2B6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165.95</w:t>
            </w:r>
          </w:p>
        </w:tc>
      </w:tr>
      <w:tr w:rsidR="00A0308E" w:rsidRPr="003B10E2" w14:paraId="7AF5B27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F605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Shaanxi Construction Machinery,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F72C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591.37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1E95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2AF2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34.40</w:t>
            </w:r>
          </w:p>
        </w:tc>
      </w:tr>
      <w:tr w:rsidR="00A0308E" w:rsidRPr="003B10E2" w14:paraId="53F9426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BAC6F"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Shaanxi Heimao Coking,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3034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1 186.25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0A1C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B9FA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21.89</w:t>
            </w:r>
          </w:p>
        </w:tc>
      </w:tr>
      <w:tr w:rsidR="00A0308E" w:rsidRPr="003B10E2" w14:paraId="2E3B37E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6519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Shaanxi Huaqin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53A0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1 833.42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07B3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196.51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3777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72.02</w:t>
            </w:r>
          </w:p>
        </w:tc>
      </w:tr>
      <w:tr w:rsidR="00A0308E" w:rsidRPr="003B10E2" w14:paraId="6F116B9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D1FD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Shaanxi Kanghui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B636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227.98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160A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16.31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4BDC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11.11</w:t>
            </w:r>
          </w:p>
        </w:tc>
      </w:tr>
      <w:tr w:rsidR="00A0308E" w:rsidRPr="003B10E2" w14:paraId="4BCC4CF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5A244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Shaanxi Lighte Optoelectronics,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F75B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1 270.59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3BBD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22.56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A9A3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98.93</w:t>
            </w:r>
          </w:p>
        </w:tc>
      </w:tr>
      <w:tr w:rsidR="00A0308E" w:rsidRPr="003B10E2" w14:paraId="41B04FD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B2412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Shaanxi Meibang Pharmaceutical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B4F3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333.96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9B76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17.65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D075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5.56</w:t>
            </w:r>
          </w:p>
        </w:tc>
      </w:tr>
      <w:tr w:rsidR="00A0308E" w:rsidRPr="003B10E2" w14:paraId="36EF131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3581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Shaanxi Sirui Advanced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6A57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890.09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7D5B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15.90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FEDB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74.61</w:t>
            </w:r>
          </w:p>
        </w:tc>
      </w:tr>
      <w:tr w:rsidR="00A0308E" w:rsidRPr="003B10E2" w14:paraId="0DB54EC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D422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Bailong Chuangyuan Bio-Tech,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9F033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391.82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A5DC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22.08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C28C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34.98</w:t>
            </w:r>
          </w:p>
        </w:tc>
      </w:tr>
      <w:tr w:rsidR="00A0308E" w:rsidRPr="003B10E2" w14:paraId="4DFDA51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D1FF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Bohui Paper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0D6A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1 088.86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7588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BEBB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29.67</w:t>
            </w:r>
          </w:p>
        </w:tc>
      </w:tr>
      <w:tr w:rsidR="00A0308E" w:rsidRPr="003B10E2" w14:paraId="0D1965E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246C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Buchang Pharmaceuticals,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1423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3 327.85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510B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20.83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012A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123.59</w:t>
            </w:r>
          </w:p>
        </w:tc>
      </w:tr>
      <w:tr w:rsidR="00A0308E" w:rsidRPr="003B10E2" w14:paraId="25B8DE7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6BD0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Cynda Chemical,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DE61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213.02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21F86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413D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28.32</w:t>
            </w:r>
          </w:p>
        </w:tc>
      </w:tr>
      <w:tr w:rsidR="00A0308E" w:rsidRPr="003B10E2" w14:paraId="51DFD7C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B5525"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Shandong Daye,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E451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446.78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D0BE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11.01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E452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205.69</w:t>
            </w:r>
          </w:p>
        </w:tc>
      </w:tr>
      <w:tr w:rsidR="00A0308E" w:rsidRPr="003B10E2" w14:paraId="60BB5AF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5319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Donghong Pipe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BB72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453.56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E62C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12.56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15A8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15.81</w:t>
            </w:r>
          </w:p>
        </w:tc>
      </w:tr>
      <w:tr w:rsidR="00A0308E" w:rsidRPr="003B10E2" w14:paraId="79447B5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9C9E3B"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Shandong Expressway,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EE64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4 706.47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4BEA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3FC5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54.60</w:t>
            </w:r>
          </w:p>
        </w:tc>
      </w:tr>
      <w:tr w:rsidR="00A0308E" w:rsidRPr="003B10E2" w14:paraId="0FDAB7F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D458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Fiberglass Group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0FC1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522.71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328E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6565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6.73</w:t>
            </w:r>
          </w:p>
        </w:tc>
      </w:tr>
      <w:tr w:rsidR="00A0308E" w:rsidRPr="003B10E2" w14:paraId="72D5A74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F9A2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Gold Mining,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A935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12 650.93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2D55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25.01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EF33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345.23</w:t>
            </w:r>
          </w:p>
        </w:tc>
      </w:tr>
      <w:tr w:rsidR="00A0308E" w:rsidRPr="003B10E2" w14:paraId="20D6002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F12E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Gold Phoenix,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5061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443.05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7F9A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15.56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125D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58.78</w:t>
            </w:r>
          </w:p>
        </w:tc>
      </w:tr>
      <w:tr w:rsidR="00A0308E" w:rsidRPr="003B10E2" w14:paraId="152D7F9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0977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Hiking International,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50362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312.03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B5D2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15DF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13.41</w:t>
            </w:r>
          </w:p>
        </w:tc>
      </w:tr>
      <w:tr w:rsidR="00A0308E" w:rsidRPr="003B10E2" w14:paraId="18706F8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41DD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Homey Aquatic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AA3F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507.07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11E2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EE62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91.28</w:t>
            </w:r>
          </w:p>
        </w:tc>
      </w:tr>
      <w:tr w:rsidR="00A0308E" w:rsidRPr="003B10E2" w14:paraId="3CE6618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2CC6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Hualu Hengsheng Chemical,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8872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8 940.65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4AC3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EBE4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301.84</w:t>
            </w:r>
          </w:p>
        </w:tc>
      </w:tr>
      <w:tr w:rsidR="00A0308E" w:rsidRPr="003B10E2" w14:paraId="5056B35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38CA5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Huapeng Glass,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84CD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231.94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7D1A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2EAC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6.49</w:t>
            </w:r>
          </w:p>
        </w:tc>
      </w:tr>
      <w:tr w:rsidR="00A0308E" w:rsidRPr="003B10E2" w14:paraId="062E365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A9D3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Huatai Paper,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D4E6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568.63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6551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BDEC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23.12</w:t>
            </w:r>
          </w:p>
        </w:tc>
      </w:tr>
      <w:tr w:rsidR="00A0308E" w:rsidRPr="003B10E2" w14:paraId="2378003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7440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Huifa Foodstuff,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8AE2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160.75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D2B0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8EC8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16.37</w:t>
            </w:r>
          </w:p>
        </w:tc>
      </w:tr>
      <w:tr w:rsidR="00A0308E" w:rsidRPr="003B10E2" w14:paraId="205F438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C344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Intco Recycling Resources,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DCDB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583.85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A14D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31.36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D4AE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21.35</w:t>
            </w:r>
          </w:p>
        </w:tc>
      </w:tr>
      <w:tr w:rsidR="00A0308E" w:rsidRPr="003B10E2" w14:paraId="31790D6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D7FB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Iron and Steel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9266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2 221.33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353F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87EE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38.03</w:t>
            </w:r>
          </w:p>
        </w:tc>
      </w:tr>
      <w:tr w:rsidR="00A0308E" w:rsidRPr="003B10E2" w14:paraId="062A06F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5009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Jiangquan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F378B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731.87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6AED9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10.22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A271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136.88</w:t>
            </w:r>
          </w:p>
        </w:tc>
      </w:tr>
      <w:tr w:rsidR="00A0308E" w:rsidRPr="003B10E2" w14:paraId="51CD848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98C9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Jinjing Science &amp;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26CE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1 469.66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94FD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87DC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131.38</w:t>
            </w:r>
          </w:p>
        </w:tc>
      </w:tr>
      <w:tr w:rsidR="00A0308E" w:rsidRPr="003B10E2" w14:paraId="1CD2140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61C49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Kehui Power Automation,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0ED9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222.66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78DE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BC8F4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14.59</w:t>
            </w:r>
          </w:p>
        </w:tc>
      </w:tr>
      <w:tr w:rsidR="00A0308E" w:rsidRPr="003B10E2" w14:paraId="594C35E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80E7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Linglong Tyre,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FB99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4 366.68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F0490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22.74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D48B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319.20</w:t>
            </w:r>
          </w:p>
        </w:tc>
      </w:tr>
      <w:tr w:rsidR="00A0308E" w:rsidRPr="003B10E2" w14:paraId="29BA650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DB90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Lukang Pharma,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F81D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791.19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5794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9DCD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55.86</w:t>
            </w:r>
          </w:p>
        </w:tc>
      </w:tr>
      <w:tr w:rsidR="00A0308E" w:rsidRPr="003B10E2" w14:paraId="26D91B4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34CA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Nanshan Aluminum,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FCEE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5 167.87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2949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B690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107.55</w:t>
            </w:r>
          </w:p>
        </w:tc>
      </w:tr>
      <w:tr w:rsidR="00A0308E" w:rsidRPr="003B10E2" w14:paraId="3A3948C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7E4D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Pharmaceutical Glass,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387A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2 233.99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76F9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26.83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041C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215.10</w:t>
            </w:r>
          </w:p>
        </w:tc>
      </w:tr>
      <w:tr w:rsidR="00A0308E" w:rsidRPr="003B10E2" w14:paraId="69DD35A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A35D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Publishing &amp; Media,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0456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3 195.11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296F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10.94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778A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281.56</w:t>
            </w:r>
          </w:p>
        </w:tc>
      </w:tr>
      <w:tr w:rsidR="00A0308E" w:rsidRPr="003B10E2" w14:paraId="018EA53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F1E7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Shida Shenghua Chemical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128F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1 751.80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2DE5E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61.76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A662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61.94</w:t>
            </w:r>
          </w:p>
        </w:tc>
      </w:tr>
      <w:tr w:rsidR="00A0308E" w:rsidRPr="003B10E2" w14:paraId="6FFAF2E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4F2C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Sinoglory Health Food,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317F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BF35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15.37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4284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10.04</w:t>
            </w:r>
          </w:p>
        </w:tc>
      </w:tr>
      <w:tr w:rsidR="00A0308E" w:rsidRPr="003B10E2" w14:paraId="467428E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66FF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Swan Cotton Industrial Machinery Stock,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18ED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270.92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2F9C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20.74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5D97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136.52</w:t>
            </w:r>
          </w:p>
        </w:tc>
      </w:tr>
      <w:tr w:rsidR="00A0308E" w:rsidRPr="003B10E2" w14:paraId="504F608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1359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Teamgene Technology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82241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E992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7875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25.44</w:t>
            </w:r>
          </w:p>
        </w:tc>
      </w:tr>
      <w:tr w:rsidR="00A0308E" w:rsidRPr="003B10E2" w14:paraId="49606BB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37120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Tyan Home,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B817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377.60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293C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CC72E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9.48</w:t>
            </w:r>
          </w:p>
        </w:tc>
      </w:tr>
      <w:tr w:rsidR="00A0308E" w:rsidRPr="003B10E2" w14:paraId="388DCBF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24CD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Weigao Orthopaedic Device,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A8E6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2 475.40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5C50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44.22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4A5E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25.63</w:t>
            </w:r>
          </w:p>
        </w:tc>
      </w:tr>
      <w:tr w:rsidR="00A0308E" w:rsidRPr="003B10E2" w14:paraId="77F270B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D680E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Xinchao Energy,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CAE6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2 322.19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CA3D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6BFA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419.01</w:t>
            </w:r>
          </w:p>
        </w:tc>
      </w:tr>
      <w:tr w:rsidR="00A0308E" w:rsidRPr="003B10E2" w14:paraId="6B200CB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DBAFB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Yuanli Science &amp;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FF99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461.11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6B2A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25.32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F9AB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11.59</w:t>
            </w:r>
          </w:p>
        </w:tc>
      </w:tr>
      <w:tr w:rsidR="00A0308E" w:rsidRPr="003B10E2" w14:paraId="581E90E1" w14:textId="77777777" w:rsidTr="00A0308E">
        <w:trPr>
          <w:trHeight w:val="300"/>
        </w:trPr>
        <w:tc>
          <w:tcPr>
            <w:tcW w:w="481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795A4D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 Gong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nil"/>
              <w:bottom w:val="single" w:sz="4" w:space="0" w:color="000000"/>
              <w:right w:val="single" w:sz="4" w:space="0" w:color="000000"/>
            </w:tcBorders>
            <w:shd w:val="clear" w:color="auto" w:fill="auto"/>
            <w:noWrap/>
            <w:vAlign w:val="bottom"/>
            <w:hideMark/>
          </w:tcPr>
          <w:p w14:paraId="52E0F75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544.94</w:t>
            </w:r>
          </w:p>
        </w:tc>
        <w:tc>
          <w:tcPr>
            <w:tcW w:w="957" w:type="dxa"/>
            <w:tcBorders>
              <w:top w:val="single" w:sz="4" w:space="0" w:color="auto"/>
              <w:left w:val="nil"/>
              <w:bottom w:val="single" w:sz="4" w:space="0" w:color="000000"/>
              <w:right w:val="single" w:sz="4" w:space="0" w:color="000000"/>
            </w:tcBorders>
            <w:shd w:val="clear" w:color="auto" w:fill="auto"/>
            <w:noWrap/>
            <w:vAlign w:val="bottom"/>
            <w:hideMark/>
          </w:tcPr>
          <w:p w14:paraId="1B7E73E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5.46</w:t>
            </w:r>
          </w:p>
        </w:tc>
        <w:tc>
          <w:tcPr>
            <w:tcW w:w="1418" w:type="dxa"/>
            <w:tcBorders>
              <w:top w:val="single" w:sz="4" w:space="0" w:color="auto"/>
              <w:left w:val="nil"/>
              <w:bottom w:val="single" w:sz="4" w:space="0" w:color="000000"/>
              <w:right w:val="single" w:sz="4" w:space="0" w:color="000000"/>
            </w:tcBorders>
            <w:shd w:val="clear" w:color="auto" w:fill="auto"/>
            <w:noWrap/>
            <w:vAlign w:val="bottom"/>
            <w:hideMark/>
          </w:tcPr>
          <w:p w14:paraId="5D31BCA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18.08</w:t>
            </w:r>
          </w:p>
        </w:tc>
      </w:tr>
      <w:tr w:rsidR="00A0308E" w:rsidRPr="003B10E2" w14:paraId="3396CCD4"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7A8F58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 Gong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7DF5A0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6E8DF4F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0.33</w:t>
            </w:r>
          </w:p>
        </w:tc>
        <w:tc>
          <w:tcPr>
            <w:tcW w:w="1418" w:type="dxa"/>
            <w:tcBorders>
              <w:top w:val="nil"/>
              <w:left w:val="nil"/>
              <w:bottom w:val="single" w:sz="4" w:space="0" w:color="000000"/>
              <w:right w:val="single" w:sz="4" w:space="0" w:color="000000"/>
            </w:tcBorders>
            <w:shd w:val="clear" w:color="auto" w:fill="auto"/>
            <w:noWrap/>
            <w:vAlign w:val="bottom"/>
            <w:hideMark/>
          </w:tcPr>
          <w:p w14:paraId="56FC996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0.07</w:t>
            </w:r>
          </w:p>
        </w:tc>
      </w:tr>
      <w:tr w:rsidR="00A0308E" w:rsidRPr="003B10E2" w14:paraId="790F5636"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B3CBFE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Shangdong Lubei Chemical,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499CC9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431.27</w:t>
            </w:r>
          </w:p>
        </w:tc>
        <w:tc>
          <w:tcPr>
            <w:tcW w:w="957" w:type="dxa"/>
            <w:tcBorders>
              <w:top w:val="nil"/>
              <w:left w:val="nil"/>
              <w:bottom w:val="single" w:sz="4" w:space="0" w:color="000000"/>
              <w:right w:val="single" w:sz="4" w:space="0" w:color="000000"/>
            </w:tcBorders>
            <w:shd w:val="clear" w:color="auto" w:fill="auto"/>
            <w:noWrap/>
            <w:vAlign w:val="bottom"/>
            <w:hideMark/>
          </w:tcPr>
          <w:p w14:paraId="3B49A88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5.83</w:t>
            </w:r>
          </w:p>
        </w:tc>
        <w:tc>
          <w:tcPr>
            <w:tcW w:w="1418" w:type="dxa"/>
            <w:tcBorders>
              <w:top w:val="nil"/>
              <w:left w:val="nil"/>
              <w:bottom w:val="single" w:sz="4" w:space="0" w:color="000000"/>
              <w:right w:val="single" w:sz="4" w:space="0" w:color="000000"/>
            </w:tcBorders>
            <w:shd w:val="clear" w:color="auto" w:fill="auto"/>
            <w:noWrap/>
            <w:vAlign w:val="bottom"/>
            <w:hideMark/>
          </w:tcPr>
          <w:p w14:paraId="13D1F77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7.21</w:t>
            </w:r>
          </w:p>
        </w:tc>
      </w:tr>
      <w:tr w:rsidR="00A0308E" w:rsidRPr="003B10E2" w14:paraId="7E336DA9"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C6B487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ACE Investment &amp;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AC8820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320.16</w:t>
            </w:r>
          </w:p>
        </w:tc>
        <w:tc>
          <w:tcPr>
            <w:tcW w:w="957" w:type="dxa"/>
            <w:tcBorders>
              <w:top w:val="nil"/>
              <w:left w:val="nil"/>
              <w:bottom w:val="single" w:sz="4" w:space="0" w:color="000000"/>
              <w:right w:val="single" w:sz="4" w:space="0" w:color="000000"/>
            </w:tcBorders>
            <w:shd w:val="clear" w:color="auto" w:fill="auto"/>
            <w:noWrap/>
            <w:vAlign w:val="bottom"/>
            <w:hideMark/>
          </w:tcPr>
          <w:p w14:paraId="1932381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14.41</w:t>
            </w:r>
          </w:p>
        </w:tc>
        <w:tc>
          <w:tcPr>
            <w:tcW w:w="1418" w:type="dxa"/>
            <w:tcBorders>
              <w:top w:val="nil"/>
              <w:left w:val="nil"/>
              <w:bottom w:val="single" w:sz="4" w:space="0" w:color="000000"/>
              <w:right w:val="single" w:sz="4" w:space="0" w:color="000000"/>
            </w:tcBorders>
            <w:shd w:val="clear" w:color="auto" w:fill="auto"/>
            <w:noWrap/>
            <w:vAlign w:val="bottom"/>
            <w:hideMark/>
          </w:tcPr>
          <w:p w14:paraId="369E9E8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46.18</w:t>
            </w:r>
          </w:p>
        </w:tc>
      </w:tr>
      <w:tr w:rsidR="00A0308E" w:rsidRPr="003B10E2" w14:paraId="05D6F599"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602F27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Action Education,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A1BB13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463.76</w:t>
            </w:r>
          </w:p>
        </w:tc>
        <w:tc>
          <w:tcPr>
            <w:tcW w:w="957" w:type="dxa"/>
            <w:tcBorders>
              <w:top w:val="nil"/>
              <w:left w:val="nil"/>
              <w:bottom w:val="single" w:sz="4" w:space="0" w:color="000000"/>
              <w:right w:val="single" w:sz="4" w:space="0" w:color="000000"/>
            </w:tcBorders>
            <w:shd w:val="clear" w:color="auto" w:fill="auto"/>
            <w:noWrap/>
            <w:vAlign w:val="bottom"/>
            <w:hideMark/>
          </w:tcPr>
          <w:p w14:paraId="636B695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39.29</w:t>
            </w:r>
          </w:p>
        </w:tc>
        <w:tc>
          <w:tcPr>
            <w:tcW w:w="1418" w:type="dxa"/>
            <w:tcBorders>
              <w:top w:val="nil"/>
              <w:left w:val="nil"/>
              <w:bottom w:val="single" w:sz="4" w:space="0" w:color="000000"/>
              <w:right w:val="single" w:sz="4" w:space="0" w:color="000000"/>
            </w:tcBorders>
            <w:shd w:val="clear" w:color="auto" w:fill="auto"/>
            <w:noWrap/>
            <w:vAlign w:val="bottom"/>
            <w:hideMark/>
          </w:tcPr>
          <w:p w14:paraId="2AB53C4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41.53</w:t>
            </w:r>
          </w:p>
        </w:tc>
      </w:tr>
      <w:tr w:rsidR="00A0308E" w:rsidRPr="003B10E2" w14:paraId="5DAEE643"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29894B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Aerospace Automobile Electromechanical,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28E422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1 593.73</w:t>
            </w:r>
          </w:p>
        </w:tc>
        <w:tc>
          <w:tcPr>
            <w:tcW w:w="957" w:type="dxa"/>
            <w:tcBorders>
              <w:top w:val="nil"/>
              <w:left w:val="nil"/>
              <w:bottom w:val="single" w:sz="4" w:space="0" w:color="000000"/>
              <w:right w:val="single" w:sz="4" w:space="0" w:color="000000"/>
            </w:tcBorders>
            <w:shd w:val="clear" w:color="auto" w:fill="auto"/>
            <w:noWrap/>
            <w:vAlign w:val="bottom"/>
            <w:hideMark/>
          </w:tcPr>
          <w:p w14:paraId="368C3D1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7.94</w:t>
            </w:r>
          </w:p>
        </w:tc>
        <w:tc>
          <w:tcPr>
            <w:tcW w:w="1418" w:type="dxa"/>
            <w:tcBorders>
              <w:top w:val="nil"/>
              <w:left w:val="nil"/>
              <w:bottom w:val="single" w:sz="4" w:space="0" w:color="000000"/>
              <w:right w:val="single" w:sz="4" w:space="0" w:color="000000"/>
            </w:tcBorders>
            <w:shd w:val="clear" w:color="auto" w:fill="auto"/>
            <w:noWrap/>
            <w:vAlign w:val="bottom"/>
            <w:hideMark/>
          </w:tcPr>
          <w:p w14:paraId="3D1159C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106.76</w:t>
            </w:r>
          </w:p>
        </w:tc>
      </w:tr>
      <w:tr w:rsidR="00A0308E" w:rsidRPr="003B10E2" w14:paraId="1CEF3161"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9C47B8C"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Shanghai Aiyingshi,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21C4703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331.11</w:t>
            </w:r>
          </w:p>
        </w:tc>
        <w:tc>
          <w:tcPr>
            <w:tcW w:w="957" w:type="dxa"/>
            <w:tcBorders>
              <w:top w:val="nil"/>
              <w:left w:val="nil"/>
              <w:bottom w:val="single" w:sz="4" w:space="0" w:color="000000"/>
              <w:right w:val="single" w:sz="4" w:space="0" w:color="000000"/>
            </w:tcBorders>
            <w:shd w:val="clear" w:color="auto" w:fill="auto"/>
            <w:noWrap/>
            <w:vAlign w:val="bottom"/>
            <w:hideMark/>
          </w:tcPr>
          <w:p w14:paraId="0811DD5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16.72</w:t>
            </w:r>
          </w:p>
        </w:tc>
        <w:tc>
          <w:tcPr>
            <w:tcW w:w="1418" w:type="dxa"/>
            <w:tcBorders>
              <w:top w:val="nil"/>
              <w:left w:val="nil"/>
              <w:bottom w:val="single" w:sz="4" w:space="0" w:color="000000"/>
              <w:right w:val="single" w:sz="4" w:space="0" w:color="000000"/>
            </w:tcBorders>
            <w:shd w:val="clear" w:color="auto" w:fill="auto"/>
            <w:noWrap/>
            <w:vAlign w:val="bottom"/>
            <w:hideMark/>
          </w:tcPr>
          <w:p w14:paraId="30648FD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22.32</w:t>
            </w:r>
          </w:p>
        </w:tc>
      </w:tr>
      <w:tr w:rsidR="00A0308E" w:rsidRPr="003B10E2" w14:paraId="31A23C90"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F461CE6"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Shanghai AJ Group,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5FCF620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1 139.47</w:t>
            </w:r>
          </w:p>
        </w:tc>
        <w:tc>
          <w:tcPr>
            <w:tcW w:w="957" w:type="dxa"/>
            <w:tcBorders>
              <w:top w:val="nil"/>
              <w:left w:val="nil"/>
              <w:bottom w:val="single" w:sz="4" w:space="0" w:color="000000"/>
              <w:right w:val="single" w:sz="4" w:space="0" w:color="000000"/>
            </w:tcBorders>
            <w:shd w:val="clear" w:color="auto" w:fill="auto"/>
            <w:noWrap/>
            <w:vAlign w:val="bottom"/>
            <w:hideMark/>
          </w:tcPr>
          <w:p w14:paraId="31F12C9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5.02</w:t>
            </w:r>
          </w:p>
        </w:tc>
        <w:tc>
          <w:tcPr>
            <w:tcW w:w="1418" w:type="dxa"/>
            <w:tcBorders>
              <w:top w:val="nil"/>
              <w:left w:val="nil"/>
              <w:bottom w:val="single" w:sz="4" w:space="0" w:color="000000"/>
              <w:right w:val="single" w:sz="4" w:space="0" w:color="000000"/>
            </w:tcBorders>
            <w:shd w:val="clear" w:color="auto" w:fill="auto"/>
            <w:noWrap/>
            <w:vAlign w:val="bottom"/>
            <w:hideMark/>
          </w:tcPr>
          <w:p w14:paraId="0C47981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50.50</w:t>
            </w:r>
          </w:p>
        </w:tc>
      </w:tr>
      <w:tr w:rsidR="00A0308E" w:rsidRPr="003B10E2" w14:paraId="57FF34BC"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7FA3F7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Aladdin Biochemical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661D2A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443.54</w:t>
            </w:r>
          </w:p>
        </w:tc>
        <w:tc>
          <w:tcPr>
            <w:tcW w:w="957" w:type="dxa"/>
            <w:tcBorders>
              <w:top w:val="nil"/>
              <w:left w:val="nil"/>
              <w:bottom w:val="single" w:sz="4" w:space="0" w:color="000000"/>
              <w:right w:val="single" w:sz="4" w:space="0" w:color="000000"/>
            </w:tcBorders>
            <w:shd w:val="clear" w:color="auto" w:fill="auto"/>
            <w:noWrap/>
            <w:vAlign w:val="bottom"/>
            <w:hideMark/>
          </w:tcPr>
          <w:p w14:paraId="41DB5EB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31.40</w:t>
            </w:r>
          </w:p>
        </w:tc>
        <w:tc>
          <w:tcPr>
            <w:tcW w:w="1418" w:type="dxa"/>
            <w:tcBorders>
              <w:top w:val="nil"/>
              <w:left w:val="nil"/>
              <w:bottom w:val="single" w:sz="4" w:space="0" w:color="000000"/>
              <w:right w:val="single" w:sz="4" w:space="0" w:color="000000"/>
            </w:tcBorders>
            <w:shd w:val="clear" w:color="auto" w:fill="auto"/>
            <w:noWrap/>
            <w:vAlign w:val="bottom"/>
            <w:hideMark/>
          </w:tcPr>
          <w:p w14:paraId="17CE14C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47.33</w:t>
            </w:r>
          </w:p>
        </w:tc>
      </w:tr>
      <w:tr w:rsidR="00A0308E" w:rsidRPr="003B10E2" w14:paraId="53B69779"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496FD7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Allist Pharmaceuticals,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F86B10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1 624.17</w:t>
            </w:r>
          </w:p>
        </w:tc>
        <w:tc>
          <w:tcPr>
            <w:tcW w:w="957" w:type="dxa"/>
            <w:tcBorders>
              <w:top w:val="nil"/>
              <w:left w:val="nil"/>
              <w:bottom w:val="single" w:sz="4" w:space="0" w:color="000000"/>
              <w:right w:val="single" w:sz="4" w:space="0" w:color="000000"/>
            </w:tcBorders>
            <w:shd w:val="clear" w:color="auto" w:fill="auto"/>
            <w:noWrap/>
            <w:vAlign w:val="bottom"/>
            <w:hideMark/>
          </w:tcPr>
          <w:p w14:paraId="4D41F12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25.79</w:t>
            </w:r>
          </w:p>
        </w:tc>
        <w:tc>
          <w:tcPr>
            <w:tcW w:w="1418" w:type="dxa"/>
            <w:tcBorders>
              <w:top w:val="nil"/>
              <w:left w:val="nil"/>
              <w:bottom w:val="single" w:sz="4" w:space="0" w:color="000000"/>
              <w:right w:val="single" w:sz="4" w:space="0" w:color="000000"/>
            </w:tcBorders>
            <w:shd w:val="clear" w:color="auto" w:fill="auto"/>
            <w:noWrap/>
            <w:vAlign w:val="bottom"/>
            <w:hideMark/>
          </w:tcPr>
          <w:p w14:paraId="75CCFA9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74.41</w:t>
            </w:r>
          </w:p>
        </w:tc>
      </w:tr>
      <w:tr w:rsidR="00A0308E" w:rsidRPr="003B10E2" w14:paraId="55B959CA"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EDDD95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Anlogic Infotech,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FE7DD6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3 276.73</w:t>
            </w:r>
          </w:p>
        </w:tc>
        <w:tc>
          <w:tcPr>
            <w:tcW w:w="957" w:type="dxa"/>
            <w:tcBorders>
              <w:top w:val="nil"/>
              <w:left w:val="nil"/>
              <w:bottom w:val="single" w:sz="4" w:space="0" w:color="000000"/>
              <w:right w:val="single" w:sz="4" w:space="0" w:color="000000"/>
            </w:tcBorders>
            <w:shd w:val="clear" w:color="auto" w:fill="auto"/>
            <w:noWrap/>
            <w:vAlign w:val="bottom"/>
            <w:hideMark/>
          </w:tcPr>
          <w:p w14:paraId="3D24DF5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58.52</w:t>
            </w:r>
          </w:p>
        </w:tc>
        <w:tc>
          <w:tcPr>
            <w:tcW w:w="1418" w:type="dxa"/>
            <w:tcBorders>
              <w:top w:val="nil"/>
              <w:left w:val="nil"/>
              <w:bottom w:val="single" w:sz="4" w:space="0" w:color="000000"/>
              <w:right w:val="single" w:sz="4" w:space="0" w:color="000000"/>
            </w:tcBorders>
            <w:shd w:val="clear" w:color="auto" w:fill="auto"/>
            <w:noWrap/>
            <w:vAlign w:val="bottom"/>
            <w:hideMark/>
          </w:tcPr>
          <w:p w14:paraId="4A98747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211.33</w:t>
            </w:r>
          </w:p>
        </w:tc>
      </w:tr>
      <w:tr w:rsidR="00A0308E" w:rsidRPr="003B10E2" w14:paraId="7AF43E30"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2B682A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Aohua Photoelectricity Endoscope,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EC0476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1 237.76</w:t>
            </w:r>
          </w:p>
        </w:tc>
        <w:tc>
          <w:tcPr>
            <w:tcW w:w="957" w:type="dxa"/>
            <w:tcBorders>
              <w:top w:val="nil"/>
              <w:left w:val="nil"/>
              <w:bottom w:val="single" w:sz="4" w:space="0" w:color="000000"/>
              <w:right w:val="single" w:sz="4" w:space="0" w:color="000000"/>
            </w:tcBorders>
            <w:shd w:val="clear" w:color="auto" w:fill="auto"/>
            <w:noWrap/>
            <w:vAlign w:val="bottom"/>
            <w:hideMark/>
          </w:tcPr>
          <w:p w14:paraId="6180B78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66.33</w:t>
            </w:r>
          </w:p>
        </w:tc>
        <w:tc>
          <w:tcPr>
            <w:tcW w:w="1418" w:type="dxa"/>
            <w:tcBorders>
              <w:top w:val="nil"/>
              <w:left w:val="nil"/>
              <w:bottom w:val="single" w:sz="4" w:space="0" w:color="000000"/>
              <w:right w:val="single" w:sz="4" w:space="0" w:color="000000"/>
            </w:tcBorders>
            <w:shd w:val="clear" w:color="auto" w:fill="auto"/>
            <w:noWrap/>
            <w:vAlign w:val="bottom"/>
            <w:hideMark/>
          </w:tcPr>
          <w:p w14:paraId="220D800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80.02</w:t>
            </w:r>
          </w:p>
        </w:tc>
      </w:tr>
      <w:tr w:rsidR="00A0308E" w:rsidRPr="003B10E2" w14:paraId="7294E4C6"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702AE81"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Shanghai AtHub,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0CED301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1 189.95</w:t>
            </w:r>
          </w:p>
        </w:tc>
        <w:tc>
          <w:tcPr>
            <w:tcW w:w="957" w:type="dxa"/>
            <w:tcBorders>
              <w:top w:val="nil"/>
              <w:left w:val="nil"/>
              <w:bottom w:val="single" w:sz="4" w:space="0" w:color="000000"/>
              <w:right w:val="single" w:sz="4" w:space="0" w:color="000000"/>
            </w:tcBorders>
            <w:shd w:val="clear" w:color="auto" w:fill="auto"/>
            <w:noWrap/>
            <w:vAlign w:val="bottom"/>
            <w:hideMark/>
          </w:tcPr>
          <w:p w14:paraId="025B39D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25.85</w:t>
            </w:r>
          </w:p>
        </w:tc>
        <w:tc>
          <w:tcPr>
            <w:tcW w:w="1418" w:type="dxa"/>
            <w:tcBorders>
              <w:top w:val="nil"/>
              <w:left w:val="nil"/>
              <w:bottom w:val="single" w:sz="4" w:space="0" w:color="000000"/>
              <w:right w:val="single" w:sz="4" w:space="0" w:color="000000"/>
            </w:tcBorders>
            <w:shd w:val="clear" w:color="auto" w:fill="auto"/>
            <w:noWrap/>
            <w:vAlign w:val="bottom"/>
            <w:hideMark/>
          </w:tcPr>
          <w:p w14:paraId="00C722F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501.72</w:t>
            </w:r>
          </w:p>
        </w:tc>
      </w:tr>
      <w:tr w:rsidR="00A0308E" w:rsidRPr="003B10E2" w14:paraId="70AF1E83"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519739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Awinic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C75263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2 136.13</w:t>
            </w:r>
          </w:p>
        </w:tc>
        <w:tc>
          <w:tcPr>
            <w:tcW w:w="957" w:type="dxa"/>
            <w:tcBorders>
              <w:top w:val="nil"/>
              <w:left w:val="nil"/>
              <w:bottom w:val="single" w:sz="4" w:space="0" w:color="000000"/>
              <w:right w:val="single" w:sz="4" w:space="0" w:color="000000"/>
            </w:tcBorders>
            <w:shd w:val="clear" w:color="auto" w:fill="auto"/>
            <w:noWrap/>
            <w:vAlign w:val="bottom"/>
            <w:hideMark/>
          </w:tcPr>
          <w:p w14:paraId="454850E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91.95</w:t>
            </w:r>
          </w:p>
        </w:tc>
        <w:tc>
          <w:tcPr>
            <w:tcW w:w="1418" w:type="dxa"/>
            <w:tcBorders>
              <w:top w:val="nil"/>
              <w:left w:val="nil"/>
              <w:bottom w:val="single" w:sz="4" w:space="0" w:color="000000"/>
              <w:right w:val="single" w:sz="4" w:space="0" w:color="000000"/>
            </w:tcBorders>
            <w:shd w:val="clear" w:color="auto" w:fill="auto"/>
            <w:noWrap/>
            <w:vAlign w:val="bottom"/>
            <w:hideMark/>
          </w:tcPr>
          <w:p w14:paraId="0254222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88.35</w:t>
            </w:r>
          </w:p>
        </w:tc>
      </w:tr>
      <w:tr w:rsidR="00A0308E" w:rsidRPr="003B10E2" w14:paraId="36CC06D0"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9327A7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Bailian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090B67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3 548.11</w:t>
            </w:r>
          </w:p>
        </w:tc>
        <w:tc>
          <w:tcPr>
            <w:tcW w:w="957" w:type="dxa"/>
            <w:tcBorders>
              <w:top w:val="nil"/>
              <w:left w:val="nil"/>
              <w:bottom w:val="single" w:sz="4" w:space="0" w:color="000000"/>
              <w:right w:val="single" w:sz="4" w:space="0" w:color="000000"/>
            </w:tcBorders>
            <w:shd w:val="clear" w:color="auto" w:fill="auto"/>
            <w:noWrap/>
            <w:vAlign w:val="bottom"/>
            <w:hideMark/>
          </w:tcPr>
          <w:p w14:paraId="7AB3E20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14.21</w:t>
            </w:r>
          </w:p>
        </w:tc>
        <w:tc>
          <w:tcPr>
            <w:tcW w:w="1418" w:type="dxa"/>
            <w:tcBorders>
              <w:top w:val="nil"/>
              <w:left w:val="nil"/>
              <w:bottom w:val="single" w:sz="4" w:space="0" w:color="000000"/>
              <w:right w:val="single" w:sz="4" w:space="0" w:color="000000"/>
            </w:tcBorders>
            <w:shd w:val="clear" w:color="auto" w:fill="auto"/>
            <w:noWrap/>
            <w:vAlign w:val="bottom"/>
            <w:hideMark/>
          </w:tcPr>
          <w:p w14:paraId="61F2B30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128.88</w:t>
            </w:r>
          </w:p>
        </w:tc>
      </w:tr>
      <w:tr w:rsidR="00A0308E" w:rsidRPr="003B10E2" w14:paraId="14875553"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C2E348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Bailian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3A1E62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1507281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0.70</w:t>
            </w:r>
          </w:p>
        </w:tc>
        <w:tc>
          <w:tcPr>
            <w:tcW w:w="1418" w:type="dxa"/>
            <w:tcBorders>
              <w:top w:val="nil"/>
              <w:left w:val="nil"/>
              <w:bottom w:val="single" w:sz="4" w:space="0" w:color="000000"/>
              <w:right w:val="single" w:sz="4" w:space="0" w:color="000000"/>
            </w:tcBorders>
            <w:shd w:val="clear" w:color="auto" w:fill="auto"/>
            <w:noWrap/>
            <w:vAlign w:val="bottom"/>
            <w:hideMark/>
          </w:tcPr>
          <w:p w14:paraId="4E9A67A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0.15</w:t>
            </w:r>
          </w:p>
        </w:tc>
      </w:tr>
      <w:tr w:rsidR="00A0308E" w:rsidRPr="003B10E2" w14:paraId="1AC09141" w14:textId="77777777" w:rsidTr="00A0308E">
        <w:trPr>
          <w:trHeight w:val="300"/>
        </w:trPr>
        <w:tc>
          <w:tcPr>
            <w:tcW w:w="4815" w:type="dxa"/>
            <w:tcBorders>
              <w:top w:val="nil"/>
              <w:left w:val="single" w:sz="4" w:space="0" w:color="000000"/>
              <w:bottom w:val="single" w:sz="4" w:space="0" w:color="auto"/>
              <w:right w:val="single" w:sz="4" w:space="0" w:color="000000"/>
            </w:tcBorders>
            <w:shd w:val="clear" w:color="auto" w:fill="auto"/>
            <w:noWrap/>
            <w:vAlign w:val="bottom"/>
            <w:hideMark/>
          </w:tcPr>
          <w:p w14:paraId="26E11AF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Baolong Automotive,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auto"/>
              <w:right w:val="single" w:sz="4" w:space="0" w:color="000000"/>
            </w:tcBorders>
            <w:shd w:val="clear" w:color="auto" w:fill="auto"/>
            <w:noWrap/>
            <w:vAlign w:val="bottom"/>
            <w:hideMark/>
          </w:tcPr>
          <w:p w14:paraId="24D3FF9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1 491.91</w:t>
            </w:r>
          </w:p>
        </w:tc>
        <w:tc>
          <w:tcPr>
            <w:tcW w:w="957" w:type="dxa"/>
            <w:tcBorders>
              <w:top w:val="nil"/>
              <w:left w:val="nil"/>
              <w:bottom w:val="single" w:sz="4" w:space="0" w:color="auto"/>
              <w:right w:val="single" w:sz="4" w:space="0" w:color="000000"/>
            </w:tcBorders>
            <w:shd w:val="clear" w:color="auto" w:fill="auto"/>
            <w:noWrap/>
            <w:vAlign w:val="bottom"/>
            <w:hideMark/>
          </w:tcPr>
          <w:p w14:paraId="74024FB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51.30</w:t>
            </w:r>
          </w:p>
        </w:tc>
        <w:tc>
          <w:tcPr>
            <w:tcW w:w="1418" w:type="dxa"/>
            <w:tcBorders>
              <w:top w:val="nil"/>
              <w:left w:val="nil"/>
              <w:bottom w:val="single" w:sz="4" w:space="0" w:color="auto"/>
              <w:right w:val="single" w:sz="4" w:space="0" w:color="000000"/>
            </w:tcBorders>
            <w:shd w:val="clear" w:color="auto" w:fill="auto"/>
            <w:noWrap/>
            <w:vAlign w:val="bottom"/>
            <w:hideMark/>
          </w:tcPr>
          <w:p w14:paraId="17B8772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253.33</w:t>
            </w:r>
          </w:p>
        </w:tc>
      </w:tr>
      <w:tr w:rsidR="00A0308E" w:rsidRPr="003B10E2" w14:paraId="1810BAD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11BE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Baosight Software,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8CDC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9 626.52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B291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4B42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299.47</w:t>
            </w:r>
          </w:p>
        </w:tc>
      </w:tr>
      <w:tr w:rsidR="00A0308E" w:rsidRPr="003B10E2" w14:paraId="1A94C71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CFFE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Baosight Software,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14DE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677B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BE81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1.48</w:t>
            </w:r>
          </w:p>
        </w:tc>
      </w:tr>
      <w:tr w:rsidR="00A0308E" w:rsidRPr="003B10E2" w14:paraId="28FB601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7021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Baosteel Packaging,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9124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1 098.87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F6F1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650E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21.68</w:t>
            </w:r>
          </w:p>
        </w:tc>
      </w:tr>
      <w:tr w:rsidR="00A0308E" w:rsidRPr="003B10E2" w14:paraId="4A16A28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199C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Beite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5888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368.49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3EBC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8FC5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230.59</w:t>
            </w:r>
          </w:p>
        </w:tc>
      </w:tr>
      <w:tr w:rsidR="00A0308E" w:rsidRPr="003B10E2" w14:paraId="57889FE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4E81B"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Shanghai Belling,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94B5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1 800.62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B57C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18.05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2BF1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290.05</w:t>
            </w:r>
          </w:p>
        </w:tc>
      </w:tr>
      <w:tr w:rsidR="00A0308E" w:rsidRPr="003B10E2" w14:paraId="3C07821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6A572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Bolex Foods Technology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D3F0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8495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21.52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3296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23.22</w:t>
            </w:r>
          </w:p>
        </w:tc>
      </w:tr>
      <w:tr w:rsidR="00A0308E" w:rsidRPr="003B10E2" w14:paraId="4672606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5D4E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Bright Power Semiconductor,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5EFD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1 147.54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E2AD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132.19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5DAAE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241.48</w:t>
            </w:r>
          </w:p>
        </w:tc>
      </w:tr>
      <w:tr w:rsidR="00A0308E" w:rsidRPr="003B10E2" w14:paraId="6980C15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9D66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Broadband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38FC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172.59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F950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49E7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4.80</w:t>
            </w:r>
          </w:p>
        </w:tc>
      </w:tr>
      <w:tr w:rsidR="00A0308E" w:rsidRPr="003B10E2" w14:paraId="2AFF889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59BE5"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Shanghai Carthane,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BA54A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260.88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DF71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17.77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DDDB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29.41</w:t>
            </w:r>
          </w:p>
        </w:tc>
      </w:tr>
      <w:tr w:rsidR="00A0308E" w:rsidRPr="003B10E2" w14:paraId="20FC565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75A1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CEO Environmental Protection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8641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246.73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4E5F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24.31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56976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8.91</w:t>
            </w:r>
          </w:p>
        </w:tc>
      </w:tr>
      <w:tr w:rsidR="00A0308E" w:rsidRPr="003B10E2" w14:paraId="03229EE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9195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Chengdi Construction,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E720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555.08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8A4D3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01CE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406.31</w:t>
            </w:r>
          </w:p>
        </w:tc>
      </w:tr>
      <w:tr w:rsidR="00A0308E" w:rsidRPr="003B10E2" w14:paraId="410C298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769A5"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Shanghai Chinafortune,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CDBB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1 593.09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53D1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10.73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4834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30.36</w:t>
            </w:r>
          </w:p>
        </w:tc>
      </w:tr>
      <w:tr w:rsidR="00A0308E" w:rsidRPr="003B10E2" w14:paraId="643AE6A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1325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Chlor-Alkali Chemical,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55D2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1 448.43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4167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F610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14.48</w:t>
            </w:r>
          </w:p>
        </w:tc>
      </w:tr>
      <w:tr w:rsidR="00A0308E" w:rsidRPr="003B10E2" w14:paraId="48C3C4EA"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F274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Chlor-Alkali Chemical,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19DE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2ECE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0.54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98035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0.09</w:t>
            </w:r>
          </w:p>
        </w:tc>
      </w:tr>
      <w:tr w:rsidR="00A0308E" w:rsidRPr="003B10E2" w14:paraId="44F5F06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662F5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Chuangli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2A00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527.39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2FA3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54A7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60.03</w:t>
            </w:r>
          </w:p>
        </w:tc>
      </w:tr>
      <w:tr w:rsidR="00A0308E" w:rsidRPr="003B10E2" w14:paraId="1BF5234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5467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Conglin Environmental Protection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3DE86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A6E3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36.78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3454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3.99</w:t>
            </w:r>
          </w:p>
        </w:tc>
      </w:tr>
      <w:tr w:rsidR="00A0308E" w:rsidRPr="003B10E2" w14:paraId="716122C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6880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Construction Group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C267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3 389.54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D75F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3FF9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137.17</w:t>
            </w:r>
          </w:p>
        </w:tc>
      </w:tr>
      <w:tr w:rsidR="00A0308E" w:rsidRPr="003B10E2" w14:paraId="3A096EE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07E8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Daimay Automotive Interior,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837F4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1 559.23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6860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15.38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0C66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316.85</w:t>
            </w:r>
          </w:p>
        </w:tc>
      </w:tr>
      <w:tr w:rsidR="00A0308E" w:rsidRPr="003B10E2" w14:paraId="33023BB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FB6E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Datun Energy Resources,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9B8B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1 461.52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FAEF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881A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55.86</w:t>
            </w:r>
          </w:p>
        </w:tc>
      </w:tr>
      <w:tr w:rsidR="00A0308E" w:rsidRPr="003B10E2" w14:paraId="04D69E4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BA55E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Dazhong Public Utilities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DE75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1 106.91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FE00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2189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42.05</w:t>
            </w:r>
          </w:p>
        </w:tc>
      </w:tr>
      <w:tr w:rsidR="00A0308E" w:rsidRPr="003B10E2" w14:paraId="697EE97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36EA0"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Shanghai Dragon,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7BFA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341.89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F2C3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165E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92.53</w:t>
            </w:r>
          </w:p>
        </w:tc>
      </w:tr>
      <w:tr w:rsidR="00A0308E" w:rsidRPr="003B10E2" w14:paraId="665450A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E796E"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Shanghai DZH,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5419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2 126.01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1DC0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3C04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299.03</w:t>
            </w:r>
          </w:p>
        </w:tc>
      </w:tr>
      <w:tr w:rsidR="00A0308E" w:rsidRPr="003B10E2" w14:paraId="52341DF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760A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East-China Computer,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49B4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1 511.35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6934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C7DD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150.37</w:t>
            </w:r>
          </w:p>
        </w:tc>
      </w:tr>
      <w:tr w:rsidR="00A0308E" w:rsidRPr="003B10E2" w14:paraId="0CFD33A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E281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Electric Group Company,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046C9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8 040.75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5E6B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0035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99.81</w:t>
            </w:r>
          </w:p>
        </w:tc>
      </w:tr>
      <w:tr w:rsidR="00A0308E" w:rsidRPr="003B10E2" w14:paraId="47447F4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3666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Electric 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B99D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3 941.04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F9979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10.76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91E1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419.90</w:t>
            </w:r>
          </w:p>
        </w:tc>
      </w:tr>
      <w:tr w:rsidR="00A0308E" w:rsidRPr="003B10E2" w14:paraId="3F62140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D454C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Electric Wind 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481A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1 082.27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DA73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5163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22.41</w:t>
            </w:r>
          </w:p>
        </w:tc>
      </w:tr>
      <w:tr w:rsidR="00A0308E" w:rsidRPr="003B10E2" w14:paraId="76F6F20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6EE2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Emperor of Cleaning Hi-Tech,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0AAB4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339.48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89DB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19.36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A7BC7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35.60</w:t>
            </w:r>
          </w:p>
        </w:tc>
      </w:tr>
      <w:tr w:rsidR="00A0308E" w:rsidRPr="003B10E2" w14:paraId="752F129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008F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Environment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544FC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1 472.68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58F1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9.38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F1A4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49.37</w:t>
            </w:r>
          </w:p>
        </w:tc>
      </w:tr>
      <w:tr w:rsidR="00A0308E" w:rsidRPr="003B10E2" w14:paraId="467287B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9290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Feilo Acoustics,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8139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1 484.11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5439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F559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113.68</w:t>
            </w:r>
          </w:p>
        </w:tc>
      </w:tr>
      <w:tr w:rsidR="00A0308E" w:rsidRPr="003B10E2" w14:paraId="4069327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D9B3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Fenghwa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7C8F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229.71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4C87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ACA2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8.38</w:t>
            </w:r>
          </w:p>
        </w:tc>
      </w:tr>
      <w:tr w:rsidR="00A0308E" w:rsidRPr="003B10E2" w14:paraId="3F3F467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227A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Fengyuzhu Exhibition,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8B18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937.18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402D5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15.87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72DA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256.60</w:t>
            </w:r>
          </w:p>
        </w:tc>
      </w:tr>
      <w:tr w:rsidR="00A0308E" w:rsidRPr="003B10E2" w14:paraId="3B23B4F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F4B86"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Shanghai Film,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13D0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2 175.30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F1E5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34.68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CDA6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681.40</w:t>
            </w:r>
          </w:p>
        </w:tc>
      </w:tr>
      <w:tr w:rsidR="00A0308E" w:rsidRPr="003B10E2" w14:paraId="782AC71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1C11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Flyco Electrical Appliance,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88D8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4 150.26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9700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68.08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B47B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44.67</w:t>
            </w:r>
          </w:p>
        </w:tc>
      </w:tr>
      <w:tr w:rsidR="00A0308E" w:rsidRPr="003B10E2" w14:paraId="151E85D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3A8A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Fosun Pharmaceutical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8C6B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8 468.23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B092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30.09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A23D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230.92</w:t>
            </w:r>
          </w:p>
        </w:tc>
      </w:tr>
      <w:tr w:rsidR="00A0308E" w:rsidRPr="003B10E2" w14:paraId="47059FB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1578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Friendess Electronic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88C33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2 703.04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7077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192.50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79B8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78.96</w:t>
            </w:r>
          </w:p>
        </w:tc>
      </w:tr>
      <w:tr w:rsidR="00A0308E" w:rsidRPr="003B10E2" w14:paraId="2F742C2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D395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Fudan Forward S &amp; 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DED9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597.94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F8C2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214C2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47.69</w:t>
            </w:r>
          </w:p>
        </w:tc>
      </w:tr>
      <w:tr w:rsidR="00A0308E" w:rsidRPr="003B10E2" w14:paraId="7CA9BCC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F54F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Fudan-Zhangjiang Bio-Pharmaceutical,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ACB4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834.29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4B32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931D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25.38</w:t>
            </w:r>
          </w:p>
        </w:tc>
      </w:tr>
      <w:tr w:rsidR="00A0308E" w:rsidRPr="003B10E2" w14:paraId="1146861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BF690"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Shanghai GenTech,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EA4E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1 513.05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8899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42.15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03E3C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305.82</w:t>
            </w:r>
          </w:p>
        </w:tc>
      </w:tr>
      <w:tr w:rsidR="00A0308E" w:rsidRPr="003B10E2" w14:paraId="77E2B2E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3D62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Geoharbour Construction,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CA62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1 143.24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E571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47.29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F101E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77.12</w:t>
            </w:r>
          </w:p>
        </w:tc>
      </w:tr>
      <w:tr w:rsidR="00A0308E" w:rsidRPr="003B10E2" w14:paraId="7E7FE34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5A29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Golden Bridge InfoTech,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BDCC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1 823.08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1177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35.52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EA01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2 631.59</w:t>
            </w:r>
          </w:p>
        </w:tc>
      </w:tr>
      <w:tr w:rsidR="00A0308E" w:rsidRPr="003B10E2" w14:paraId="572DA96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FD81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Golden Union Commercial Management,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2B3F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355.76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EE5F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A244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7.96</w:t>
            </w:r>
          </w:p>
        </w:tc>
      </w:tr>
      <w:tr w:rsidR="00A0308E" w:rsidRPr="003B10E2" w14:paraId="6B1FFF2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C9B64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Guangdian Electric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3BAE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451.72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637B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339D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39.80</w:t>
            </w:r>
          </w:p>
        </w:tc>
      </w:tr>
      <w:tr w:rsidR="00A0308E" w:rsidRPr="003B10E2" w14:paraId="49473A7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8D08A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Haixin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3095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1 005.11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A8B1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824C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14.12</w:t>
            </w:r>
          </w:p>
        </w:tc>
      </w:tr>
      <w:tr w:rsidR="00A0308E" w:rsidRPr="003B10E2" w14:paraId="165B8B6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A90B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Haixin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F94A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5A28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0.27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8FE2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0.14</w:t>
            </w:r>
          </w:p>
        </w:tc>
      </w:tr>
      <w:tr w:rsidR="00A0308E" w:rsidRPr="003B10E2" w14:paraId="3ACFFBB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FF580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Haohai Biological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05F6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1 612.60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7E27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83.62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8653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32.53</w:t>
            </w:r>
          </w:p>
        </w:tc>
      </w:tr>
      <w:tr w:rsidR="00A0308E" w:rsidRPr="003B10E2" w14:paraId="3F2A8D0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7BA2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Highly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D1F8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972.80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9EF16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9EFBB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44.85</w:t>
            </w:r>
          </w:p>
        </w:tc>
      </w:tr>
      <w:tr w:rsidR="00A0308E" w:rsidRPr="003B10E2" w14:paraId="1C2997F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1AD5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Highly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4EF3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2961A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0.39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318C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0.11</w:t>
            </w:r>
          </w:p>
        </w:tc>
      </w:tr>
      <w:tr w:rsidR="00A0308E" w:rsidRPr="003B10E2" w14:paraId="2B6D977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73E9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Hile Bio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8DD4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844.49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CDB8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9.37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DF35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19.00</w:t>
            </w:r>
          </w:p>
        </w:tc>
      </w:tr>
      <w:tr w:rsidR="00A0308E" w:rsidRPr="003B10E2" w14:paraId="128BEC2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88D1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Hiuv New Materials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28A10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1 233.46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6CAA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104.90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88860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128.21</w:t>
            </w:r>
          </w:p>
        </w:tc>
      </w:tr>
      <w:tr w:rsidR="00A0308E" w:rsidRPr="003B10E2" w14:paraId="11F2628F"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F73E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Hollywave Electronic System,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F2A2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436.25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213C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EB1A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19.09</w:t>
            </w:r>
          </w:p>
        </w:tc>
      </w:tr>
      <w:tr w:rsidR="00A0308E" w:rsidRPr="003B10E2" w14:paraId="7F28981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BCA5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Hongda Mining,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E1C8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44.78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97EB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0.62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E651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7.32</w:t>
            </w:r>
          </w:p>
        </w:tc>
      </w:tr>
      <w:tr w:rsidR="00A0308E" w:rsidRPr="003B10E2" w14:paraId="7AA8D3C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0874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Huafon Aluminium,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344B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1 868.36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DF7BE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13.37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1A7A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161.21</w:t>
            </w:r>
          </w:p>
        </w:tc>
      </w:tr>
      <w:tr w:rsidR="00A0308E" w:rsidRPr="003B10E2" w14:paraId="56415E2B"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1890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Huayi Group Corporation,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1D43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1 879.24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613B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E80D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26.01</w:t>
            </w:r>
          </w:p>
        </w:tc>
      </w:tr>
      <w:tr w:rsidR="00A0308E" w:rsidRPr="003B10E2" w14:paraId="17B611A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67BF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Huayi Group Corporation,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DFB6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3A93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F7F5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0.07</w:t>
            </w:r>
          </w:p>
        </w:tc>
      </w:tr>
      <w:tr w:rsidR="00A0308E" w:rsidRPr="003B10E2" w14:paraId="1B43784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F87F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Hugong Electric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0AC5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518.44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108C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11.65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AC5C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19.50</w:t>
            </w:r>
          </w:p>
        </w:tc>
      </w:tr>
      <w:tr w:rsidR="00A0308E" w:rsidRPr="003B10E2" w14:paraId="6DCEC5F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A331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Huide Science &amp;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666B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286.17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EB21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19.17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D3577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6.60</w:t>
            </w:r>
          </w:p>
        </w:tc>
      </w:tr>
      <w:tr w:rsidR="00A0308E" w:rsidRPr="003B10E2" w14:paraId="15F24BD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DAA3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Huili Building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7C1D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79.32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4485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0.44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83FB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0.01</w:t>
            </w:r>
          </w:p>
        </w:tc>
      </w:tr>
      <w:tr w:rsidR="00A0308E" w:rsidRPr="003B10E2" w14:paraId="2466B23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36B1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Huitong Energy Resources,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F325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517.91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BBC5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17.94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4B23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107.11</w:t>
            </w:r>
          </w:p>
        </w:tc>
      </w:tr>
      <w:tr w:rsidR="00A0308E" w:rsidRPr="003B10E2" w14:paraId="20B9DFA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EC82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Industrial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195E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1 102.27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3F891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A311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101.09</w:t>
            </w:r>
          </w:p>
        </w:tc>
      </w:tr>
      <w:tr w:rsidR="00A0308E" w:rsidRPr="003B10E2" w14:paraId="7359482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5C82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Information2 Software,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C931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42DD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105.95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FE32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110.82</w:t>
            </w:r>
          </w:p>
        </w:tc>
      </w:tr>
      <w:tr w:rsidR="00A0308E" w:rsidRPr="003B10E2" w14:paraId="0BD361D5"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1A78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International Airport,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3E7A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12 623.46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A480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46.81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94ED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342.35</w:t>
            </w:r>
          </w:p>
        </w:tc>
      </w:tr>
      <w:tr w:rsidR="00A0308E" w:rsidRPr="003B10E2" w14:paraId="1829852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CF14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International Port,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14D3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17 527.02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D278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338D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59.63</w:t>
            </w:r>
          </w:p>
        </w:tc>
      </w:tr>
      <w:tr w:rsidR="00A0308E" w:rsidRPr="003B10E2" w14:paraId="69A483C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6D1D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Jahwa United,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BD07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2 734.52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905A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28.75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B8A4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58.37</w:t>
            </w:r>
          </w:p>
        </w:tc>
      </w:tr>
      <w:tr w:rsidR="00A0308E" w:rsidRPr="003B10E2" w14:paraId="7D817CC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F8BA1"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Shanghai Jiao Yun,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7C9DB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675.06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C5E5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BDAB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351.15</w:t>
            </w:r>
          </w:p>
        </w:tc>
      </w:tr>
      <w:tr w:rsidR="00A0308E" w:rsidRPr="003B10E2" w14:paraId="1316B3D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D05C1"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Shanghai Jiaoda Onlly,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2BC1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271.81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7A03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B401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0.00</w:t>
            </w:r>
          </w:p>
        </w:tc>
      </w:tr>
      <w:tr w:rsidR="00A0308E" w:rsidRPr="003B10E2" w14:paraId="2400E70D"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DC76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Jielong Industry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8714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502.43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F3C2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32E82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30.02</w:t>
            </w:r>
          </w:p>
        </w:tc>
      </w:tr>
      <w:tr w:rsidR="00A0308E" w:rsidRPr="003B10E2" w14:paraId="4C28C18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CB11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Jin Jiang Capital Company,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3AC1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E6A5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25FF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0.34</w:t>
            </w:r>
          </w:p>
        </w:tc>
      </w:tr>
      <w:tr w:rsidR="00A0308E" w:rsidRPr="003B10E2" w14:paraId="2FCAC52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52B5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Jin Jiang International Hotels Development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AD680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7 099.68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C94D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47.41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6836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210.72</w:t>
            </w:r>
          </w:p>
        </w:tc>
      </w:tr>
      <w:tr w:rsidR="00A0308E" w:rsidRPr="003B10E2" w14:paraId="0F7FA59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B3E3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Jin Jiang International Industrial Investment,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8FA3C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761.16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A8ED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9.86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6928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23.29</w:t>
            </w:r>
          </w:p>
        </w:tc>
      </w:tr>
      <w:tr w:rsidR="00A0308E" w:rsidRPr="003B10E2" w14:paraId="4E8962B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FC72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Jin Jiang International Industrial Investment,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7F95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52DB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0.58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868C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0.07</w:t>
            </w:r>
          </w:p>
        </w:tc>
      </w:tr>
      <w:tr w:rsidR="00A0308E" w:rsidRPr="003B10E2" w14:paraId="4FF49696" w14:textId="77777777" w:rsidTr="00A0308E">
        <w:trPr>
          <w:trHeight w:val="300"/>
        </w:trPr>
        <w:tc>
          <w:tcPr>
            <w:tcW w:w="481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79C724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Jinfeng Wine,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nil"/>
              <w:bottom w:val="single" w:sz="4" w:space="0" w:color="000000"/>
              <w:right w:val="single" w:sz="4" w:space="0" w:color="000000"/>
            </w:tcBorders>
            <w:shd w:val="clear" w:color="auto" w:fill="auto"/>
            <w:noWrap/>
            <w:vAlign w:val="bottom"/>
            <w:hideMark/>
          </w:tcPr>
          <w:p w14:paraId="17D7D97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689.09</w:t>
            </w:r>
          </w:p>
        </w:tc>
        <w:tc>
          <w:tcPr>
            <w:tcW w:w="957" w:type="dxa"/>
            <w:tcBorders>
              <w:top w:val="single" w:sz="4" w:space="0" w:color="auto"/>
              <w:left w:val="nil"/>
              <w:bottom w:val="single" w:sz="4" w:space="0" w:color="000000"/>
              <w:right w:val="single" w:sz="4" w:space="0" w:color="000000"/>
            </w:tcBorders>
            <w:shd w:val="clear" w:color="auto" w:fill="auto"/>
            <w:noWrap/>
            <w:vAlign w:val="bottom"/>
            <w:hideMark/>
          </w:tcPr>
          <w:p w14:paraId="4EBD95D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7.36</w:t>
            </w:r>
          </w:p>
        </w:tc>
        <w:tc>
          <w:tcPr>
            <w:tcW w:w="1418" w:type="dxa"/>
            <w:tcBorders>
              <w:top w:val="single" w:sz="4" w:space="0" w:color="auto"/>
              <w:left w:val="nil"/>
              <w:bottom w:val="single" w:sz="4" w:space="0" w:color="000000"/>
              <w:right w:val="single" w:sz="4" w:space="0" w:color="000000"/>
            </w:tcBorders>
            <w:shd w:val="clear" w:color="auto" w:fill="auto"/>
            <w:noWrap/>
            <w:vAlign w:val="bottom"/>
            <w:hideMark/>
          </w:tcPr>
          <w:p w14:paraId="5A2B735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73.17</w:t>
            </w:r>
          </w:p>
        </w:tc>
      </w:tr>
      <w:tr w:rsidR="00A0308E" w:rsidRPr="003B10E2" w14:paraId="69AD1648"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541EB5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Jinjiang International Travel,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CEEED5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187.57</w:t>
            </w:r>
          </w:p>
        </w:tc>
        <w:tc>
          <w:tcPr>
            <w:tcW w:w="957" w:type="dxa"/>
            <w:tcBorders>
              <w:top w:val="nil"/>
              <w:left w:val="nil"/>
              <w:bottom w:val="single" w:sz="4" w:space="0" w:color="000000"/>
              <w:right w:val="single" w:sz="4" w:space="0" w:color="000000"/>
            </w:tcBorders>
            <w:shd w:val="clear" w:color="auto" w:fill="auto"/>
            <w:noWrap/>
            <w:vAlign w:val="bottom"/>
            <w:hideMark/>
          </w:tcPr>
          <w:p w14:paraId="75149A1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1.42</w:t>
            </w:r>
          </w:p>
        </w:tc>
        <w:tc>
          <w:tcPr>
            <w:tcW w:w="1418" w:type="dxa"/>
            <w:tcBorders>
              <w:top w:val="nil"/>
              <w:left w:val="nil"/>
              <w:bottom w:val="single" w:sz="4" w:space="0" w:color="000000"/>
              <w:right w:val="single" w:sz="4" w:space="0" w:color="000000"/>
            </w:tcBorders>
            <w:shd w:val="clear" w:color="auto" w:fill="auto"/>
            <w:noWrap/>
            <w:vAlign w:val="bottom"/>
            <w:hideMark/>
          </w:tcPr>
          <w:p w14:paraId="3268630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0.05</w:t>
            </w:r>
          </w:p>
        </w:tc>
      </w:tr>
      <w:tr w:rsidR="00A0308E" w:rsidRPr="003B10E2" w14:paraId="46CB4A07"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03CAE3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Jinqiao Export Processing Zone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2F4103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2 012.19</w:t>
            </w:r>
          </w:p>
        </w:tc>
        <w:tc>
          <w:tcPr>
            <w:tcW w:w="957" w:type="dxa"/>
            <w:tcBorders>
              <w:top w:val="nil"/>
              <w:left w:val="nil"/>
              <w:bottom w:val="single" w:sz="4" w:space="0" w:color="000000"/>
              <w:right w:val="single" w:sz="4" w:space="0" w:color="000000"/>
            </w:tcBorders>
            <w:shd w:val="clear" w:color="auto" w:fill="auto"/>
            <w:noWrap/>
            <w:vAlign w:val="bottom"/>
            <w:hideMark/>
          </w:tcPr>
          <w:p w14:paraId="081F6D4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12.81</w:t>
            </w:r>
          </w:p>
        </w:tc>
        <w:tc>
          <w:tcPr>
            <w:tcW w:w="1418" w:type="dxa"/>
            <w:tcBorders>
              <w:top w:val="nil"/>
              <w:left w:val="nil"/>
              <w:bottom w:val="single" w:sz="4" w:space="0" w:color="000000"/>
              <w:right w:val="single" w:sz="4" w:space="0" w:color="000000"/>
            </w:tcBorders>
            <w:shd w:val="clear" w:color="auto" w:fill="auto"/>
            <w:noWrap/>
            <w:vAlign w:val="bottom"/>
            <w:hideMark/>
          </w:tcPr>
          <w:p w14:paraId="38AFAEA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116.91</w:t>
            </w:r>
          </w:p>
        </w:tc>
      </w:tr>
      <w:tr w:rsidR="00A0308E" w:rsidRPr="003B10E2" w14:paraId="4D1107AE"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FE3CBD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Jinqiao Export Processing Zone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10F635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266242C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1.00</w:t>
            </w:r>
          </w:p>
        </w:tc>
        <w:tc>
          <w:tcPr>
            <w:tcW w:w="1418" w:type="dxa"/>
            <w:tcBorders>
              <w:top w:val="nil"/>
              <w:left w:val="nil"/>
              <w:bottom w:val="single" w:sz="4" w:space="0" w:color="000000"/>
              <w:right w:val="single" w:sz="4" w:space="0" w:color="000000"/>
            </w:tcBorders>
            <w:shd w:val="clear" w:color="auto" w:fill="auto"/>
            <w:noWrap/>
            <w:vAlign w:val="bottom"/>
            <w:hideMark/>
          </w:tcPr>
          <w:p w14:paraId="22A91ED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0.14</w:t>
            </w:r>
          </w:p>
        </w:tc>
      </w:tr>
      <w:tr w:rsidR="00A0308E" w:rsidRPr="003B10E2" w14:paraId="08861A67"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160756E"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Shanghai Join Buy,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0C85C0E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385.99</w:t>
            </w:r>
          </w:p>
        </w:tc>
        <w:tc>
          <w:tcPr>
            <w:tcW w:w="957" w:type="dxa"/>
            <w:tcBorders>
              <w:top w:val="nil"/>
              <w:left w:val="nil"/>
              <w:bottom w:val="single" w:sz="4" w:space="0" w:color="000000"/>
              <w:right w:val="single" w:sz="4" w:space="0" w:color="000000"/>
            </w:tcBorders>
            <w:shd w:val="clear" w:color="auto" w:fill="auto"/>
            <w:noWrap/>
            <w:vAlign w:val="bottom"/>
            <w:hideMark/>
          </w:tcPr>
          <w:p w14:paraId="0246EDE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6.88</w:t>
            </w:r>
          </w:p>
        </w:tc>
        <w:tc>
          <w:tcPr>
            <w:tcW w:w="1418" w:type="dxa"/>
            <w:tcBorders>
              <w:top w:val="nil"/>
              <w:left w:val="nil"/>
              <w:bottom w:val="single" w:sz="4" w:space="0" w:color="000000"/>
              <w:right w:val="single" w:sz="4" w:space="0" w:color="000000"/>
            </w:tcBorders>
            <w:shd w:val="clear" w:color="auto" w:fill="auto"/>
            <w:noWrap/>
            <w:vAlign w:val="bottom"/>
            <w:hideMark/>
          </w:tcPr>
          <w:p w14:paraId="7621C4C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91.55</w:t>
            </w:r>
          </w:p>
        </w:tc>
      </w:tr>
      <w:tr w:rsidR="00A0308E" w:rsidRPr="003B10E2" w14:paraId="6B45D408"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BAF966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Junshi Biosciences,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A29644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3 957.84</w:t>
            </w:r>
          </w:p>
        </w:tc>
        <w:tc>
          <w:tcPr>
            <w:tcW w:w="957" w:type="dxa"/>
            <w:tcBorders>
              <w:top w:val="nil"/>
              <w:left w:val="nil"/>
              <w:bottom w:val="single" w:sz="4" w:space="0" w:color="000000"/>
              <w:right w:val="single" w:sz="4" w:space="0" w:color="000000"/>
            </w:tcBorders>
            <w:shd w:val="clear" w:color="auto" w:fill="auto"/>
            <w:noWrap/>
            <w:vAlign w:val="bottom"/>
            <w:hideMark/>
          </w:tcPr>
          <w:p w14:paraId="60F8CB7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40.90</w:t>
            </w:r>
          </w:p>
        </w:tc>
        <w:tc>
          <w:tcPr>
            <w:tcW w:w="1418" w:type="dxa"/>
            <w:tcBorders>
              <w:top w:val="nil"/>
              <w:left w:val="nil"/>
              <w:bottom w:val="single" w:sz="4" w:space="0" w:color="000000"/>
              <w:right w:val="single" w:sz="4" w:space="0" w:color="000000"/>
            </w:tcBorders>
            <w:shd w:val="clear" w:color="auto" w:fill="auto"/>
            <w:noWrap/>
            <w:vAlign w:val="bottom"/>
            <w:hideMark/>
          </w:tcPr>
          <w:p w14:paraId="43A3502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128.21</w:t>
            </w:r>
          </w:p>
        </w:tc>
      </w:tr>
      <w:tr w:rsidR="00A0308E" w:rsidRPr="003B10E2" w14:paraId="43E6E42B"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0E4332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Kai Kai Industrial,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D8AA5D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304.71</w:t>
            </w:r>
          </w:p>
        </w:tc>
        <w:tc>
          <w:tcPr>
            <w:tcW w:w="957" w:type="dxa"/>
            <w:tcBorders>
              <w:top w:val="nil"/>
              <w:left w:val="nil"/>
              <w:bottom w:val="single" w:sz="4" w:space="0" w:color="000000"/>
              <w:right w:val="single" w:sz="4" w:space="0" w:color="000000"/>
            </w:tcBorders>
            <w:shd w:val="clear" w:color="auto" w:fill="auto"/>
            <w:noWrap/>
            <w:vAlign w:val="bottom"/>
            <w:hideMark/>
          </w:tcPr>
          <w:p w14:paraId="4B09517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8.96</w:t>
            </w:r>
          </w:p>
        </w:tc>
        <w:tc>
          <w:tcPr>
            <w:tcW w:w="1418" w:type="dxa"/>
            <w:tcBorders>
              <w:top w:val="nil"/>
              <w:left w:val="nil"/>
              <w:bottom w:val="single" w:sz="4" w:space="0" w:color="000000"/>
              <w:right w:val="single" w:sz="4" w:space="0" w:color="000000"/>
            </w:tcBorders>
            <w:shd w:val="clear" w:color="auto" w:fill="auto"/>
            <w:noWrap/>
            <w:vAlign w:val="bottom"/>
            <w:hideMark/>
          </w:tcPr>
          <w:p w14:paraId="3F87482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14.48</w:t>
            </w:r>
          </w:p>
        </w:tc>
      </w:tr>
      <w:tr w:rsidR="00A0308E" w:rsidRPr="003B10E2" w14:paraId="47D6C0D3"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BCC18B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Kai Kai Industrial,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FDD0F2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4E9C245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0.51</w:t>
            </w:r>
          </w:p>
        </w:tc>
        <w:tc>
          <w:tcPr>
            <w:tcW w:w="1418" w:type="dxa"/>
            <w:tcBorders>
              <w:top w:val="nil"/>
              <w:left w:val="nil"/>
              <w:bottom w:val="single" w:sz="4" w:space="0" w:color="000000"/>
              <w:right w:val="single" w:sz="4" w:space="0" w:color="000000"/>
            </w:tcBorders>
            <w:shd w:val="clear" w:color="auto" w:fill="auto"/>
            <w:noWrap/>
            <w:vAlign w:val="bottom"/>
            <w:hideMark/>
          </w:tcPr>
          <w:p w14:paraId="572BD6A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0.07</w:t>
            </w:r>
          </w:p>
        </w:tc>
      </w:tr>
      <w:tr w:rsidR="00A0308E" w:rsidRPr="003B10E2" w14:paraId="40C3DE82"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4B037A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Kaichuang Marine International,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7546CD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330.11</w:t>
            </w:r>
          </w:p>
        </w:tc>
        <w:tc>
          <w:tcPr>
            <w:tcW w:w="957" w:type="dxa"/>
            <w:tcBorders>
              <w:top w:val="nil"/>
              <w:left w:val="nil"/>
              <w:bottom w:val="single" w:sz="4" w:space="0" w:color="000000"/>
              <w:right w:val="single" w:sz="4" w:space="0" w:color="000000"/>
            </w:tcBorders>
            <w:shd w:val="clear" w:color="auto" w:fill="auto"/>
            <w:noWrap/>
            <w:vAlign w:val="bottom"/>
            <w:hideMark/>
          </w:tcPr>
          <w:p w14:paraId="0CE1610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9.79</w:t>
            </w:r>
          </w:p>
        </w:tc>
        <w:tc>
          <w:tcPr>
            <w:tcW w:w="1418" w:type="dxa"/>
            <w:tcBorders>
              <w:top w:val="nil"/>
              <w:left w:val="nil"/>
              <w:bottom w:val="single" w:sz="4" w:space="0" w:color="000000"/>
              <w:right w:val="single" w:sz="4" w:space="0" w:color="000000"/>
            </w:tcBorders>
            <w:shd w:val="clear" w:color="auto" w:fill="auto"/>
            <w:noWrap/>
            <w:vAlign w:val="bottom"/>
            <w:hideMark/>
          </w:tcPr>
          <w:p w14:paraId="3D5353D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23.52</w:t>
            </w:r>
          </w:p>
        </w:tc>
      </w:tr>
      <w:tr w:rsidR="00A0308E" w:rsidRPr="003B10E2" w14:paraId="392CF0F8"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53BE9A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Kelai Mechatronics Engineering,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680AAD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601.10</w:t>
            </w:r>
          </w:p>
        </w:tc>
        <w:tc>
          <w:tcPr>
            <w:tcW w:w="957" w:type="dxa"/>
            <w:tcBorders>
              <w:top w:val="nil"/>
              <w:left w:val="nil"/>
              <w:bottom w:val="single" w:sz="4" w:space="0" w:color="000000"/>
              <w:right w:val="single" w:sz="4" w:space="0" w:color="000000"/>
            </w:tcBorders>
            <w:shd w:val="clear" w:color="auto" w:fill="auto"/>
            <w:noWrap/>
            <w:vAlign w:val="bottom"/>
            <w:hideMark/>
          </w:tcPr>
          <w:p w14:paraId="2127439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16.46</w:t>
            </w:r>
          </w:p>
        </w:tc>
        <w:tc>
          <w:tcPr>
            <w:tcW w:w="1418" w:type="dxa"/>
            <w:tcBorders>
              <w:top w:val="nil"/>
              <w:left w:val="nil"/>
              <w:bottom w:val="single" w:sz="4" w:space="0" w:color="000000"/>
              <w:right w:val="single" w:sz="4" w:space="0" w:color="000000"/>
            </w:tcBorders>
            <w:shd w:val="clear" w:color="auto" w:fill="auto"/>
            <w:noWrap/>
            <w:vAlign w:val="bottom"/>
            <w:hideMark/>
          </w:tcPr>
          <w:p w14:paraId="7A58BBE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39.91</w:t>
            </w:r>
          </w:p>
        </w:tc>
      </w:tr>
      <w:tr w:rsidR="00A0308E" w:rsidRPr="003B10E2" w14:paraId="30648D0D"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C253D8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Kindly Enterprise Development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BB618F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807.68</w:t>
            </w:r>
          </w:p>
        </w:tc>
        <w:tc>
          <w:tcPr>
            <w:tcW w:w="957" w:type="dxa"/>
            <w:tcBorders>
              <w:top w:val="nil"/>
              <w:left w:val="nil"/>
              <w:bottom w:val="single" w:sz="4" w:space="0" w:color="000000"/>
              <w:right w:val="single" w:sz="4" w:space="0" w:color="000000"/>
            </w:tcBorders>
            <w:shd w:val="clear" w:color="auto" w:fill="auto"/>
            <w:noWrap/>
            <w:vAlign w:val="bottom"/>
            <w:hideMark/>
          </w:tcPr>
          <w:p w14:paraId="63E7B88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13.07</w:t>
            </w:r>
          </w:p>
        </w:tc>
        <w:tc>
          <w:tcPr>
            <w:tcW w:w="1418" w:type="dxa"/>
            <w:tcBorders>
              <w:top w:val="nil"/>
              <w:left w:val="nil"/>
              <w:bottom w:val="single" w:sz="4" w:space="0" w:color="000000"/>
              <w:right w:val="single" w:sz="4" w:space="0" w:color="000000"/>
            </w:tcBorders>
            <w:shd w:val="clear" w:color="auto" w:fill="auto"/>
            <w:noWrap/>
            <w:vAlign w:val="bottom"/>
            <w:hideMark/>
          </w:tcPr>
          <w:p w14:paraId="4B9F113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66.76</w:t>
            </w:r>
          </w:p>
        </w:tc>
      </w:tr>
      <w:tr w:rsidR="00A0308E" w:rsidRPr="003B10E2" w14:paraId="0689D53B"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C84014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Laimu 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F325E5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484.56</w:t>
            </w:r>
          </w:p>
        </w:tc>
        <w:tc>
          <w:tcPr>
            <w:tcW w:w="957" w:type="dxa"/>
            <w:tcBorders>
              <w:top w:val="nil"/>
              <w:left w:val="nil"/>
              <w:bottom w:val="single" w:sz="4" w:space="0" w:color="000000"/>
              <w:right w:val="single" w:sz="4" w:space="0" w:color="000000"/>
            </w:tcBorders>
            <w:shd w:val="clear" w:color="auto" w:fill="auto"/>
            <w:noWrap/>
            <w:vAlign w:val="bottom"/>
            <w:hideMark/>
          </w:tcPr>
          <w:p w14:paraId="1A5AA72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13.14</w:t>
            </w:r>
          </w:p>
        </w:tc>
        <w:tc>
          <w:tcPr>
            <w:tcW w:w="1418" w:type="dxa"/>
            <w:tcBorders>
              <w:top w:val="nil"/>
              <w:left w:val="nil"/>
              <w:bottom w:val="single" w:sz="4" w:space="0" w:color="000000"/>
              <w:right w:val="single" w:sz="4" w:space="0" w:color="000000"/>
            </w:tcBorders>
            <w:shd w:val="clear" w:color="auto" w:fill="auto"/>
            <w:noWrap/>
            <w:vAlign w:val="bottom"/>
            <w:hideMark/>
          </w:tcPr>
          <w:p w14:paraId="22CBFBD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176.52</w:t>
            </w:r>
          </w:p>
        </w:tc>
      </w:tr>
      <w:tr w:rsidR="00A0308E" w:rsidRPr="003B10E2" w14:paraId="7B24E4C2"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0C5F5A6"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Shanghai Laiyifen,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756DCA8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904.03</w:t>
            </w:r>
          </w:p>
        </w:tc>
        <w:tc>
          <w:tcPr>
            <w:tcW w:w="957" w:type="dxa"/>
            <w:tcBorders>
              <w:top w:val="nil"/>
              <w:left w:val="nil"/>
              <w:bottom w:val="single" w:sz="4" w:space="0" w:color="000000"/>
              <w:right w:val="single" w:sz="4" w:space="0" w:color="000000"/>
            </w:tcBorders>
            <w:shd w:val="clear" w:color="auto" w:fill="auto"/>
            <w:noWrap/>
            <w:vAlign w:val="bottom"/>
            <w:hideMark/>
          </w:tcPr>
          <w:p w14:paraId="0FFE919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19.18</w:t>
            </w:r>
          </w:p>
        </w:tc>
        <w:tc>
          <w:tcPr>
            <w:tcW w:w="1418" w:type="dxa"/>
            <w:tcBorders>
              <w:top w:val="nil"/>
              <w:left w:val="nil"/>
              <w:bottom w:val="single" w:sz="4" w:space="0" w:color="000000"/>
              <w:right w:val="single" w:sz="4" w:space="0" w:color="000000"/>
            </w:tcBorders>
            <w:shd w:val="clear" w:color="auto" w:fill="auto"/>
            <w:noWrap/>
            <w:vAlign w:val="bottom"/>
            <w:hideMark/>
          </w:tcPr>
          <w:p w14:paraId="3424999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216.05</w:t>
            </w:r>
          </w:p>
        </w:tc>
      </w:tr>
      <w:tr w:rsidR="00A0308E" w:rsidRPr="003B10E2" w14:paraId="6996C39B"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168DB70"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Shanghai Lansheng,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3EB7465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785.26</w:t>
            </w:r>
          </w:p>
        </w:tc>
        <w:tc>
          <w:tcPr>
            <w:tcW w:w="957" w:type="dxa"/>
            <w:tcBorders>
              <w:top w:val="nil"/>
              <w:left w:val="nil"/>
              <w:bottom w:val="single" w:sz="4" w:space="0" w:color="000000"/>
              <w:right w:val="single" w:sz="4" w:space="0" w:color="000000"/>
            </w:tcBorders>
            <w:shd w:val="clear" w:color="auto" w:fill="auto"/>
            <w:noWrap/>
            <w:vAlign w:val="bottom"/>
            <w:hideMark/>
          </w:tcPr>
          <w:p w14:paraId="1812F5C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10.47</w:t>
            </w:r>
          </w:p>
        </w:tc>
        <w:tc>
          <w:tcPr>
            <w:tcW w:w="1418" w:type="dxa"/>
            <w:tcBorders>
              <w:top w:val="nil"/>
              <w:left w:val="nil"/>
              <w:bottom w:val="single" w:sz="4" w:space="0" w:color="000000"/>
              <w:right w:val="single" w:sz="4" w:space="0" w:color="000000"/>
            </w:tcBorders>
            <w:shd w:val="clear" w:color="auto" w:fill="auto"/>
            <w:noWrap/>
            <w:vAlign w:val="bottom"/>
            <w:hideMark/>
          </w:tcPr>
          <w:p w14:paraId="2A6B187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30.84</w:t>
            </w:r>
          </w:p>
        </w:tc>
      </w:tr>
      <w:tr w:rsidR="00A0308E" w:rsidRPr="003B10E2" w14:paraId="76DB5E1F"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7DAEF7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Lianming Machinery,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5229AF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455.10</w:t>
            </w:r>
          </w:p>
        </w:tc>
        <w:tc>
          <w:tcPr>
            <w:tcW w:w="957" w:type="dxa"/>
            <w:tcBorders>
              <w:top w:val="nil"/>
              <w:left w:val="nil"/>
              <w:bottom w:val="single" w:sz="4" w:space="0" w:color="000000"/>
              <w:right w:val="single" w:sz="4" w:space="0" w:color="000000"/>
            </w:tcBorders>
            <w:shd w:val="clear" w:color="auto" w:fill="auto"/>
            <w:noWrap/>
            <w:vAlign w:val="bottom"/>
            <w:hideMark/>
          </w:tcPr>
          <w:p w14:paraId="1BA0395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12.79</w:t>
            </w:r>
          </w:p>
        </w:tc>
        <w:tc>
          <w:tcPr>
            <w:tcW w:w="1418" w:type="dxa"/>
            <w:tcBorders>
              <w:top w:val="nil"/>
              <w:left w:val="nil"/>
              <w:bottom w:val="single" w:sz="4" w:space="0" w:color="000000"/>
              <w:right w:val="single" w:sz="4" w:space="0" w:color="000000"/>
            </w:tcBorders>
            <w:shd w:val="clear" w:color="auto" w:fill="auto"/>
            <w:noWrap/>
            <w:vAlign w:val="bottom"/>
            <w:hideMark/>
          </w:tcPr>
          <w:p w14:paraId="6CC5AF1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78.09</w:t>
            </w:r>
          </w:p>
        </w:tc>
      </w:tr>
      <w:tr w:rsidR="00A0308E" w:rsidRPr="003B10E2" w14:paraId="267D3161"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8B6B7D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Lily And Beauty Cosmetics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4B747D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757.31</w:t>
            </w:r>
          </w:p>
        </w:tc>
        <w:tc>
          <w:tcPr>
            <w:tcW w:w="957" w:type="dxa"/>
            <w:tcBorders>
              <w:top w:val="nil"/>
              <w:left w:val="nil"/>
              <w:bottom w:val="single" w:sz="4" w:space="0" w:color="000000"/>
              <w:right w:val="single" w:sz="4" w:space="0" w:color="000000"/>
            </w:tcBorders>
            <w:shd w:val="clear" w:color="auto" w:fill="auto"/>
            <w:noWrap/>
            <w:vAlign w:val="bottom"/>
            <w:hideMark/>
          </w:tcPr>
          <w:p w14:paraId="364CA8D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13.46</w:t>
            </w:r>
          </w:p>
        </w:tc>
        <w:tc>
          <w:tcPr>
            <w:tcW w:w="1418" w:type="dxa"/>
            <w:tcBorders>
              <w:top w:val="nil"/>
              <w:left w:val="nil"/>
              <w:bottom w:val="single" w:sz="4" w:space="0" w:color="000000"/>
              <w:right w:val="single" w:sz="4" w:space="0" w:color="000000"/>
            </w:tcBorders>
            <w:shd w:val="clear" w:color="auto" w:fill="auto"/>
            <w:noWrap/>
            <w:vAlign w:val="bottom"/>
            <w:hideMark/>
          </w:tcPr>
          <w:p w14:paraId="35F581B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74.11</w:t>
            </w:r>
          </w:p>
        </w:tc>
      </w:tr>
      <w:tr w:rsidR="00A0308E" w:rsidRPr="003B10E2" w14:paraId="43F4F72C"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BDC140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Lingang Holdings,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4FA314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4 539.81</w:t>
            </w:r>
          </w:p>
        </w:tc>
        <w:tc>
          <w:tcPr>
            <w:tcW w:w="957" w:type="dxa"/>
            <w:tcBorders>
              <w:top w:val="nil"/>
              <w:left w:val="nil"/>
              <w:bottom w:val="single" w:sz="4" w:space="0" w:color="000000"/>
              <w:right w:val="single" w:sz="4" w:space="0" w:color="000000"/>
            </w:tcBorders>
            <w:shd w:val="clear" w:color="auto" w:fill="auto"/>
            <w:noWrap/>
            <w:vAlign w:val="bottom"/>
            <w:hideMark/>
          </w:tcPr>
          <w:p w14:paraId="7D425D7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12.86</w:t>
            </w:r>
          </w:p>
        </w:tc>
        <w:tc>
          <w:tcPr>
            <w:tcW w:w="1418" w:type="dxa"/>
            <w:tcBorders>
              <w:top w:val="nil"/>
              <w:left w:val="nil"/>
              <w:bottom w:val="single" w:sz="4" w:space="0" w:color="000000"/>
              <w:right w:val="single" w:sz="4" w:space="0" w:color="000000"/>
            </w:tcBorders>
            <w:shd w:val="clear" w:color="auto" w:fill="auto"/>
            <w:noWrap/>
            <w:vAlign w:val="bottom"/>
            <w:hideMark/>
          </w:tcPr>
          <w:p w14:paraId="7608A02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47.89</w:t>
            </w:r>
          </w:p>
        </w:tc>
      </w:tr>
      <w:tr w:rsidR="00A0308E" w:rsidRPr="003B10E2" w14:paraId="1D5A51D2"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7BB285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Lingang Holdings,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206F41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6FCEB41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0.78</w:t>
            </w:r>
          </w:p>
        </w:tc>
        <w:tc>
          <w:tcPr>
            <w:tcW w:w="1418" w:type="dxa"/>
            <w:tcBorders>
              <w:top w:val="nil"/>
              <w:left w:val="nil"/>
              <w:bottom w:val="single" w:sz="4" w:space="0" w:color="000000"/>
              <w:right w:val="single" w:sz="4" w:space="0" w:color="000000"/>
            </w:tcBorders>
            <w:shd w:val="clear" w:color="auto" w:fill="auto"/>
            <w:noWrap/>
            <w:vAlign w:val="bottom"/>
            <w:hideMark/>
          </w:tcPr>
          <w:p w14:paraId="67E0278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0.03</w:t>
            </w:r>
          </w:p>
        </w:tc>
      </w:tr>
      <w:tr w:rsidR="00A0308E" w:rsidRPr="003B10E2" w14:paraId="55ED9341"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D01B9F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Lingyun Industries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647CF9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170.31</w:t>
            </w:r>
          </w:p>
        </w:tc>
        <w:tc>
          <w:tcPr>
            <w:tcW w:w="957" w:type="dxa"/>
            <w:tcBorders>
              <w:top w:val="nil"/>
              <w:left w:val="nil"/>
              <w:bottom w:val="single" w:sz="4" w:space="0" w:color="000000"/>
              <w:right w:val="single" w:sz="4" w:space="0" w:color="000000"/>
            </w:tcBorders>
            <w:shd w:val="clear" w:color="auto" w:fill="auto"/>
            <w:noWrap/>
            <w:vAlign w:val="bottom"/>
            <w:hideMark/>
          </w:tcPr>
          <w:p w14:paraId="7BF3705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0.49</w:t>
            </w:r>
          </w:p>
        </w:tc>
        <w:tc>
          <w:tcPr>
            <w:tcW w:w="1418" w:type="dxa"/>
            <w:tcBorders>
              <w:top w:val="nil"/>
              <w:left w:val="nil"/>
              <w:bottom w:val="single" w:sz="4" w:space="0" w:color="000000"/>
              <w:right w:val="single" w:sz="4" w:space="0" w:color="000000"/>
            </w:tcBorders>
            <w:shd w:val="clear" w:color="auto" w:fill="auto"/>
            <w:noWrap/>
            <w:vAlign w:val="bottom"/>
            <w:hideMark/>
          </w:tcPr>
          <w:p w14:paraId="4529214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0.04</w:t>
            </w:r>
          </w:p>
        </w:tc>
      </w:tr>
      <w:tr w:rsidR="00A0308E" w:rsidRPr="003B10E2" w14:paraId="37C765E5"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636F9E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LongYun Advertising &amp; Media,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61D21B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207.04</w:t>
            </w:r>
          </w:p>
        </w:tc>
        <w:tc>
          <w:tcPr>
            <w:tcW w:w="957" w:type="dxa"/>
            <w:tcBorders>
              <w:top w:val="nil"/>
              <w:left w:val="nil"/>
              <w:bottom w:val="single" w:sz="4" w:space="0" w:color="000000"/>
              <w:right w:val="single" w:sz="4" w:space="0" w:color="000000"/>
            </w:tcBorders>
            <w:shd w:val="clear" w:color="auto" w:fill="auto"/>
            <w:noWrap/>
            <w:vAlign w:val="bottom"/>
            <w:hideMark/>
          </w:tcPr>
          <w:p w14:paraId="36A2BE9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15.85</w:t>
            </w:r>
          </w:p>
        </w:tc>
        <w:tc>
          <w:tcPr>
            <w:tcW w:w="1418" w:type="dxa"/>
            <w:tcBorders>
              <w:top w:val="nil"/>
              <w:left w:val="nil"/>
              <w:bottom w:val="single" w:sz="4" w:space="0" w:color="000000"/>
              <w:right w:val="single" w:sz="4" w:space="0" w:color="000000"/>
            </w:tcBorders>
            <w:shd w:val="clear" w:color="auto" w:fill="auto"/>
            <w:noWrap/>
            <w:vAlign w:val="bottom"/>
            <w:hideMark/>
          </w:tcPr>
          <w:p w14:paraId="1C77B78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37.46</w:t>
            </w:r>
          </w:p>
        </w:tc>
      </w:tr>
      <w:tr w:rsidR="00A0308E" w:rsidRPr="003B10E2" w14:paraId="3CA9BA51"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79CC51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Lonyer Fuels,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442582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575.04</w:t>
            </w:r>
          </w:p>
        </w:tc>
        <w:tc>
          <w:tcPr>
            <w:tcW w:w="957" w:type="dxa"/>
            <w:tcBorders>
              <w:top w:val="nil"/>
              <w:left w:val="nil"/>
              <w:bottom w:val="single" w:sz="4" w:space="0" w:color="000000"/>
              <w:right w:val="single" w:sz="4" w:space="0" w:color="000000"/>
            </w:tcBorders>
            <w:shd w:val="clear" w:color="auto" w:fill="auto"/>
            <w:noWrap/>
            <w:vAlign w:val="bottom"/>
            <w:hideMark/>
          </w:tcPr>
          <w:p w14:paraId="103CA49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10.21</w:t>
            </w:r>
          </w:p>
        </w:tc>
        <w:tc>
          <w:tcPr>
            <w:tcW w:w="1418" w:type="dxa"/>
            <w:tcBorders>
              <w:top w:val="nil"/>
              <w:left w:val="nil"/>
              <w:bottom w:val="single" w:sz="4" w:space="0" w:color="000000"/>
              <w:right w:val="single" w:sz="4" w:space="0" w:color="000000"/>
            </w:tcBorders>
            <w:shd w:val="clear" w:color="auto" w:fill="auto"/>
            <w:noWrap/>
            <w:vAlign w:val="bottom"/>
            <w:hideMark/>
          </w:tcPr>
          <w:p w14:paraId="0183E9B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165.86</w:t>
            </w:r>
          </w:p>
        </w:tc>
      </w:tr>
      <w:tr w:rsidR="00A0308E" w:rsidRPr="003B10E2" w14:paraId="16940A22"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65D8F0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Lujiazui Finance &amp; Trade Zone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E45613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5 832.10</w:t>
            </w:r>
          </w:p>
        </w:tc>
        <w:tc>
          <w:tcPr>
            <w:tcW w:w="957" w:type="dxa"/>
            <w:tcBorders>
              <w:top w:val="nil"/>
              <w:left w:val="nil"/>
              <w:bottom w:val="single" w:sz="4" w:space="0" w:color="000000"/>
              <w:right w:val="single" w:sz="4" w:space="0" w:color="000000"/>
            </w:tcBorders>
            <w:shd w:val="clear" w:color="auto" w:fill="auto"/>
            <w:noWrap/>
            <w:vAlign w:val="bottom"/>
            <w:hideMark/>
          </w:tcPr>
          <w:p w14:paraId="26AFCBC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10.33</w:t>
            </w:r>
          </w:p>
        </w:tc>
        <w:tc>
          <w:tcPr>
            <w:tcW w:w="1418" w:type="dxa"/>
            <w:tcBorders>
              <w:top w:val="nil"/>
              <w:left w:val="nil"/>
              <w:bottom w:val="single" w:sz="4" w:space="0" w:color="000000"/>
              <w:right w:val="single" w:sz="4" w:space="0" w:color="000000"/>
            </w:tcBorders>
            <w:shd w:val="clear" w:color="auto" w:fill="auto"/>
            <w:noWrap/>
            <w:vAlign w:val="bottom"/>
            <w:hideMark/>
          </w:tcPr>
          <w:p w14:paraId="412A809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45.84</w:t>
            </w:r>
          </w:p>
        </w:tc>
      </w:tr>
      <w:tr w:rsidR="00A0308E" w:rsidRPr="003B10E2" w14:paraId="49BB9A86"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85575B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Lujiazui Finance &amp; Trade Zone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191021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030ABAD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0.65</w:t>
            </w:r>
          </w:p>
        </w:tc>
        <w:tc>
          <w:tcPr>
            <w:tcW w:w="1418" w:type="dxa"/>
            <w:tcBorders>
              <w:top w:val="nil"/>
              <w:left w:val="nil"/>
              <w:bottom w:val="single" w:sz="4" w:space="0" w:color="000000"/>
              <w:right w:val="single" w:sz="4" w:space="0" w:color="000000"/>
            </w:tcBorders>
            <w:shd w:val="clear" w:color="auto" w:fill="auto"/>
            <w:noWrap/>
            <w:vAlign w:val="bottom"/>
            <w:hideMark/>
          </w:tcPr>
          <w:p w14:paraId="4DAEE60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0.19</w:t>
            </w:r>
          </w:p>
        </w:tc>
      </w:tr>
      <w:tr w:rsidR="00A0308E" w:rsidRPr="003B10E2" w14:paraId="2C2FF965"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D23DA7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Luoman Lighting,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3804A7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443.33</w:t>
            </w:r>
          </w:p>
        </w:tc>
        <w:tc>
          <w:tcPr>
            <w:tcW w:w="957" w:type="dxa"/>
            <w:tcBorders>
              <w:top w:val="nil"/>
              <w:left w:val="nil"/>
              <w:bottom w:val="single" w:sz="4" w:space="0" w:color="000000"/>
              <w:right w:val="single" w:sz="4" w:space="0" w:color="000000"/>
            </w:tcBorders>
            <w:shd w:val="clear" w:color="auto" w:fill="auto"/>
            <w:noWrap/>
            <w:vAlign w:val="bottom"/>
            <w:hideMark/>
          </w:tcPr>
          <w:p w14:paraId="0BB5852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36.55</w:t>
            </w:r>
          </w:p>
        </w:tc>
        <w:tc>
          <w:tcPr>
            <w:tcW w:w="1418" w:type="dxa"/>
            <w:tcBorders>
              <w:top w:val="nil"/>
              <w:left w:val="nil"/>
              <w:bottom w:val="single" w:sz="4" w:space="0" w:color="000000"/>
              <w:right w:val="single" w:sz="4" w:space="0" w:color="000000"/>
            </w:tcBorders>
            <w:shd w:val="clear" w:color="auto" w:fill="auto"/>
            <w:noWrap/>
            <w:vAlign w:val="bottom"/>
            <w:hideMark/>
          </w:tcPr>
          <w:p w14:paraId="4DC225C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439.88</w:t>
            </w:r>
          </w:p>
        </w:tc>
      </w:tr>
      <w:tr w:rsidR="00A0308E" w:rsidRPr="003B10E2" w14:paraId="23E01AFB" w14:textId="77777777" w:rsidTr="00A0308E">
        <w:trPr>
          <w:trHeight w:val="300"/>
        </w:trPr>
        <w:tc>
          <w:tcPr>
            <w:tcW w:w="4815" w:type="dxa"/>
            <w:tcBorders>
              <w:top w:val="nil"/>
              <w:left w:val="single" w:sz="4" w:space="0" w:color="000000"/>
              <w:bottom w:val="single" w:sz="4" w:space="0" w:color="auto"/>
              <w:right w:val="single" w:sz="4" w:space="0" w:color="000000"/>
            </w:tcBorders>
            <w:shd w:val="clear" w:color="auto" w:fill="auto"/>
            <w:noWrap/>
            <w:vAlign w:val="bottom"/>
            <w:hideMark/>
          </w:tcPr>
          <w:p w14:paraId="477F50B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M&amp;G Stationery,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auto"/>
              <w:right w:val="single" w:sz="4" w:space="0" w:color="000000"/>
            </w:tcBorders>
            <w:shd w:val="clear" w:color="auto" w:fill="auto"/>
            <w:noWrap/>
            <w:vAlign w:val="bottom"/>
            <w:hideMark/>
          </w:tcPr>
          <w:p w14:paraId="7A4838B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5 640.09</w:t>
            </w:r>
          </w:p>
        </w:tc>
        <w:tc>
          <w:tcPr>
            <w:tcW w:w="957" w:type="dxa"/>
            <w:tcBorders>
              <w:top w:val="nil"/>
              <w:left w:val="nil"/>
              <w:bottom w:val="single" w:sz="4" w:space="0" w:color="auto"/>
              <w:right w:val="single" w:sz="4" w:space="0" w:color="000000"/>
            </w:tcBorders>
            <w:shd w:val="clear" w:color="auto" w:fill="auto"/>
            <w:noWrap/>
            <w:vAlign w:val="bottom"/>
            <w:hideMark/>
          </w:tcPr>
          <w:p w14:paraId="3FB4EC8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43.44</w:t>
            </w:r>
          </w:p>
        </w:tc>
        <w:tc>
          <w:tcPr>
            <w:tcW w:w="1418" w:type="dxa"/>
            <w:tcBorders>
              <w:top w:val="nil"/>
              <w:left w:val="nil"/>
              <w:bottom w:val="single" w:sz="4" w:space="0" w:color="auto"/>
              <w:right w:val="single" w:sz="4" w:space="0" w:color="000000"/>
            </w:tcBorders>
            <w:shd w:val="clear" w:color="auto" w:fill="auto"/>
            <w:noWrap/>
            <w:vAlign w:val="bottom"/>
            <w:hideMark/>
          </w:tcPr>
          <w:p w14:paraId="1AE37A8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86.98</w:t>
            </w:r>
          </w:p>
        </w:tc>
      </w:tr>
      <w:tr w:rsidR="00A0308E" w:rsidRPr="003B10E2" w14:paraId="32A14BE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7E0C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Maling Aquarius,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72B1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998.69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C709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9027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66.53</w:t>
            </w:r>
          </w:p>
        </w:tc>
      </w:tr>
      <w:tr w:rsidR="00A0308E" w:rsidRPr="003B10E2" w14:paraId="003A1323" w14:textId="77777777" w:rsidTr="00A0308E">
        <w:trPr>
          <w:trHeight w:val="300"/>
        </w:trPr>
        <w:tc>
          <w:tcPr>
            <w:tcW w:w="481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0E8C1E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Material Trading,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nil"/>
              <w:bottom w:val="single" w:sz="4" w:space="0" w:color="000000"/>
              <w:right w:val="single" w:sz="4" w:space="0" w:color="000000"/>
            </w:tcBorders>
            <w:shd w:val="clear" w:color="auto" w:fill="auto"/>
            <w:noWrap/>
            <w:vAlign w:val="bottom"/>
            <w:hideMark/>
          </w:tcPr>
          <w:p w14:paraId="2C6328C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1 174.43</w:t>
            </w:r>
          </w:p>
        </w:tc>
        <w:tc>
          <w:tcPr>
            <w:tcW w:w="957" w:type="dxa"/>
            <w:tcBorders>
              <w:top w:val="single" w:sz="4" w:space="0" w:color="auto"/>
              <w:left w:val="nil"/>
              <w:bottom w:val="single" w:sz="4" w:space="0" w:color="000000"/>
              <w:right w:val="single" w:sz="4" w:space="0" w:color="000000"/>
            </w:tcBorders>
            <w:shd w:val="clear" w:color="auto" w:fill="auto"/>
            <w:noWrap/>
            <w:vAlign w:val="bottom"/>
            <w:hideMark/>
          </w:tcPr>
          <w:p w14:paraId="732082A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16.92</w:t>
            </w:r>
          </w:p>
        </w:tc>
        <w:tc>
          <w:tcPr>
            <w:tcW w:w="1418" w:type="dxa"/>
            <w:tcBorders>
              <w:top w:val="single" w:sz="4" w:space="0" w:color="auto"/>
              <w:left w:val="nil"/>
              <w:bottom w:val="single" w:sz="4" w:space="0" w:color="000000"/>
              <w:right w:val="single" w:sz="4" w:space="0" w:color="000000"/>
            </w:tcBorders>
            <w:shd w:val="clear" w:color="auto" w:fill="auto"/>
            <w:noWrap/>
            <w:vAlign w:val="bottom"/>
            <w:hideMark/>
          </w:tcPr>
          <w:p w14:paraId="4141467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1 607.24</w:t>
            </w:r>
          </w:p>
        </w:tc>
      </w:tr>
      <w:tr w:rsidR="00A0308E" w:rsidRPr="003B10E2" w14:paraId="4C72CA6D"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EFCE48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Material Trading,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6D70AF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12CBC53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0.47</w:t>
            </w:r>
          </w:p>
        </w:tc>
        <w:tc>
          <w:tcPr>
            <w:tcW w:w="1418" w:type="dxa"/>
            <w:tcBorders>
              <w:top w:val="nil"/>
              <w:left w:val="nil"/>
              <w:bottom w:val="single" w:sz="4" w:space="0" w:color="000000"/>
              <w:right w:val="single" w:sz="4" w:space="0" w:color="000000"/>
            </w:tcBorders>
            <w:shd w:val="clear" w:color="auto" w:fill="auto"/>
            <w:noWrap/>
            <w:vAlign w:val="bottom"/>
            <w:hideMark/>
          </w:tcPr>
          <w:p w14:paraId="2E59F75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1.28</w:t>
            </w:r>
          </w:p>
        </w:tc>
      </w:tr>
      <w:tr w:rsidR="00A0308E" w:rsidRPr="003B10E2" w14:paraId="75CBC69F"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ACCA12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Mechanical &amp; Electrical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74FEC3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2 003.83</w:t>
            </w:r>
          </w:p>
        </w:tc>
        <w:tc>
          <w:tcPr>
            <w:tcW w:w="957" w:type="dxa"/>
            <w:tcBorders>
              <w:top w:val="nil"/>
              <w:left w:val="nil"/>
              <w:bottom w:val="single" w:sz="4" w:space="0" w:color="000000"/>
              <w:right w:val="single" w:sz="4" w:space="0" w:color="000000"/>
            </w:tcBorders>
            <w:shd w:val="clear" w:color="auto" w:fill="auto"/>
            <w:noWrap/>
            <w:vAlign w:val="bottom"/>
            <w:hideMark/>
          </w:tcPr>
          <w:p w14:paraId="60254AD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14.00</w:t>
            </w:r>
          </w:p>
        </w:tc>
        <w:tc>
          <w:tcPr>
            <w:tcW w:w="1418" w:type="dxa"/>
            <w:tcBorders>
              <w:top w:val="nil"/>
              <w:left w:val="nil"/>
              <w:bottom w:val="single" w:sz="4" w:space="0" w:color="000000"/>
              <w:right w:val="single" w:sz="4" w:space="0" w:color="000000"/>
            </w:tcBorders>
            <w:shd w:val="clear" w:color="auto" w:fill="auto"/>
            <w:noWrap/>
            <w:vAlign w:val="bottom"/>
            <w:hideMark/>
          </w:tcPr>
          <w:p w14:paraId="11B55D5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45.38</w:t>
            </w:r>
          </w:p>
        </w:tc>
      </w:tr>
      <w:tr w:rsidR="00A0308E" w:rsidRPr="003B10E2" w14:paraId="78799445"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58FBC0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Mechanical &amp; Electrical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62DDC9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7875857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1.04</w:t>
            </w:r>
          </w:p>
        </w:tc>
        <w:tc>
          <w:tcPr>
            <w:tcW w:w="1418" w:type="dxa"/>
            <w:tcBorders>
              <w:top w:val="nil"/>
              <w:left w:val="nil"/>
              <w:bottom w:val="single" w:sz="4" w:space="0" w:color="000000"/>
              <w:right w:val="single" w:sz="4" w:space="0" w:color="000000"/>
            </w:tcBorders>
            <w:shd w:val="clear" w:color="auto" w:fill="auto"/>
            <w:noWrap/>
            <w:vAlign w:val="bottom"/>
            <w:hideMark/>
          </w:tcPr>
          <w:p w14:paraId="4F8D3D6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0.07</w:t>
            </w:r>
          </w:p>
        </w:tc>
      </w:tr>
      <w:tr w:rsidR="00A0308E" w:rsidRPr="003B10E2" w14:paraId="54304585"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B3A24EF"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Shanghai Medicilon,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30A7C70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778.44</w:t>
            </w:r>
          </w:p>
        </w:tc>
        <w:tc>
          <w:tcPr>
            <w:tcW w:w="957" w:type="dxa"/>
            <w:tcBorders>
              <w:top w:val="nil"/>
              <w:left w:val="nil"/>
              <w:bottom w:val="single" w:sz="4" w:space="0" w:color="000000"/>
              <w:right w:val="single" w:sz="4" w:space="0" w:color="000000"/>
            </w:tcBorders>
            <w:shd w:val="clear" w:color="auto" w:fill="auto"/>
            <w:noWrap/>
            <w:vAlign w:val="bottom"/>
            <w:hideMark/>
          </w:tcPr>
          <w:p w14:paraId="2F8C430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89.60</w:t>
            </w:r>
          </w:p>
        </w:tc>
        <w:tc>
          <w:tcPr>
            <w:tcW w:w="1418" w:type="dxa"/>
            <w:tcBorders>
              <w:top w:val="nil"/>
              <w:left w:val="nil"/>
              <w:bottom w:val="single" w:sz="4" w:space="0" w:color="000000"/>
              <w:right w:val="single" w:sz="4" w:space="0" w:color="000000"/>
            </w:tcBorders>
            <w:shd w:val="clear" w:color="auto" w:fill="auto"/>
            <w:noWrap/>
            <w:vAlign w:val="bottom"/>
            <w:hideMark/>
          </w:tcPr>
          <w:p w14:paraId="32F3F5F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129.62</w:t>
            </w:r>
          </w:p>
        </w:tc>
      </w:tr>
      <w:tr w:rsidR="00A0308E" w:rsidRPr="003B10E2" w14:paraId="6337539E"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AE7E70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MicroPort Endovascular MedTech,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D966D4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1 546.24</w:t>
            </w:r>
          </w:p>
        </w:tc>
        <w:tc>
          <w:tcPr>
            <w:tcW w:w="957" w:type="dxa"/>
            <w:tcBorders>
              <w:top w:val="nil"/>
              <w:left w:val="nil"/>
              <w:bottom w:val="single" w:sz="4" w:space="0" w:color="000000"/>
              <w:right w:val="single" w:sz="4" w:space="0" w:color="000000"/>
            </w:tcBorders>
            <w:shd w:val="clear" w:color="auto" w:fill="auto"/>
            <w:noWrap/>
            <w:vAlign w:val="bottom"/>
            <w:hideMark/>
          </w:tcPr>
          <w:p w14:paraId="5EEB1B0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153.50</w:t>
            </w:r>
          </w:p>
        </w:tc>
        <w:tc>
          <w:tcPr>
            <w:tcW w:w="1418" w:type="dxa"/>
            <w:tcBorders>
              <w:top w:val="nil"/>
              <w:left w:val="nil"/>
              <w:bottom w:val="single" w:sz="4" w:space="0" w:color="000000"/>
              <w:right w:val="single" w:sz="4" w:space="0" w:color="000000"/>
            </w:tcBorders>
            <w:shd w:val="clear" w:color="auto" w:fill="auto"/>
            <w:noWrap/>
            <w:vAlign w:val="bottom"/>
            <w:hideMark/>
          </w:tcPr>
          <w:p w14:paraId="7C79AEE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46.62</w:t>
            </w:r>
          </w:p>
        </w:tc>
      </w:tr>
      <w:tr w:rsidR="00A0308E" w:rsidRPr="003B10E2" w14:paraId="3ED1E129"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C8FB8B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MicroPort EP MedTech,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0AE99B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154C4C7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19.21</w:t>
            </w:r>
          </w:p>
        </w:tc>
        <w:tc>
          <w:tcPr>
            <w:tcW w:w="1418" w:type="dxa"/>
            <w:tcBorders>
              <w:top w:val="nil"/>
              <w:left w:val="nil"/>
              <w:bottom w:val="single" w:sz="4" w:space="0" w:color="000000"/>
              <w:right w:val="single" w:sz="4" w:space="0" w:color="000000"/>
            </w:tcBorders>
            <w:shd w:val="clear" w:color="auto" w:fill="auto"/>
            <w:noWrap/>
            <w:vAlign w:val="bottom"/>
            <w:hideMark/>
          </w:tcPr>
          <w:p w14:paraId="2B1E272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26.74</w:t>
            </w:r>
          </w:p>
        </w:tc>
      </w:tr>
      <w:tr w:rsidR="00A0308E" w:rsidRPr="003B10E2" w14:paraId="0B4D7306"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4B7A66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MicuRx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476B1D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3890DCA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8.68</w:t>
            </w:r>
          </w:p>
        </w:tc>
        <w:tc>
          <w:tcPr>
            <w:tcW w:w="1418" w:type="dxa"/>
            <w:tcBorders>
              <w:top w:val="nil"/>
              <w:left w:val="nil"/>
              <w:bottom w:val="single" w:sz="4" w:space="0" w:color="000000"/>
              <w:right w:val="single" w:sz="4" w:space="0" w:color="000000"/>
            </w:tcBorders>
            <w:shd w:val="clear" w:color="auto" w:fill="auto"/>
            <w:noWrap/>
            <w:vAlign w:val="bottom"/>
            <w:hideMark/>
          </w:tcPr>
          <w:p w14:paraId="286D7C7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17.92</w:t>
            </w:r>
          </w:p>
        </w:tc>
      </w:tr>
      <w:tr w:rsidR="00A0308E" w:rsidRPr="003B10E2" w14:paraId="31ADFBFB"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54255B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Milkground Food 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CDF319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1 640.63</w:t>
            </w:r>
          </w:p>
        </w:tc>
        <w:tc>
          <w:tcPr>
            <w:tcW w:w="957" w:type="dxa"/>
            <w:tcBorders>
              <w:top w:val="nil"/>
              <w:left w:val="nil"/>
              <w:bottom w:val="single" w:sz="4" w:space="0" w:color="000000"/>
              <w:right w:val="single" w:sz="4" w:space="0" w:color="000000"/>
            </w:tcBorders>
            <w:shd w:val="clear" w:color="auto" w:fill="auto"/>
            <w:noWrap/>
            <w:vAlign w:val="bottom"/>
            <w:hideMark/>
          </w:tcPr>
          <w:p w14:paraId="297E14B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22.71</w:t>
            </w:r>
          </w:p>
        </w:tc>
        <w:tc>
          <w:tcPr>
            <w:tcW w:w="1418" w:type="dxa"/>
            <w:tcBorders>
              <w:top w:val="nil"/>
              <w:left w:val="nil"/>
              <w:bottom w:val="single" w:sz="4" w:space="0" w:color="000000"/>
              <w:right w:val="single" w:sz="4" w:space="0" w:color="000000"/>
            </w:tcBorders>
            <w:shd w:val="clear" w:color="auto" w:fill="auto"/>
            <w:noWrap/>
            <w:vAlign w:val="bottom"/>
            <w:hideMark/>
          </w:tcPr>
          <w:p w14:paraId="64EEA14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79.89</w:t>
            </w:r>
          </w:p>
        </w:tc>
      </w:tr>
      <w:tr w:rsidR="00A0308E" w:rsidRPr="003B10E2" w14:paraId="210F1331"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AA8A83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Model Organisms Center,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349621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456.73</w:t>
            </w:r>
          </w:p>
        </w:tc>
        <w:tc>
          <w:tcPr>
            <w:tcW w:w="957" w:type="dxa"/>
            <w:tcBorders>
              <w:top w:val="nil"/>
              <w:left w:val="nil"/>
              <w:bottom w:val="single" w:sz="4" w:space="0" w:color="000000"/>
              <w:right w:val="single" w:sz="4" w:space="0" w:color="000000"/>
            </w:tcBorders>
            <w:shd w:val="clear" w:color="auto" w:fill="auto"/>
            <w:noWrap/>
            <w:vAlign w:val="bottom"/>
            <w:hideMark/>
          </w:tcPr>
          <w:p w14:paraId="2145547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41.86</w:t>
            </w:r>
          </w:p>
        </w:tc>
        <w:tc>
          <w:tcPr>
            <w:tcW w:w="1418" w:type="dxa"/>
            <w:tcBorders>
              <w:top w:val="nil"/>
              <w:left w:val="nil"/>
              <w:bottom w:val="single" w:sz="4" w:space="0" w:color="000000"/>
              <w:right w:val="single" w:sz="4" w:space="0" w:color="000000"/>
            </w:tcBorders>
            <w:shd w:val="clear" w:color="auto" w:fill="auto"/>
            <w:noWrap/>
            <w:vAlign w:val="bottom"/>
            <w:hideMark/>
          </w:tcPr>
          <w:p w14:paraId="7BC71F7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6.48</w:t>
            </w:r>
          </w:p>
        </w:tc>
      </w:tr>
      <w:tr w:rsidR="00A0308E" w:rsidRPr="003B10E2" w14:paraId="1363A3B0"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A5FF51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Moons Electric,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E4B9A8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3 187.03</w:t>
            </w:r>
          </w:p>
        </w:tc>
        <w:tc>
          <w:tcPr>
            <w:tcW w:w="957" w:type="dxa"/>
            <w:tcBorders>
              <w:top w:val="nil"/>
              <w:left w:val="nil"/>
              <w:bottom w:val="single" w:sz="4" w:space="0" w:color="000000"/>
              <w:right w:val="single" w:sz="4" w:space="0" w:color="000000"/>
            </w:tcBorders>
            <w:shd w:val="clear" w:color="auto" w:fill="auto"/>
            <w:noWrap/>
            <w:vAlign w:val="bottom"/>
            <w:hideMark/>
          </w:tcPr>
          <w:p w14:paraId="2574E97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54.20</w:t>
            </w:r>
          </w:p>
        </w:tc>
        <w:tc>
          <w:tcPr>
            <w:tcW w:w="1418" w:type="dxa"/>
            <w:tcBorders>
              <w:top w:val="nil"/>
              <w:left w:val="nil"/>
              <w:bottom w:val="single" w:sz="4" w:space="0" w:color="000000"/>
              <w:right w:val="single" w:sz="4" w:space="0" w:color="000000"/>
            </w:tcBorders>
            <w:shd w:val="clear" w:color="auto" w:fill="auto"/>
            <w:noWrap/>
            <w:vAlign w:val="bottom"/>
            <w:hideMark/>
          </w:tcPr>
          <w:p w14:paraId="112D56B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369.56</w:t>
            </w:r>
          </w:p>
        </w:tc>
      </w:tr>
      <w:tr w:rsidR="00A0308E" w:rsidRPr="003B10E2" w14:paraId="75058D4C"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08B532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New Centurion Network Information Technology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C02E70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331.23</w:t>
            </w:r>
          </w:p>
        </w:tc>
        <w:tc>
          <w:tcPr>
            <w:tcW w:w="957" w:type="dxa"/>
            <w:tcBorders>
              <w:top w:val="nil"/>
              <w:left w:val="nil"/>
              <w:bottom w:val="single" w:sz="4" w:space="0" w:color="000000"/>
              <w:right w:val="single" w:sz="4" w:space="0" w:color="000000"/>
            </w:tcBorders>
            <w:shd w:val="clear" w:color="auto" w:fill="auto"/>
            <w:noWrap/>
            <w:vAlign w:val="bottom"/>
            <w:hideMark/>
          </w:tcPr>
          <w:p w14:paraId="0666A16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39.78</w:t>
            </w:r>
          </w:p>
        </w:tc>
        <w:tc>
          <w:tcPr>
            <w:tcW w:w="1418" w:type="dxa"/>
            <w:tcBorders>
              <w:top w:val="nil"/>
              <w:left w:val="nil"/>
              <w:bottom w:val="single" w:sz="4" w:space="0" w:color="000000"/>
              <w:right w:val="single" w:sz="4" w:space="0" w:color="000000"/>
            </w:tcBorders>
            <w:shd w:val="clear" w:color="auto" w:fill="auto"/>
            <w:noWrap/>
            <w:vAlign w:val="bottom"/>
            <w:hideMark/>
          </w:tcPr>
          <w:p w14:paraId="2A4A074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119.18</w:t>
            </w:r>
          </w:p>
        </w:tc>
      </w:tr>
      <w:tr w:rsidR="00A0308E" w:rsidRPr="003B10E2" w14:paraId="0F2924E0"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10A956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New Huang Pu Industrial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E12160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504.19</w:t>
            </w:r>
          </w:p>
        </w:tc>
        <w:tc>
          <w:tcPr>
            <w:tcW w:w="957" w:type="dxa"/>
            <w:tcBorders>
              <w:top w:val="nil"/>
              <w:left w:val="nil"/>
              <w:bottom w:val="single" w:sz="4" w:space="0" w:color="000000"/>
              <w:right w:val="single" w:sz="4" w:space="0" w:color="000000"/>
            </w:tcBorders>
            <w:shd w:val="clear" w:color="auto" w:fill="auto"/>
            <w:noWrap/>
            <w:vAlign w:val="bottom"/>
            <w:hideMark/>
          </w:tcPr>
          <w:p w14:paraId="56E4491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5.35</w:t>
            </w:r>
          </w:p>
        </w:tc>
        <w:tc>
          <w:tcPr>
            <w:tcW w:w="1418" w:type="dxa"/>
            <w:tcBorders>
              <w:top w:val="nil"/>
              <w:left w:val="nil"/>
              <w:bottom w:val="single" w:sz="4" w:space="0" w:color="000000"/>
              <w:right w:val="single" w:sz="4" w:space="0" w:color="000000"/>
            </w:tcBorders>
            <w:shd w:val="clear" w:color="auto" w:fill="auto"/>
            <w:noWrap/>
            <w:vAlign w:val="bottom"/>
            <w:hideMark/>
          </w:tcPr>
          <w:p w14:paraId="0ED4A77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8.26</w:t>
            </w:r>
          </w:p>
        </w:tc>
      </w:tr>
      <w:tr w:rsidR="00A0308E" w:rsidRPr="003B10E2" w14:paraId="436DBFD6"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878520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New World,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AEFE0A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706.13</w:t>
            </w:r>
          </w:p>
        </w:tc>
        <w:tc>
          <w:tcPr>
            <w:tcW w:w="957" w:type="dxa"/>
            <w:tcBorders>
              <w:top w:val="nil"/>
              <w:left w:val="nil"/>
              <w:bottom w:val="single" w:sz="4" w:space="0" w:color="000000"/>
              <w:right w:val="single" w:sz="4" w:space="0" w:color="000000"/>
            </w:tcBorders>
            <w:shd w:val="clear" w:color="auto" w:fill="auto"/>
            <w:noWrap/>
            <w:vAlign w:val="bottom"/>
            <w:hideMark/>
          </w:tcPr>
          <w:p w14:paraId="5F899DF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7.80</w:t>
            </w:r>
          </w:p>
        </w:tc>
        <w:tc>
          <w:tcPr>
            <w:tcW w:w="1418" w:type="dxa"/>
            <w:tcBorders>
              <w:top w:val="nil"/>
              <w:left w:val="nil"/>
              <w:bottom w:val="single" w:sz="4" w:space="0" w:color="000000"/>
              <w:right w:val="single" w:sz="4" w:space="0" w:color="000000"/>
            </w:tcBorders>
            <w:shd w:val="clear" w:color="auto" w:fill="auto"/>
            <w:noWrap/>
            <w:vAlign w:val="bottom"/>
            <w:hideMark/>
          </w:tcPr>
          <w:p w14:paraId="3D7EC58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20.25</w:t>
            </w:r>
          </w:p>
        </w:tc>
      </w:tr>
      <w:tr w:rsidR="00A0308E" w:rsidRPr="003B10E2" w14:paraId="6B88F82A"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4655A1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No1 Pharmacy,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F3F27E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440.83</w:t>
            </w:r>
          </w:p>
        </w:tc>
        <w:tc>
          <w:tcPr>
            <w:tcW w:w="957" w:type="dxa"/>
            <w:tcBorders>
              <w:top w:val="nil"/>
              <w:left w:val="nil"/>
              <w:bottom w:val="single" w:sz="4" w:space="0" w:color="000000"/>
              <w:right w:val="single" w:sz="4" w:space="0" w:color="000000"/>
            </w:tcBorders>
            <w:shd w:val="clear" w:color="auto" w:fill="auto"/>
            <w:noWrap/>
            <w:vAlign w:val="bottom"/>
            <w:hideMark/>
          </w:tcPr>
          <w:p w14:paraId="54E9F40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14.12</w:t>
            </w:r>
          </w:p>
        </w:tc>
        <w:tc>
          <w:tcPr>
            <w:tcW w:w="1418" w:type="dxa"/>
            <w:tcBorders>
              <w:top w:val="nil"/>
              <w:left w:val="nil"/>
              <w:bottom w:val="single" w:sz="4" w:space="0" w:color="000000"/>
              <w:right w:val="single" w:sz="4" w:space="0" w:color="000000"/>
            </w:tcBorders>
            <w:shd w:val="clear" w:color="auto" w:fill="auto"/>
            <w:noWrap/>
            <w:vAlign w:val="bottom"/>
            <w:hideMark/>
          </w:tcPr>
          <w:p w14:paraId="2E436BB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102.17</w:t>
            </w:r>
          </w:p>
        </w:tc>
      </w:tr>
      <w:tr w:rsidR="00A0308E" w:rsidRPr="003B10E2" w14:paraId="6B55F8DB"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0A5608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OPM Biosciences,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3755C9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286DA0C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47.00</w:t>
            </w:r>
          </w:p>
        </w:tc>
        <w:tc>
          <w:tcPr>
            <w:tcW w:w="1418" w:type="dxa"/>
            <w:tcBorders>
              <w:top w:val="nil"/>
              <w:left w:val="nil"/>
              <w:bottom w:val="single" w:sz="4" w:space="0" w:color="000000"/>
              <w:right w:val="single" w:sz="4" w:space="0" w:color="000000"/>
            </w:tcBorders>
            <w:shd w:val="clear" w:color="auto" w:fill="auto"/>
            <w:noWrap/>
            <w:vAlign w:val="bottom"/>
            <w:hideMark/>
          </w:tcPr>
          <w:p w14:paraId="10BE307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37.01</w:t>
            </w:r>
          </w:p>
        </w:tc>
      </w:tr>
      <w:tr w:rsidR="00A0308E" w:rsidRPr="003B10E2" w14:paraId="6F6AA662"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C38C92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Orient-Chip Technolog,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98A47C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18F01F8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76.39</w:t>
            </w:r>
          </w:p>
        </w:tc>
        <w:tc>
          <w:tcPr>
            <w:tcW w:w="1418" w:type="dxa"/>
            <w:tcBorders>
              <w:top w:val="nil"/>
              <w:left w:val="nil"/>
              <w:bottom w:val="single" w:sz="4" w:space="0" w:color="000000"/>
              <w:right w:val="single" w:sz="4" w:space="0" w:color="000000"/>
            </w:tcBorders>
            <w:shd w:val="clear" w:color="auto" w:fill="auto"/>
            <w:noWrap/>
            <w:vAlign w:val="bottom"/>
            <w:hideMark/>
          </w:tcPr>
          <w:p w14:paraId="4EF6DC3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123.36</w:t>
            </w:r>
          </w:p>
        </w:tc>
      </w:tr>
      <w:tr w:rsidR="00A0308E" w:rsidRPr="003B10E2" w14:paraId="5E251E4A"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97DE23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Oriental Pearl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D5CC92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4 099.98</w:t>
            </w:r>
          </w:p>
        </w:tc>
        <w:tc>
          <w:tcPr>
            <w:tcW w:w="957" w:type="dxa"/>
            <w:tcBorders>
              <w:top w:val="nil"/>
              <w:left w:val="nil"/>
              <w:bottom w:val="single" w:sz="4" w:space="0" w:color="000000"/>
              <w:right w:val="single" w:sz="4" w:space="0" w:color="000000"/>
            </w:tcBorders>
            <w:shd w:val="clear" w:color="auto" w:fill="auto"/>
            <w:noWrap/>
            <w:vAlign w:val="bottom"/>
            <w:hideMark/>
          </w:tcPr>
          <w:p w14:paraId="0B9E91B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8.58</w:t>
            </w:r>
          </w:p>
        </w:tc>
        <w:tc>
          <w:tcPr>
            <w:tcW w:w="1418" w:type="dxa"/>
            <w:tcBorders>
              <w:top w:val="nil"/>
              <w:left w:val="nil"/>
              <w:bottom w:val="single" w:sz="4" w:space="0" w:color="000000"/>
              <w:right w:val="single" w:sz="4" w:space="0" w:color="000000"/>
            </w:tcBorders>
            <w:shd w:val="clear" w:color="auto" w:fill="auto"/>
            <w:noWrap/>
            <w:vAlign w:val="bottom"/>
            <w:hideMark/>
          </w:tcPr>
          <w:p w14:paraId="5D493FE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348.15</w:t>
            </w:r>
          </w:p>
        </w:tc>
      </w:tr>
      <w:tr w:rsidR="00A0308E" w:rsidRPr="003B10E2" w14:paraId="2C16891C"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107DE8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Originaldow Advanced Compounds,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5F03B6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397.01</w:t>
            </w:r>
          </w:p>
        </w:tc>
        <w:tc>
          <w:tcPr>
            <w:tcW w:w="957" w:type="dxa"/>
            <w:tcBorders>
              <w:top w:val="nil"/>
              <w:left w:val="nil"/>
              <w:bottom w:val="single" w:sz="4" w:space="0" w:color="000000"/>
              <w:right w:val="single" w:sz="4" w:space="0" w:color="000000"/>
            </w:tcBorders>
            <w:shd w:val="clear" w:color="auto" w:fill="auto"/>
            <w:noWrap/>
            <w:vAlign w:val="bottom"/>
            <w:hideMark/>
          </w:tcPr>
          <w:p w14:paraId="5C24BDC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38.06</w:t>
            </w:r>
          </w:p>
        </w:tc>
        <w:tc>
          <w:tcPr>
            <w:tcW w:w="1418" w:type="dxa"/>
            <w:tcBorders>
              <w:top w:val="nil"/>
              <w:left w:val="nil"/>
              <w:bottom w:val="single" w:sz="4" w:space="0" w:color="000000"/>
              <w:right w:val="single" w:sz="4" w:space="0" w:color="000000"/>
            </w:tcBorders>
            <w:shd w:val="clear" w:color="auto" w:fill="auto"/>
            <w:noWrap/>
            <w:vAlign w:val="bottom"/>
            <w:hideMark/>
          </w:tcPr>
          <w:p w14:paraId="08908A4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8.66</w:t>
            </w:r>
          </w:p>
        </w:tc>
      </w:tr>
      <w:tr w:rsidR="00A0308E" w:rsidRPr="003B10E2" w14:paraId="5BB76036"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796C88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Pharmaceuticals 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E98605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5 888.41</w:t>
            </w:r>
          </w:p>
        </w:tc>
        <w:tc>
          <w:tcPr>
            <w:tcW w:w="957" w:type="dxa"/>
            <w:tcBorders>
              <w:top w:val="nil"/>
              <w:left w:val="nil"/>
              <w:bottom w:val="single" w:sz="4" w:space="0" w:color="000000"/>
              <w:right w:val="single" w:sz="4" w:space="0" w:color="000000"/>
            </w:tcBorders>
            <w:shd w:val="clear" w:color="auto" w:fill="auto"/>
            <w:noWrap/>
            <w:vAlign w:val="bottom"/>
            <w:hideMark/>
          </w:tcPr>
          <w:p w14:paraId="66B621A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21.88</w:t>
            </w:r>
          </w:p>
        </w:tc>
        <w:tc>
          <w:tcPr>
            <w:tcW w:w="1418" w:type="dxa"/>
            <w:tcBorders>
              <w:top w:val="nil"/>
              <w:left w:val="nil"/>
              <w:bottom w:val="single" w:sz="4" w:space="0" w:color="000000"/>
              <w:right w:val="single" w:sz="4" w:space="0" w:color="000000"/>
            </w:tcBorders>
            <w:shd w:val="clear" w:color="auto" w:fill="auto"/>
            <w:noWrap/>
            <w:vAlign w:val="bottom"/>
            <w:hideMark/>
          </w:tcPr>
          <w:p w14:paraId="743621B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328.12</w:t>
            </w:r>
          </w:p>
        </w:tc>
      </w:tr>
      <w:tr w:rsidR="00A0308E" w:rsidRPr="003B10E2" w14:paraId="795C567E"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4F2DA7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Phoenix Enterprise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3B337A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809.12</w:t>
            </w:r>
          </w:p>
        </w:tc>
        <w:tc>
          <w:tcPr>
            <w:tcW w:w="957" w:type="dxa"/>
            <w:tcBorders>
              <w:top w:val="nil"/>
              <w:left w:val="nil"/>
              <w:bottom w:val="single" w:sz="4" w:space="0" w:color="000000"/>
              <w:right w:val="single" w:sz="4" w:space="0" w:color="000000"/>
            </w:tcBorders>
            <w:shd w:val="clear" w:color="auto" w:fill="auto"/>
            <w:noWrap/>
            <w:vAlign w:val="bottom"/>
            <w:hideMark/>
          </w:tcPr>
          <w:p w14:paraId="5D6B059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11.22</w:t>
            </w:r>
          </w:p>
        </w:tc>
        <w:tc>
          <w:tcPr>
            <w:tcW w:w="1418" w:type="dxa"/>
            <w:tcBorders>
              <w:top w:val="nil"/>
              <w:left w:val="nil"/>
              <w:bottom w:val="single" w:sz="4" w:space="0" w:color="000000"/>
              <w:right w:val="single" w:sz="4" w:space="0" w:color="000000"/>
            </w:tcBorders>
            <w:shd w:val="clear" w:color="auto" w:fill="auto"/>
            <w:noWrap/>
            <w:vAlign w:val="bottom"/>
            <w:hideMark/>
          </w:tcPr>
          <w:p w14:paraId="6DC3533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169.74</w:t>
            </w:r>
          </w:p>
        </w:tc>
      </w:tr>
      <w:tr w:rsidR="00A0308E" w:rsidRPr="003B10E2" w14:paraId="62C8136D"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66F272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Phoenix Enterprise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13E7F2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65A0CF8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0.37</w:t>
            </w:r>
          </w:p>
        </w:tc>
        <w:tc>
          <w:tcPr>
            <w:tcW w:w="1418" w:type="dxa"/>
            <w:tcBorders>
              <w:top w:val="nil"/>
              <w:left w:val="nil"/>
              <w:bottom w:val="single" w:sz="4" w:space="0" w:color="000000"/>
              <w:right w:val="single" w:sz="4" w:space="0" w:color="000000"/>
            </w:tcBorders>
            <w:shd w:val="clear" w:color="auto" w:fill="auto"/>
            <w:noWrap/>
            <w:vAlign w:val="bottom"/>
            <w:hideMark/>
          </w:tcPr>
          <w:p w14:paraId="6546A8D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0.61</w:t>
            </w:r>
          </w:p>
        </w:tc>
      </w:tr>
      <w:tr w:rsidR="00A0308E" w:rsidRPr="003B10E2" w14:paraId="3D64F52F"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09E15D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Prisemi 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BB8996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387.52</w:t>
            </w:r>
          </w:p>
        </w:tc>
        <w:tc>
          <w:tcPr>
            <w:tcW w:w="957" w:type="dxa"/>
            <w:tcBorders>
              <w:top w:val="nil"/>
              <w:left w:val="nil"/>
              <w:bottom w:val="single" w:sz="4" w:space="0" w:color="000000"/>
              <w:right w:val="single" w:sz="4" w:space="0" w:color="000000"/>
            </w:tcBorders>
            <w:shd w:val="clear" w:color="auto" w:fill="auto"/>
            <w:noWrap/>
            <w:vAlign w:val="bottom"/>
            <w:hideMark/>
          </w:tcPr>
          <w:p w14:paraId="33E18BB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46.15</w:t>
            </w:r>
          </w:p>
        </w:tc>
        <w:tc>
          <w:tcPr>
            <w:tcW w:w="1418" w:type="dxa"/>
            <w:tcBorders>
              <w:top w:val="nil"/>
              <w:left w:val="nil"/>
              <w:bottom w:val="single" w:sz="4" w:space="0" w:color="000000"/>
              <w:right w:val="single" w:sz="4" w:space="0" w:color="000000"/>
            </w:tcBorders>
            <w:shd w:val="clear" w:color="auto" w:fill="auto"/>
            <w:noWrap/>
            <w:vAlign w:val="bottom"/>
            <w:hideMark/>
          </w:tcPr>
          <w:p w14:paraId="6EB8AA2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25.83</w:t>
            </w:r>
          </w:p>
        </w:tc>
      </w:tr>
      <w:tr w:rsidR="00A0308E" w:rsidRPr="003B10E2" w14:paraId="6B371CCC"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51EE38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Prosolar Resources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D0B17D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313.13</w:t>
            </w:r>
          </w:p>
        </w:tc>
        <w:tc>
          <w:tcPr>
            <w:tcW w:w="957" w:type="dxa"/>
            <w:tcBorders>
              <w:top w:val="nil"/>
              <w:left w:val="nil"/>
              <w:bottom w:val="single" w:sz="4" w:space="0" w:color="000000"/>
              <w:right w:val="single" w:sz="4" w:space="0" w:color="000000"/>
            </w:tcBorders>
            <w:shd w:val="clear" w:color="auto" w:fill="auto"/>
            <w:noWrap/>
            <w:vAlign w:val="bottom"/>
            <w:hideMark/>
          </w:tcPr>
          <w:p w14:paraId="5D9D971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5.26</w:t>
            </w:r>
          </w:p>
        </w:tc>
        <w:tc>
          <w:tcPr>
            <w:tcW w:w="1418" w:type="dxa"/>
            <w:tcBorders>
              <w:top w:val="nil"/>
              <w:left w:val="nil"/>
              <w:bottom w:val="single" w:sz="4" w:space="0" w:color="000000"/>
              <w:right w:val="single" w:sz="4" w:space="0" w:color="000000"/>
            </w:tcBorders>
            <w:shd w:val="clear" w:color="auto" w:fill="auto"/>
            <w:noWrap/>
            <w:vAlign w:val="bottom"/>
            <w:hideMark/>
          </w:tcPr>
          <w:p w14:paraId="01BA82C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10.83</w:t>
            </w:r>
          </w:p>
        </w:tc>
      </w:tr>
      <w:tr w:rsidR="00A0308E" w:rsidRPr="003B10E2" w14:paraId="4564E720"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C58B38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Pudong Development Bank,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1EBFE5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30 644.07</w:t>
            </w:r>
          </w:p>
        </w:tc>
        <w:tc>
          <w:tcPr>
            <w:tcW w:w="957" w:type="dxa"/>
            <w:tcBorders>
              <w:top w:val="nil"/>
              <w:left w:val="nil"/>
              <w:bottom w:val="single" w:sz="4" w:space="0" w:color="000000"/>
              <w:right w:val="single" w:sz="4" w:space="0" w:color="000000"/>
            </w:tcBorders>
            <w:shd w:val="clear" w:color="auto" w:fill="auto"/>
            <w:noWrap/>
            <w:vAlign w:val="bottom"/>
            <w:hideMark/>
          </w:tcPr>
          <w:p w14:paraId="4589F1B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7.46</w:t>
            </w:r>
          </w:p>
        </w:tc>
        <w:tc>
          <w:tcPr>
            <w:tcW w:w="1418" w:type="dxa"/>
            <w:tcBorders>
              <w:top w:val="nil"/>
              <w:left w:val="nil"/>
              <w:bottom w:val="single" w:sz="4" w:space="0" w:color="000000"/>
              <w:right w:val="single" w:sz="4" w:space="0" w:color="000000"/>
            </w:tcBorders>
            <w:shd w:val="clear" w:color="auto" w:fill="auto"/>
            <w:noWrap/>
            <w:vAlign w:val="bottom"/>
            <w:hideMark/>
          </w:tcPr>
          <w:p w14:paraId="580B526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117.09</w:t>
            </w:r>
          </w:p>
        </w:tc>
      </w:tr>
      <w:tr w:rsidR="00A0308E" w:rsidRPr="003B10E2" w14:paraId="1BA75137"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B0388D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Pudong Road &amp; Bridge Construction,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1A4C41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825.58</w:t>
            </w:r>
          </w:p>
        </w:tc>
        <w:tc>
          <w:tcPr>
            <w:tcW w:w="957" w:type="dxa"/>
            <w:tcBorders>
              <w:top w:val="nil"/>
              <w:left w:val="nil"/>
              <w:bottom w:val="single" w:sz="4" w:space="0" w:color="000000"/>
              <w:right w:val="single" w:sz="4" w:space="0" w:color="000000"/>
            </w:tcBorders>
            <w:shd w:val="clear" w:color="auto" w:fill="auto"/>
            <w:noWrap/>
            <w:vAlign w:val="bottom"/>
            <w:hideMark/>
          </w:tcPr>
          <w:p w14:paraId="0903A47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6.08</w:t>
            </w:r>
          </w:p>
        </w:tc>
        <w:tc>
          <w:tcPr>
            <w:tcW w:w="1418" w:type="dxa"/>
            <w:tcBorders>
              <w:top w:val="nil"/>
              <w:left w:val="nil"/>
              <w:bottom w:val="single" w:sz="4" w:space="0" w:color="000000"/>
              <w:right w:val="single" w:sz="4" w:space="0" w:color="000000"/>
            </w:tcBorders>
            <w:shd w:val="clear" w:color="auto" w:fill="auto"/>
            <w:noWrap/>
            <w:vAlign w:val="bottom"/>
            <w:hideMark/>
          </w:tcPr>
          <w:p w14:paraId="6BC9113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46.49</w:t>
            </w:r>
          </w:p>
        </w:tc>
      </w:tr>
      <w:tr w:rsidR="00A0308E" w:rsidRPr="003B10E2" w14:paraId="370CE5CF"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CE36EC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Putailai New Energy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C1E23F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3 281.69</w:t>
            </w:r>
          </w:p>
        </w:tc>
        <w:tc>
          <w:tcPr>
            <w:tcW w:w="957" w:type="dxa"/>
            <w:tcBorders>
              <w:top w:val="nil"/>
              <w:left w:val="nil"/>
              <w:bottom w:val="single" w:sz="4" w:space="0" w:color="000000"/>
              <w:right w:val="single" w:sz="4" w:space="0" w:color="000000"/>
            </w:tcBorders>
            <w:shd w:val="clear" w:color="auto" w:fill="auto"/>
            <w:noWrap/>
            <w:vAlign w:val="bottom"/>
            <w:hideMark/>
          </w:tcPr>
          <w:p w14:paraId="6B5743E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33.77</w:t>
            </w:r>
          </w:p>
        </w:tc>
        <w:tc>
          <w:tcPr>
            <w:tcW w:w="1418" w:type="dxa"/>
            <w:tcBorders>
              <w:top w:val="nil"/>
              <w:left w:val="nil"/>
              <w:bottom w:val="single" w:sz="4" w:space="0" w:color="000000"/>
              <w:right w:val="single" w:sz="4" w:space="0" w:color="000000"/>
            </w:tcBorders>
            <w:shd w:val="clear" w:color="auto" w:fill="auto"/>
            <w:noWrap/>
            <w:vAlign w:val="bottom"/>
            <w:hideMark/>
          </w:tcPr>
          <w:p w14:paraId="0DD4C81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226.76</w:t>
            </w:r>
          </w:p>
        </w:tc>
      </w:tr>
      <w:tr w:rsidR="00A0308E" w:rsidRPr="003B10E2" w14:paraId="36F89142"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4D90CA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Qiangsheng 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5C7C72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1 919.46</w:t>
            </w:r>
          </w:p>
        </w:tc>
        <w:tc>
          <w:tcPr>
            <w:tcW w:w="957" w:type="dxa"/>
            <w:tcBorders>
              <w:top w:val="nil"/>
              <w:left w:val="nil"/>
              <w:bottom w:val="single" w:sz="4" w:space="0" w:color="000000"/>
              <w:right w:val="single" w:sz="4" w:space="0" w:color="000000"/>
            </w:tcBorders>
            <w:shd w:val="clear" w:color="auto" w:fill="auto"/>
            <w:noWrap/>
            <w:vAlign w:val="bottom"/>
            <w:hideMark/>
          </w:tcPr>
          <w:p w14:paraId="2C2EE9A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6.06</w:t>
            </w:r>
          </w:p>
        </w:tc>
        <w:tc>
          <w:tcPr>
            <w:tcW w:w="1418" w:type="dxa"/>
            <w:tcBorders>
              <w:top w:val="nil"/>
              <w:left w:val="nil"/>
              <w:bottom w:val="single" w:sz="4" w:space="0" w:color="000000"/>
              <w:right w:val="single" w:sz="4" w:space="0" w:color="000000"/>
            </w:tcBorders>
            <w:shd w:val="clear" w:color="auto" w:fill="auto"/>
            <w:noWrap/>
            <w:vAlign w:val="bottom"/>
            <w:hideMark/>
          </w:tcPr>
          <w:p w14:paraId="1EC642A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37.69</w:t>
            </w:r>
          </w:p>
        </w:tc>
      </w:tr>
      <w:tr w:rsidR="00A0308E" w:rsidRPr="003B10E2" w14:paraId="11EC282B"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8E9637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QiFan Cable,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C99F24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1 149.49</w:t>
            </w:r>
          </w:p>
        </w:tc>
        <w:tc>
          <w:tcPr>
            <w:tcW w:w="957" w:type="dxa"/>
            <w:tcBorders>
              <w:top w:val="nil"/>
              <w:left w:val="nil"/>
              <w:bottom w:val="single" w:sz="4" w:space="0" w:color="000000"/>
              <w:right w:val="single" w:sz="4" w:space="0" w:color="000000"/>
            </w:tcBorders>
            <w:shd w:val="clear" w:color="auto" w:fill="auto"/>
            <w:noWrap/>
            <w:vAlign w:val="bottom"/>
            <w:hideMark/>
          </w:tcPr>
          <w:p w14:paraId="28F02EB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19.64</w:t>
            </w:r>
          </w:p>
        </w:tc>
        <w:tc>
          <w:tcPr>
            <w:tcW w:w="1418" w:type="dxa"/>
            <w:tcBorders>
              <w:top w:val="nil"/>
              <w:left w:val="nil"/>
              <w:bottom w:val="single" w:sz="4" w:space="0" w:color="000000"/>
              <w:right w:val="single" w:sz="4" w:space="0" w:color="000000"/>
            </w:tcBorders>
            <w:shd w:val="clear" w:color="auto" w:fill="auto"/>
            <w:noWrap/>
            <w:vAlign w:val="bottom"/>
            <w:hideMark/>
          </w:tcPr>
          <w:p w14:paraId="213BE5D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22.50</w:t>
            </w:r>
          </w:p>
        </w:tc>
      </w:tr>
      <w:tr w:rsidR="00A0308E" w:rsidRPr="003B10E2" w14:paraId="521A4E36"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BCDB7A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Rendu Biotechnology,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E0BB78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728C3D1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43.65</w:t>
            </w:r>
          </w:p>
        </w:tc>
        <w:tc>
          <w:tcPr>
            <w:tcW w:w="1418" w:type="dxa"/>
            <w:tcBorders>
              <w:top w:val="nil"/>
              <w:left w:val="nil"/>
              <w:bottom w:val="single" w:sz="4" w:space="0" w:color="000000"/>
              <w:right w:val="single" w:sz="4" w:space="0" w:color="000000"/>
            </w:tcBorders>
            <w:shd w:val="clear" w:color="auto" w:fill="auto"/>
            <w:noWrap/>
            <w:vAlign w:val="bottom"/>
            <w:hideMark/>
          </w:tcPr>
          <w:p w14:paraId="091051A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3.23</w:t>
            </w:r>
          </w:p>
        </w:tc>
      </w:tr>
      <w:tr w:rsidR="00A0308E" w:rsidRPr="003B10E2" w14:paraId="0C9B93D3"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6374AD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Research Institute of Building Sciences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23E7F5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52A8A5D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18.59</w:t>
            </w:r>
          </w:p>
        </w:tc>
        <w:tc>
          <w:tcPr>
            <w:tcW w:w="1418" w:type="dxa"/>
            <w:tcBorders>
              <w:top w:val="nil"/>
              <w:left w:val="nil"/>
              <w:bottom w:val="single" w:sz="4" w:space="0" w:color="000000"/>
              <w:right w:val="single" w:sz="4" w:space="0" w:color="000000"/>
            </w:tcBorders>
            <w:shd w:val="clear" w:color="auto" w:fill="auto"/>
            <w:noWrap/>
            <w:vAlign w:val="bottom"/>
            <w:hideMark/>
          </w:tcPr>
          <w:p w14:paraId="2AEE220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65.09</w:t>
            </w:r>
          </w:p>
        </w:tc>
      </w:tr>
      <w:tr w:rsidR="00A0308E" w:rsidRPr="003B10E2" w14:paraId="1DF68212"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782CB1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Rightongene Biotechnology,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FB6D99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313.06</w:t>
            </w:r>
          </w:p>
        </w:tc>
        <w:tc>
          <w:tcPr>
            <w:tcW w:w="957" w:type="dxa"/>
            <w:tcBorders>
              <w:top w:val="nil"/>
              <w:left w:val="nil"/>
              <w:bottom w:val="single" w:sz="4" w:space="0" w:color="000000"/>
              <w:right w:val="single" w:sz="4" w:space="0" w:color="000000"/>
            </w:tcBorders>
            <w:shd w:val="clear" w:color="auto" w:fill="auto"/>
            <w:noWrap/>
            <w:vAlign w:val="bottom"/>
            <w:hideMark/>
          </w:tcPr>
          <w:p w14:paraId="24C78A8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40.25</w:t>
            </w:r>
          </w:p>
        </w:tc>
        <w:tc>
          <w:tcPr>
            <w:tcW w:w="1418" w:type="dxa"/>
            <w:tcBorders>
              <w:top w:val="nil"/>
              <w:left w:val="nil"/>
              <w:bottom w:val="single" w:sz="4" w:space="0" w:color="000000"/>
              <w:right w:val="single" w:sz="4" w:space="0" w:color="000000"/>
            </w:tcBorders>
            <w:shd w:val="clear" w:color="auto" w:fill="auto"/>
            <w:noWrap/>
            <w:vAlign w:val="bottom"/>
            <w:hideMark/>
          </w:tcPr>
          <w:p w14:paraId="161AD1F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21.65</w:t>
            </w:r>
          </w:p>
        </w:tc>
      </w:tr>
      <w:tr w:rsidR="00A0308E" w:rsidRPr="003B10E2" w14:paraId="762DC40A"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4E8B7F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Rongtai Health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EE761B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408.52</w:t>
            </w:r>
          </w:p>
        </w:tc>
        <w:tc>
          <w:tcPr>
            <w:tcW w:w="957" w:type="dxa"/>
            <w:tcBorders>
              <w:top w:val="nil"/>
              <w:left w:val="nil"/>
              <w:bottom w:val="single" w:sz="4" w:space="0" w:color="000000"/>
              <w:right w:val="single" w:sz="4" w:space="0" w:color="000000"/>
            </w:tcBorders>
            <w:shd w:val="clear" w:color="auto" w:fill="auto"/>
            <w:noWrap/>
            <w:vAlign w:val="bottom"/>
            <w:hideMark/>
          </w:tcPr>
          <w:p w14:paraId="4D9D810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20.85</w:t>
            </w:r>
          </w:p>
        </w:tc>
        <w:tc>
          <w:tcPr>
            <w:tcW w:w="1418" w:type="dxa"/>
            <w:tcBorders>
              <w:top w:val="nil"/>
              <w:left w:val="nil"/>
              <w:bottom w:val="single" w:sz="4" w:space="0" w:color="000000"/>
              <w:right w:val="single" w:sz="4" w:space="0" w:color="000000"/>
            </w:tcBorders>
            <w:shd w:val="clear" w:color="auto" w:fill="auto"/>
            <w:noWrap/>
            <w:vAlign w:val="bottom"/>
            <w:hideMark/>
          </w:tcPr>
          <w:p w14:paraId="2E6BBC9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22.59</w:t>
            </w:r>
          </w:p>
        </w:tc>
      </w:tr>
      <w:tr w:rsidR="00A0308E" w:rsidRPr="003B10E2" w14:paraId="233B0F2B"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4C6AAC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Runda Medical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4921A3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1 172.78</w:t>
            </w:r>
          </w:p>
        </w:tc>
        <w:tc>
          <w:tcPr>
            <w:tcW w:w="957" w:type="dxa"/>
            <w:tcBorders>
              <w:top w:val="nil"/>
              <w:left w:val="nil"/>
              <w:bottom w:val="single" w:sz="4" w:space="0" w:color="000000"/>
              <w:right w:val="single" w:sz="4" w:space="0" w:color="000000"/>
            </w:tcBorders>
            <w:shd w:val="clear" w:color="auto" w:fill="auto"/>
            <w:noWrap/>
            <w:vAlign w:val="bottom"/>
            <w:hideMark/>
          </w:tcPr>
          <w:p w14:paraId="540470D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14.46</w:t>
            </w:r>
          </w:p>
        </w:tc>
        <w:tc>
          <w:tcPr>
            <w:tcW w:w="1418" w:type="dxa"/>
            <w:tcBorders>
              <w:top w:val="nil"/>
              <w:left w:val="nil"/>
              <w:bottom w:val="single" w:sz="4" w:space="0" w:color="000000"/>
              <w:right w:val="single" w:sz="4" w:space="0" w:color="000000"/>
            </w:tcBorders>
            <w:shd w:val="clear" w:color="auto" w:fill="auto"/>
            <w:noWrap/>
            <w:vAlign w:val="bottom"/>
            <w:hideMark/>
          </w:tcPr>
          <w:p w14:paraId="496ADA0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562.60</w:t>
            </w:r>
          </w:p>
        </w:tc>
      </w:tr>
      <w:tr w:rsidR="00A0308E" w:rsidRPr="003B10E2" w14:paraId="0C735A3E"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BC1A92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Rural Commercial Bank,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F842B4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7 909.38</w:t>
            </w:r>
          </w:p>
        </w:tc>
        <w:tc>
          <w:tcPr>
            <w:tcW w:w="957" w:type="dxa"/>
            <w:tcBorders>
              <w:top w:val="nil"/>
              <w:left w:val="nil"/>
              <w:bottom w:val="single" w:sz="4" w:space="0" w:color="000000"/>
              <w:right w:val="single" w:sz="4" w:space="0" w:color="000000"/>
            </w:tcBorders>
            <w:shd w:val="clear" w:color="auto" w:fill="auto"/>
            <w:noWrap/>
            <w:vAlign w:val="bottom"/>
            <w:hideMark/>
          </w:tcPr>
          <w:p w14:paraId="4C7CBC9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5.86</w:t>
            </w:r>
          </w:p>
        </w:tc>
        <w:tc>
          <w:tcPr>
            <w:tcW w:w="1418" w:type="dxa"/>
            <w:tcBorders>
              <w:top w:val="nil"/>
              <w:left w:val="nil"/>
              <w:bottom w:val="single" w:sz="4" w:space="0" w:color="000000"/>
              <w:right w:val="single" w:sz="4" w:space="0" w:color="000000"/>
            </w:tcBorders>
            <w:shd w:val="clear" w:color="auto" w:fill="auto"/>
            <w:noWrap/>
            <w:vAlign w:val="bottom"/>
            <w:hideMark/>
          </w:tcPr>
          <w:p w14:paraId="685B2A5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31.33</w:t>
            </w:r>
          </w:p>
        </w:tc>
      </w:tr>
      <w:tr w:rsidR="00A0308E" w:rsidRPr="003B10E2" w14:paraId="1A898D47"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059B6D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Sanmao Enterprise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CC755E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261.88</w:t>
            </w:r>
          </w:p>
        </w:tc>
        <w:tc>
          <w:tcPr>
            <w:tcW w:w="957" w:type="dxa"/>
            <w:tcBorders>
              <w:top w:val="nil"/>
              <w:left w:val="nil"/>
              <w:bottom w:val="single" w:sz="4" w:space="0" w:color="000000"/>
              <w:right w:val="single" w:sz="4" w:space="0" w:color="000000"/>
            </w:tcBorders>
            <w:shd w:val="clear" w:color="auto" w:fill="auto"/>
            <w:noWrap/>
            <w:vAlign w:val="bottom"/>
            <w:hideMark/>
          </w:tcPr>
          <w:p w14:paraId="163760E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9.31</w:t>
            </w:r>
          </w:p>
        </w:tc>
        <w:tc>
          <w:tcPr>
            <w:tcW w:w="1418" w:type="dxa"/>
            <w:tcBorders>
              <w:top w:val="nil"/>
              <w:left w:val="nil"/>
              <w:bottom w:val="single" w:sz="4" w:space="0" w:color="000000"/>
              <w:right w:val="single" w:sz="4" w:space="0" w:color="000000"/>
            </w:tcBorders>
            <w:shd w:val="clear" w:color="auto" w:fill="auto"/>
            <w:noWrap/>
            <w:vAlign w:val="bottom"/>
            <w:hideMark/>
          </w:tcPr>
          <w:p w14:paraId="658E2E0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26.20</w:t>
            </w:r>
          </w:p>
        </w:tc>
      </w:tr>
      <w:tr w:rsidR="00A0308E" w:rsidRPr="003B10E2" w14:paraId="298AF417" w14:textId="77777777" w:rsidTr="00A0308E">
        <w:trPr>
          <w:trHeight w:val="300"/>
        </w:trPr>
        <w:tc>
          <w:tcPr>
            <w:tcW w:w="4815" w:type="dxa"/>
            <w:tcBorders>
              <w:top w:val="nil"/>
              <w:left w:val="single" w:sz="4" w:space="0" w:color="000000"/>
              <w:bottom w:val="single" w:sz="4" w:space="0" w:color="auto"/>
              <w:right w:val="single" w:sz="4" w:space="0" w:color="000000"/>
            </w:tcBorders>
            <w:shd w:val="clear" w:color="auto" w:fill="auto"/>
            <w:noWrap/>
            <w:vAlign w:val="bottom"/>
            <w:hideMark/>
          </w:tcPr>
          <w:p w14:paraId="29FDAD7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Sanmao Enterprise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auto"/>
              <w:right w:val="single" w:sz="4" w:space="0" w:color="000000"/>
            </w:tcBorders>
            <w:shd w:val="clear" w:color="auto" w:fill="auto"/>
            <w:noWrap/>
            <w:vAlign w:val="bottom"/>
            <w:hideMark/>
          </w:tcPr>
          <w:p w14:paraId="03F5864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auto"/>
              <w:right w:val="single" w:sz="4" w:space="0" w:color="000000"/>
            </w:tcBorders>
            <w:shd w:val="clear" w:color="auto" w:fill="auto"/>
            <w:noWrap/>
            <w:vAlign w:val="bottom"/>
            <w:hideMark/>
          </w:tcPr>
          <w:p w14:paraId="7D2E156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0.45</w:t>
            </w:r>
          </w:p>
        </w:tc>
        <w:tc>
          <w:tcPr>
            <w:tcW w:w="1418" w:type="dxa"/>
            <w:tcBorders>
              <w:top w:val="nil"/>
              <w:left w:val="nil"/>
              <w:bottom w:val="single" w:sz="4" w:space="0" w:color="auto"/>
              <w:right w:val="single" w:sz="4" w:space="0" w:color="000000"/>
            </w:tcBorders>
            <w:shd w:val="clear" w:color="auto" w:fill="auto"/>
            <w:noWrap/>
            <w:vAlign w:val="bottom"/>
            <w:hideMark/>
          </w:tcPr>
          <w:p w14:paraId="6BF8240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0.02</w:t>
            </w:r>
          </w:p>
        </w:tc>
      </w:tr>
      <w:tr w:rsidR="00A0308E" w:rsidRPr="003B10E2" w14:paraId="38949CF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2DE3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Sanyou Medical,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39EE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769.84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2C86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26.79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4DCBE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20.40</w:t>
            </w:r>
          </w:p>
        </w:tc>
      </w:tr>
      <w:tr w:rsidR="00A0308E" w:rsidRPr="003B10E2" w14:paraId="5822725C" w14:textId="77777777" w:rsidTr="00A0308E">
        <w:trPr>
          <w:trHeight w:val="300"/>
        </w:trPr>
        <w:tc>
          <w:tcPr>
            <w:tcW w:w="481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85651D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Shen Lian Biomedical,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nil"/>
              <w:bottom w:val="single" w:sz="4" w:space="0" w:color="000000"/>
              <w:right w:val="single" w:sz="4" w:space="0" w:color="000000"/>
            </w:tcBorders>
            <w:shd w:val="clear" w:color="auto" w:fill="auto"/>
            <w:noWrap/>
            <w:vAlign w:val="bottom"/>
            <w:hideMark/>
          </w:tcPr>
          <w:p w14:paraId="628DD7E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421.25</w:t>
            </w:r>
          </w:p>
        </w:tc>
        <w:tc>
          <w:tcPr>
            <w:tcW w:w="957" w:type="dxa"/>
            <w:tcBorders>
              <w:top w:val="single" w:sz="4" w:space="0" w:color="auto"/>
              <w:left w:val="nil"/>
              <w:bottom w:val="single" w:sz="4" w:space="0" w:color="000000"/>
              <w:right w:val="single" w:sz="4" w:space="0" w:color="000000"/>
            </w:tcBorders>
            <w:shd w:val="clear" w:color="auto" w:fill="auto"/>
            <w:noWrap/>
            <w:vAlign w:val="bottom"/>
            <w:hideMark/>
          </w:tcPr>
          <w:p w14:paraId="76A19BD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7.33</w:t>
            </w:r>
          </w:p>
        </w:tc>
        <w:tc>
          <w:tcPr>
            <w:tcW w:w="1418" w:type="dxa"/>
            <w:tcBorders>
              <w:top w:val="single" w:sz="4" w:space="0" w:color="auto"/>
              <w:left w:val="nil"/>
              <w:bottom w:val="single" w:sz="4" w:space="0" w:color="000000"/>
              <w:right w:val="single" w:sz="4" w:space="0" w:color="000000"/>
            </w:tcBorders>
            <w:shd w:val="clear" w:color="auto" w:fill="auto"/>
            <w:noWrap/>
            <w:vAlign w:val="bottom"/>
            <w:hideMark/>
          </w:tcPr>
          <w:p w14:paraId="30E4E49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9.69</w:t>
            </w:r>
          </w:p>
        </w:tc>
      </w:tr>
      <w:tr w:rsidR="00A0308E" w:rsidRPr="003B10E2" w14:paraId="7409EF42"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C8A16C7"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Shanghai Shenda,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1898A49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576.82</w:t>
            </w:r>
          </w:p>
        </w:tc>
        <w:tc>
          <w:tcPr>
            <w:tcW w:w="957" w:type="dxa"/>
            <w:tcBorders>
              <w:top w:val="nil"/>
              <w:left w:val="nil"/>
              <w:bottom w:val="single" w:sz="4" w:space="0" w:color="000000"/>
              <w:right w:val="single" w:sz="4" w:space="0" w:color="000000"/>
            </w:tcBorders>
            <w:shd w:val="clear" w:color="auto" w:fill="auto"/>
            <w:noWrap/>
            <w:vAlign w:val="bottom"/>
            <w:hideMark/>
          </w:tcPr>
          <w:p w14:paraId="32EEF59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3.72</w:t>
            </w:r>
          </w:p>
        </w:tc>
        <w:tc>
          <w:tcPr>
            <w:tcW w:w="1418" w:type="dxa"/>
            <w:tcBorders>
              <w:top w:val="nil"/>
              <w:left w:val="nil"/>
              <w:bottom w:val="single" w:sz="4" w:space="0" w:color="000000"/>
              <w:right w:val="single" w:sz="4" w:space="0" w:color="000000"/>
            </w:tcBorders>
            <w:shd w:val="clear" w:color="auto" w:fill="auto"/>
            <w:noWrap/>
            <w:vAlign w:val="bottom"/>
            <w:hideMark/>
          </w:tcPr>
          <w:p w14:paraId="14509FA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77.74</w:t>
            </w:r>
          </w:p>
        </w:tc>
      </w:tr>
      <w:tr w:rsidR="00A0308E" w:rsidRPr="003B10E2" w14:paraId="71DE56F8"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C2CA12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Sheng Jian Environment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72F177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662.92</w:t>
            </w:r>
          </w:p>
        </w:tc>
        <w:tc>
          <w:tcPr>
            <w:tcW w:w="957" w:type="dxa"/>
            <w:tcBorders>
              <w:top w:val="nil"/>
              <w:left w:val="nil"/>
              <w:bottom w:val="single" w:sz="4" w:space="0" w:color="000000"/>
              <w:right w:val="single" w:sz="4" w:space="0" w:color="000000"/>
            </w:tcBorders>
            <w:shd w:val="clear" w:color="auto" w:fill="auto"/>
            <w:noWrap/>
            <w:vAlign w:val="bottom"/>
            <w:hideMark/>
          </w:tcPr>
          <w:p w14:paraId="04A49A0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37.86</w:t>
            </w:r>
          </w:p>
        </w:tc>
        <w:tc>
          <w:tcPr>
            <w:tcW w:w="1418" w:type="dxa"/>
            <w:tcBorders>
              <w:top w:val="nil"/>
              <w:left w:val="nil"/>
              <w:bottom w:val="single" w:sz="4" w:space="0" w:color="000000"/>
              <w:right w:val="single" w:sz="4" w:space="0" w:color="000000"/>
            </w:tcBorders>
            <w:shd w:val="clear" w:color="auto" w:fill="auto"/>
            <w:noWrap/>
            <w:vAlign w:val="bottom"/>
            <w:hideMark/>
          </w:tcPr>
          <w:p w14:paraId="39B50DC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21.03</w:t>
            </w:r>
          </w:p>
        </w:tc>
      </w:tr>
      <w:tr w:rsidR="00A0308E" w:rsidRPr="003B10E2" w14:paraId="77B3E241"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9BB537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Shenhua Holdings,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27DE15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498.48</w:t>
            </w:r>
          </w:p>
        </w:tc>
        <w:tc>
          <w:tcPr>
            <w:tcW w:w="957" w:type="dxa"/>
            <w:tcBorders>
              <w:top w:val="nil"/>
              <w:left w:val="nil"/>
              <w:bottom w:val="single" w:sz="4" w:space="0" w:color="000000"/>
              <w:right w:val="single" w:sz="4" w:space="0" w:color="000000"/>
            </w:tcBorders>
            <w:shd w:val="clear" w:color="auto" w:fill="auto"/>
            <w:noWrap/>
            <w:vAlign w:val="bottom"/>
            <w:hideMark/>
          </w:tcPr>
          <w:p w14:paraId="52396EE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1.83</w:t>
            </w:r>
          </w:p>
        </w:tc>
        <w:tc>
          <w:tcPr>
            <w:tcW w:w="1418" w:type="dxa"/>
            <w:tcBorders>
              <w:top w:val="nil"/>
              <w:left w:val="nil"/>
              <w:bottom w:val="single" w:sz="4" w:space="0" w:color="000000"/>
              <w:right w:val="single" w:sz="4" w:space="0" w:color="000000"/>
            </w:tcBorders>
            <w:shd w:val="clear" w:color="auto" w:fill="auto"/>
            <w:noWrap/>
            <w:vAlign w:val="bottom"/>
            <w:hideMark/>
          </w:tcPr>
          <w:p w14:paraId="005FD67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23.31</w:t>
            </w:r>
          </w:p>
        </w:tc>
      </w:tr>
      <w:tr w:rsidR="00A0308E" w:rsidRPr="003B10E2" w14:paraId="70CA0F45"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AFBD2F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Shenqi Pharmaceutical Investment Management,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9D8756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497.78</w:t>
            </w:r>
          </w:p>
        </w:tc>
        <w:tc>
          <w:tcPr>
            <w:tcW w:w="957" w:type="dxa"/>
            <w:tcBorders>
              <w:top w:val="nil"/>
              <w:left w:val="nil"/>
              <w:bottom w:val="single" w:sz="4" w:space="0" w:color="000000"/>
              <w:right w:val="single" w:sz="4" w:space="0" w:color="000000"/>
            </w:tcBorders>
            <w:shd w:val="clear" w:color="auto" w:fill="auto"/>
            <w:noWrap/>
            <w:vAlign w:val="bottom"/>
            <w:hideMark/>
          </w:tcPr>
          <w:p w14:paraId="401C514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6.66</w:t>
            </w:r>
          </w:p>
        </w:tc>
        <w:tc>
          <w:tcPr>
            <w:tcW w:w="1418" w:type="dxa"/>
            <w:tcBorders>
              <w:top w:val="nil"/>
              <w:left w:val="nil"/>
              <w:bottom w:val="single" w:sz="4" w:space="0" w:color="000000"/>
              <w:right w:val="single" w:sz="4" w:space="0" w:color="000000"/>
            </w:tcBorders>
            <w:shd w:val="clear" w:color="auto" w:fill="auto"/>
            <w:noWrap/>
            <w:vAlign w:val="bottom"/>
            <w:hideMark/>
          </w:tcPr>
          <w:p w14:paraId="1965C88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31.52</w:t>
            </w:r>
          </w:p>
        </w:tc>
      </w:tr>
      <w:tr w:rsidR="00A0308E" w:rsidRPr="003B10E2" w14:paraId="2D1F8C36"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2B8C76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Shenqi Pharmaceutical Investment Management,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5C74FB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5A4A761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0.65</w:t>
            </w:r>
          </w:p>
        </w:tc>
        <w:tc>
          <w:tcPr>
            <w:tcW w:w="1418" w:type="dxa"/>
            <w:tcBorders>
              <w:top w:val="nil"/>
              <w:left w:val="nil"/>
              <w:bottom w:val="single" w:sz="4" w:space="0" w:color="000000"/>
              <w:right w:val="single" w:sz="4" w:space="0" w:color="000000"/>
            </w:tcBorders>
            <w:shd w:val="clear" w:color="auto" w:fill="auto"/>
            <w:noWrap/>
            <w:vAlign w:val="bottom"/>
            <w:hideMark/>
          </w:tcPr>
          <w:p w14:paraId="75A0992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0.18</w:t>
            </w:r>
          </w:p>
        </w:tc>
      </w:tr>
      <w:tr w:rsidR="00A0308E" w:rsidRPr="003B10E2" w14:paraId="1F274AD7"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E52CBF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Shentong Metro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96755C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557.85</w:t>
            </w:r>
          </w:p>
        </w:tc>
        <w:tc>
          <w:tcPr>
            <w:tcW w:w="957" w:type="dxa"/>
            <w:tcBorders>
              <w:top w:val="nil"/>
              <w:left w:val="nil"/>
              <w:bottom w:val="single" w:sz="4" w:space="0" w:color="000000"/>
              <w:right w:val="single" w:sz="4" w:space="0" w:color="000000"/>
            </w:tcBorders>
            <w:shd w:val="clear" w:color="auto" w:fill="auto"/>
            <w:noWrap/>
            <w:vAlign w:val="bottom"/>
            <w:hideMark/>
          </w:tcPr>
          <w:p w14:paraId="4C51F8E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8.35</w:t>
            </w:r>
          </w:p>
        </w:tc>
        <w:tc>
          <w:tcPr>
            <w:tcW w:w="1418" w:type="dxa"/>
            <w:tcBorders>
              <w:top w:val="nil"/>
              <w:left w:val="nil"/>
              <w:bottom w:val="single" w:sz="4" w:space="0" w:color="000000"/>
              <w:right w:val="single" w:sz="4" w:space="0" w:color="000000"/>
            </w:tcBorders>
            <w:shd w:val="clear" w:color="auto" w:fill="auto"/>
            <w:noWrap/>
            <w:vAlign w:val="bottom"/>
            <w:hideMark/>
          </w:tcPr>
          <w:p w14:paraId="7FC762D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15.29</w:t>
            </w:r>
          </w:p>
        </w:tc>
      </w:tr>
      <w:tr w:rsidR="00A0308E" w:rsidRPr="003B10E2" w14:paraId="28C5FCAB"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16EDC4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Shibei Hi-Tech,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505057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1 274.13</w:t>
            </w:r>
          </w:p>
        </w:tc>
        <w:tc>
          <w:tcPr>
            <w:tcW w:w="957" w:type="dxa"/>
            <w:tcBorders>
              <w:top w:val="nil"/>
              <w:left w:val="nil"/>
              <w:bottom w:val="single" w:sz="4" w:space="0" w:color="000000"/>
              <w:right w:val="single" w:sz="4" w:space="0" w:color="000000"/>
            </w:tcBorders>
            <w:shd w:val="clear" w:color="auto" w:fill="auto"/>
            <w:noWrap/>
            <w:vAlign w:val="bottom"/>
            <w:hideMark/>
          </w:tcPr>
          <w:p w14:paraId="3CAF0A6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4.86</w:t>
            </w:r>
          </w:p>
        </w:tc>
        <w:tc>
          <w:tcPr>
            <w:tcW w:w="1418" w:type="dxa"/>
            <w:tcBorders>
              <w:top w:val="nil"/>
              <w:left w:val="nil"/>
              <w:bottom w:val="single" w:sz="4" w:space="0" w:color="000000"/>
              <w:right w:val="single" w:sz="4" w:space="0" w:color="000000"/>
            </w:tcBorders>
            <w:shd w:val="clear" w:color="auto" w:fill="auto"/>
            <w:noWrap/>
            <w:vAlign w:val="bottom"/>
            <w:hideMark/>
          </w:tcPr>
          <w:p w14:paraId="22300F4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27.20</w:t>
            </w:r>
          </w:p>
        </w:tc>
      </w:tr>
      <w:tr w:rsidR="00A0308E" w:rsidRPr="003B10E2" w14:paraId="11B8BB9D"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E7AED9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Shibei Hi-Tech,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CFA4A1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08F86A8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0.22</w:t>
            </w:r>
          </w:p>
        </w:tc>
        <w:tc>
          <w:tcPr>
            <w:tcW w:w="1418" w:type="dxa"/>
            <w:tcBorders>
              <w:top w:val="nil"/>
              <w:left w:val="nil"/>
              <w:bottom w:val="single" w:sz="4" w:space="0" w:color="000000"/>
              <w:right w:val="single" w:sz="4" w:space="0" w:color="000000"/>
            </w:tcBorders>
            <w:shd w:val="clear" w:color="auto" w:fill="auto"/>
            <w:noWrap/>
            <w:vAlign w:val="bottom"/>
            <w:hideMark/>
          </w:tcPr>
          <w:p w14:paraId="3D1CB78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0.06</w:t>
            </w:r>
          </w:p>
        </w:tc>
      </w:tr>
      <w:tr w:rsidR="00A0308E" w:rsidRPr="003B10E2" w14:paraId="05C1B74A"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7023127"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Shanghai Shimao,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2A248B1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629.96</w:t>
            </w:r>
          </w:p>
        </w:tc>
        <w:tc>
          <w:tcPr>
            <w:tcW w:w="957" w:type="dxa"/>
            <w:tcBorders>
              <w:top w:val="nil"/>
              <w:left w:val="nil"/>
              <w:bottom w:val="single" w:sz="4" w:space="0" w:color="000000"/>
              <w:right w:val="single" w:sz="4" w:space="0" w:color="000000"/>
            </w:tcBorders>
            <w:shd w:val="clear" w:color="auto" w:fill="auto"/>
            <w:noWrap/>
            <w:vAlign w:val="bottom"/>
            <w:hideMark/>
          </w:tcPr>
          <w:p w14:paraId="56F80C9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1.20</w:t>
            </w:r>
          </w:p>
        </w:tc>
        <w:tc>
          <w:tcPr>
            <w:tcW w:w="1418" w:type="dxa"/>
            <w:tcBorders>
              <w:top w:val="nil"/>
              <w:left w:val="nil"/>
              <w:bottom w:val="single" w:sz="4" w:space="0" w:color="000000"/>
              <w:right w:val="single" w:sz="4" w:space="0" w:color="000000"/>
            </w:tcBorders>
            <w:shd w:val="clear" w:color="auto" w:fill="auto"/>
            <w:noWrap/>
            <w:vAlign w:val="bottom"/>
            <w:hideMark/>
          </w:tcPr>
          <w:p w14:paraId="050757D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57.97</w:t>
            </w:r>
          </w:p>
        </w:tc>
      </w:tr>
      <w:tr w:rsidR="00A0308E" w:rsidRPr="003B10E2" w14:paraId="608D442C"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3A13FB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Shine-Link International Logistics,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C1715C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504.59</w:t>
            </w:r>
          </w:p>
        </w:tc>
        <w:tc>
          <w:tcPr>
            <w:tcW w:w="957" w:type="dxa"/>
            <w:tcBorders>
              <w:top w:val="nil"/>
              <w:left w:val="nil"/>
              <w:bottom w:val="single" w:sz="4" w:space="0" w:color="000000"/>
              <w:right w:val="single" w:sz="4" w:space="0" w:color="000000"/>
            </w:tcBorders>
            <w:shd w:val="clear" w:color="auto" w:fill="auto"/>
            <w:noWrap/>
            <w:vAlign w:val="bottom"/>
            <w:hideMark/>
          </w:tcPr>
          <w:p w14:paraId="6CABE86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9.78</w:t>
            </w:r>
          </w:p>
        </w:tc>
        <w:tc>
          <w:tcPr>
            <w:tcW w:w="1418" w:type="dxa"/>
            <w:tcBorders>
              <w:top w:val="nil"/>
              <w:left w:val="nil"/>
              <w:bottom w:val="single" w:sz="4" w:space="0" w:color="000000"/>
              <w:right w:val="single" w:sz="4" w:space="0" w:color="000000"/>
            </w:tcBorders>
            <w:shd w:val="clear" w:color="auto" w:fill="auto"/>
            <w:noWrap/>
            <w:vAlign w:val="bottom"/>
            <w:hideMark/>
          </w:tcPr>
          <w:p w14:paraId="19FED71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128.80</w:t>
            </w:r>
          </w:p>
        </w:tc>
      </w:tr>
      <w:tr w:rsidR="00A0308E" w:rsidRPr="003B10E2" w14:paraId="3B771DAE"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67D312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Shuixing Home Textile,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BD2EDC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535.92</w:t>
            </w:r>
          </w:p>
        </w:tc>
        <w:tc>
          <w:tcPr>
            <w:tcW w:w="957" w:type="dxa"/>
            <w:tcBorders>
              <w:top w:val="nil"/>
              <w:left w:val="nil"/>
              <w:bottom w:val="single" w:sz="4" w:space="0" w:color="000000"/>
              <w:right w:val="single" w:sz="4" w:space="0" w:color="000000"/>
            </w:tcBorders>
            <w:shd w:val="clear" w:color="auto" w:fill="auto"/>
            <w:noWrap/>
            <w:vAlign w:val="bottom"/>
            <w:hideMark/>
          </w:tcPr>
          <w:p w14:paraId="55F97C0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14.36</w:t>
            </w:r>
          </w:p>
        </w:tc>
        <w:tc>
          <w:tcPr>
            <w:tcW w:w="1418" w:type="dxa"/>
            <w:tcBorders>
              <w:top w:val="nil"/>
              <w:left w:val="nil"/>
              <w:bottom w:val="single" w:sz="4" w:space="0" w:color="000000"/>
              <w:right w:val="single" w:sz="4" w:space="0" w:color="000000"/>
            </w:tcBorders>
            <w:shd w:val="clear" w:color="auto" w:fill="auto"/>
            <w:noWrap/>
            <w:vAlign w:val="bottom"/>
            <w:hideMark/>
          </w:tcPr>
          <w:p w14:paraId="5F181F5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13.37</w:t>
            </w:r>
          </w:p>
        </w:tc>
      </w:tr>
      <w:tr w:rsidR="00A0308E" w:rsidRPr="003B10E2" w14:paraId="67A5BBFD"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3BA643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Shyndec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0A3812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1 591.00</w:t>
            </w:r>
          </w:p>
        </w:tc>
        <w:tc>
          <w:tcPr>
            <w:tcW w:w="957" w:type="dxa"/>
            <w:tcBorders>
              <w:top w:val="nil"/>
              <w:left w:val="nil"/>
              <w:bottom w:val="single" w:sz="4" w:space="0" w:color="000000"/>
              <w:right w:val="single" w:sz="4" w:space="0" w:color="000000"/>
            </w:tcBorders>
            <w:shd w:val="clear" w:color="auto" w:fill="auto"/>
            <w:noWrap/>
            <w:vAlign w:val="bottom"/>
            <w:hideMark/>
          </w:tcPr>
          <w:p w14:paraId="1B9F641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11.07</w:t>
            </w:r>
          </w:p>
        </w:tc>
        <w:tc>
          <w:tcPr>
            <w:tcW w:w="1418" w:type="dxa"/>
            <w:tcBorders>
              <w:top w:val="nil"/>
              <w:left w:val="nil"/>
              <w:bottom w:val="single" w:sz="4" w:space="0" w:color="000000"/>
              <w:right w:val="single" w:sz="4" w:space="0" w:color="000000"/>
            </w:tcBorders>
            <w:shd w:val="clear" w:color="auto" w:fill="auto"/>
            <w:noWrap/>
            <w:vAlign w:val="bottom"/>
            <w:hideMark/>
          </w:tcPr>
          <w:p w14:paraId="4CD0219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96.45</w:t>
            </w:r>
          </w:p>
        </w:tc>
      </w:tr>
      <w:tr w:rsidR="00A0308E" w:rsidRPr="003B10E2" w14:paraId="2DDA21B3"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C29D37E"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Shanghai Sinotec,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4BA368E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308.78</w:t>
            </w:r>
          </w:p>
        </w:tc>
        <w:tc>
          <w:tcPr>
            <w:tcW w:w="957" w:type="dxa"/>
            <w:tcBorders>
              <w:top w:val="nil"/>
              <w:left w:val="nil"/>
              <w:bottom w:val="single" w:sz="4" w:space="0" w:color="000000"/>
              <w:right w:val="single" w:sz="4" w:space="0" w:color="000000"/>
            </w:tcBorders>
            <w:shd w:val="clear" w:color="auto" w:fill="auto"/>
            <w:noWrap/>
            <w:vAlign w:val="bottom"/>
            <w:hideMark/>
          </w:tcPr>
          <w:p w14:paraId="56FC67D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8.34</w:t>
            </w:r>
          </w:p>
        </w:tc>
        <w:tc>
          <w:tcPr>
            <w:tcW w:w="1418" w:type="dxa"/>
            <w:tcBorders>
              <w:top w:val="nil"/>
              <w:left w:val="nil"/>
              <w:bottom w:val="single" w:sz="4" w:space="0" w:color="000000"/>
              <w:right w:val="single" w:sz="4" w:space="0" w:color="000000"/>
            </w:tcBorders>
            <w:shd w:val="clear" w:color="auto" w:fill="auto"/>
            <w:noWrap/>
            <w:vAlign w:val="bottom"/>
            <w:hideMark/>
          </w:tcPr>
          <w:p w14:paraId="2C28A1F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51.65</w:t>
            </w:r>
          </w:p>
        </w:tc>
      </w:tr>
      <w:tr w:rsidR="00A0308E" w:rsidRPr="003B10E2" w14:paraId="2510A82F"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44BA6D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SK Automation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54D807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551.39</w:t>
            </w:r>
          </w:p>
        </w:tc>
        <w:tc>
          <w:tcPr>
            <w:tcW w:w="957" w:type="dxa"/>
            <w:tcBorders>
              <w:top w:val="nil"/>
              <w:left w:val="nil"/>
              <w:bottom w:val="single" w:sz="4" w:space="0" w:color="000000"/>
              <w:right w:val="single" w:sz="4" w:space="0" w:color="000000"/>
            </w:tcBorders>
            <w:shd w:val="clear" w:color="auto" w:fill="auto"/>
            <w:noWrap/>
            <w:vAlign w:val="bottom"/>
            <w:hideMark/>
          </w:tcPr>
          <w:p w14:paraId="0947468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51.85</w:t>
            </w:r>
          </w:p>
        </w:tc>
        <w:tc>
          <w:tcPr>
            <w:tcW w:w="1418" w:type="dxa"/>
            <w:tcBorders>
              <w:top w:val="nil"/>
              <w:left w:val="nil"/>
              <w:bottom w:val="single" w:sz="4" w:space="0" w:color="000000"/>
              <w:right w:val="single" w:sz="4" w:space="0" w:color="000000"/>
            </w:tcBorders>
            <w:shd w:val="clear" w:color="auto" w:fill="auto"/>
            <w:noWrap/>
            <w:vAlign w:val="bottom"/>
            <w:hideMark/>
          </w:tcPr>
          <w:p w14:paraId="0E6A74D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9.54</w:t>
            </w:r>
          </w:p>
        </w:tc>
      </w:tr>
      <w:tr w:rsidR="00A0308E" w:rsidRPr="003B10E2" w14:paraId="5A9E2322"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B10CB4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SMI 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E52F8C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1 447.90</w:t>
            </w:r>
          </w:p>
        </w:tc>
        <w:tc>
          <w:tcPr>
            <w:tcW w:w="957" w:type="dxa"/>
            <w:tcBorders>
              <w:top w:val="nil"/>
              <w:left w:val="nil"/>
              <w:bottom w:val="single" w:sz="4" w:space="0" w:color="000000"/>
              <w:right w:val="single" w:sz="4" w:space="0" w:color="000000"/>
            </w:tcBorders>
            <w:shd w:val="clear" w:color="auto" w:fill="auto"/>
            <w:noWrap/>
            <w:vAlign w:val="bottom"/>
            <w:hideMark/>
          </w:tcPr>
          <w:p w14:paraId="701D99B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4.09</w:t>
            </w:r>
          </w:p>
        </w:tc>
        <w:tc>
          <w:tcPr>
            <w:tcW w:w="1418" w:type="dxa"/>
            <w:tcBorders>
              <w:top w:val="nil"/>
              <w:left w:val="nil"/>
              <w:bottom w:val="single" w:sz="4" w:space="0" w:color="000000"/>
              <w:right w:val="single" w:sz="4" w:space="0" w:color="000000"/>
            </w:tcBorders>
            <w:shd w:val="clear" w:color="auto" w:fill="auto"/>
            <w:noWrap/>
            <w:vAlign w:val="bottom"/>
            <w:hideMark/>
          </w:tcPr>
          <w:p w14:paraId="3A9E012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39.99</w:t>
            </w:r>
          </w:p>
        </w:tc>
      </w:tr>
      <w:tr w:rsidR="00A0308E" w:rsidRPr="003B10E2" w14:paraId="6BC5FE45"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FB6A88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Smith Adhesive New Material,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D6BAFA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280.79</w:t>
            </w:r>
          </w:p>
        </w:tc>
        <w:tc>
          <w:tcPr>
            <w:tcW w:w="957" w:type="dxa"/>
            <w:tcBorders>
              <w:top w:val="nil"/>
              <w:left w:val="nil"/>
              <w:bottom w:val="single" w:sz="4" w:space="0" w:color="000000"/>
              <w:right w:val="single" w:sz="4" w:space="0" w:color="000000"/>
            </w:tcBorders>
            <w:shd w:val="clear" w:color="auto" w:fill="auto"/>
            <w:noWrap/>
            <w:vAlign w:val="bottom"/>
            <w:hideMark/>
          </w:tcPr>
          <w:p w14:paraId="473DD86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10.93</w:t>
            </w:r>
          </w:p>
        </w:tc>
        <w:tc>
          <w:tcPr>
            <w:tcW w:w="1418" w:type="dxa"/>
            <w:tcBorders>
              <w:top w:val="nil"/>
              <w:left w:val="nil"/>
              <w:bottom w:val="single" w:sz="4" w:space="0" w:color="000000"/>
              <w:right w:val="single" w:sz="4" w:space="0" w:color="000000"/>
            </w:tcBorders>
            <w:shd w:val="clear" w:color="auto" w:fill="auto"/>
            <w:noWrap/>
            <w:vAlign w:val="bottom"/>
            <w:hideMark/>
          </w:tcPr>
          <w:p w14:paraId="2AA3DF9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70.22</w:t>
            </w:r>
          </w:p>
        </w:tc>
      </w:tr>
      <w:tr w:rsidR="00A0308E" w:rsidRPr="003B10E2" w14:paraId="208D26A7"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5B8896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Sunglow Packaging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37C742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257.34</w:t>
            </w:r>
          </w:p>
        </w:tc>
        <w:tc>
          <w:tcPr>
            <w:tcW w:w="957" w:type="dxa"/>
            <w:tcBorders>
              <w:top w:val="nil"/>
              <w:left w:val="nil"/>
              <w:bottom w:val="single" w:sz="4" w:space="0" w:color="000000"/>
              <w:right w:val="single" w:sz="4" w:space="0" w:color="000000"/>
            </w:tcBorders>
            <w:shd w:val="clear" w:color="auto" w:fill="auto"/>
            <w:noWrap/>
            <w:vAlign w:val="bottom"/>
            <w:hideMark/>
          </w:tcPr>
          <w:p w14:paraId="48811BC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9.14</w:t>
            </w:r>
          </w:p>
        </w:tc>
        <w:tc>
          <w:tcPr>
            <w:tcW w:w="1418" w:type="dxa"/>
            <w:tcBorders>
              <w:top w:val="nil"/>
              <w:left w:val="nil"/>
              <w:bottom w:val="single" w:sz="4" w:space="0" w:color="000000"/>
              <w:right w:val="single" w:sz="4" w:space="0" w:color="000000"/>
            </w:tcBorders>
            <w:shd w:val="clear" w:color="auto" w:fill="auto"/>
            <w:noWrap/>
            <w:vAlign w:val="bottom"/>
            <w:hideMark/>
          </w:tcPr>
          <w:p w14:paraId="1C13040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14.98</w:t>
            </w:r>
          </w:p>
        </w:tc>
      </w:tr>
      <w:tr w:rsidR="00A0308E" w:rsidRPr="003B10E2" w14:paraId="5B8E38FA"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210A66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Suochen Information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3CD10D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5D0CDEC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204.61</w:t>
            </w:r>
          </w:p>
        </w:tc>
        <w:tc>
          <w:tcPr>
            <w:tcW w:w="1418" w:type="dxa"/>
            <w:tcBorders>
              <w:top w:val="nil"/>
              <w:left w:val="nil"/>
              <w:bottom w:val="single" w:sz="4" w:space="0" w:color="000000"/>
              <w:right w:val="single" w:sz="4" w:space="0" w:color="000000"/>
            </w:tcBorders>
            <w:shd w:val="clear" w:color="auto" w:fill="auto"/>
            <w:noWrap/>
            <w:vAlign w:val="bottom"/>
            <w:hideMark/>
          </w:tcPr>
          <w:p w14:paraId="51CA5E3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78.70</w:t>
            </w:r>
          </w:p>
        </w:tc>
      </w:tr>
      <w:tr w:rsidR="00A0308E" w:rsidRPr="003B10E2" w14:paraId="1882E0B4"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A2CC17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Supezet Engineering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206A24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977.10</w:t>
            </w:r>
          </w:p>
        </w:tc>
        <w:tc>
          <w:tcPr>
            <w:tcW w:w="957" w:type="dxa"/>
            <w:tcBorders>
              <w:top w:val="nil"/>
              <w:left w:val="nil"/>
              <w:bottom w:val="single" w:sz="4" w:space="0" w:color="000000"/>
              <w:right w:val="single" w:sz="4" w:space="0" w:color="000000"/>
            </w:tcBorders>
            <w:shd w:val="clear" w:color="auto" w:fill="auto"/>
            <w:noWrap/>
            <w:vAlign w:val="bottom"/>
            <w:hideMark/>
          </w:tcPr>
          <w:p w14:paraId="738BA87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34.45</w:t>
            </w:r>
          </w:p>
        </w:tc>
        <w:tc>
          <w:tcPr>
            <w:tcW w:w="1418" w:type="dxa"/>
            <w:tcBorders>
              <w:top w:val="nil"/>
              <w:left w:val="nil"/>
              <w:bottom w:val="single" w:sz="4" w:space="0" w:color="000000"/>
              <w:right w:val="single" w:sz="4" w:space="0" w:color="000000"/>
            </w:tcBorders>
            <w:shd w:val="clear" w:color="auto" w:fill="auto"/>
            <w:noWrap/>
            <w:vAlign w:val="bottom"/>
            <w:hideMark/>
          </w:tcPr>
          <w:p w14:paraId="4FCA21E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74.16</w:t>
            </w:r>
          </w:p>
        </w:tc>
      </w:tr>
      <w:tr w:rsidR="00A0308E" w:rsidRPr="003B10E2" w14:paraId="4F9B7F5F"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FF307B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Taihe Water Technology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97B1B3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171.17</w:t>
            </w:r>
          </w:p>
        </w:tc>
        <w:tc>
          <w:tcPr>
            <w:tcW w:w="957" w:type="dxa"/>
            <w:tcBorders>
              <w:top w:val="nil"/>
              <w:left w:val="nil"/>
              <w:bottom w:val="single" w:sz="4" w:space="0" w:color="000000"/>
              <w:right w:val="single" w:sz="4" w:space="0" w:color="000000"/>
            </w:tcBorders>
            <w:shd w:val="clear" w:color="auto" w:fill="auto"/>
            <w:noWrap/>
            <w:vAlign w:val="bottom"/>
            <w:hideMark/>
          </w:tcPr>
          <w:p w14:paraId="62D102C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15.66</w:t>
            </w:r>
          </w:p>
        </w:tc>
        <w:tc>
          <w:tcPr>
            <w:tcW w:w="1418" w:type="dxa"/>
            <w:tcBorders>
              <w:top w:val="nil"/>
              <w:left w:val="nil"/>
              <w:bottom w:val="single" w:sz="4" w:space="0" w:color="000000"/>
              <w:right w:val="single" w:sz="4" w:space="0" w:color="000000"/>
            </w:tcBorders>
            <w:shd w:val="clear" w:color="auto" w:fill="auto"/>
            <w:noWrap/>
            <w:vAlign w:val="bottom"/>
            <w:hideMark/>
          </w:tcPr>
          <w:p w14:paraId="07652DD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14.14</w:t>
            </w:r>
          </w:p>
        </w:tc>
      </w:tr>
      <w:tr w:rsidR="00A0308E" w:rsidRPr="003B10E2" w14:paraId="6A4AFD31"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B722E30"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Shanghai Tianchen,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0662B6A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1 147.42</w:t>
            </w:r>
          </w:p>
        </w:tc>
        <w:tc>
          <w:tcPr>
            <w:tcW w:w="957" w:type="dxa"/>
            <w:tcBorders>
              <w:top w:val="nil"/>
              <w:left w:val="nil"/>
              <w:bottom w:val="single" w:sz="4" w:space="0" w:color="000000"/>
              <w:right w:val="single" w:sz="4" w:space="0" w:color="000000"/>
            </w:tcBorders>
            <w:shd w:val="clear" w:color="auto" w:fill="auto"/>
            <w:noWrap/>
            <w:vAlign w:val="bottom"/>
            <w:hideMark/>
          </w:tcPr>
          <w:p w14:paraId="140564D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11.94</w:t>
            </w:r>
          </w:p>
        </w:tc>
        <w:tc>
          <w:tcPr>
            <w:tcW w:w="1418" w:type="dxa"/>
            <w:tcBorders>
              <w:top w:val="nil"/>
              <w:left w:val="nil"/>
              <w:bottom w:val="single" w:sz="4" w:space="0" w:color="000000"/>
              <w:right w:val="single" w:sz="4" w:space="0" w:color="000000"/>
            </w:tcBorders>
            <w:shd w:val="clear" w:color="auto" w:fill="auto"/>
            <w:noWrap/>
            <w:vAlign w:val="bottom"/>
            <w:hideMark/>
          </w:tcPr>
          <w:p w14:paraId="2DF9FC2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50.67</w:t>
            </w:r>
          </w:p>
        </w:tc>
      </w:tr>
      <w:tr w:rsidR="00A0308E" w:rsidRPr="003B10E2" w14:paraId="0C61C2CA"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9E0344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Tianyang Hot Melt Adhesives,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941EB0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342.35</w:t>
            </w:r>
          </w:p>
        </w:tc>
        <w:tc>
          <w:tcPr>
            <w:tcW w:w="957" w:type="dxa"/>
            <w:tcBorders>
              <w:top w:val="nil"/>
              <w:left w:val="nil"/>
              <w:bottom w:val="single" w:sz="4" w:space="0" w:color="000000"/>
              <w:right w:val="single" w:sz="4" w:space="0" w:color="000000"/>
            </w:tcBorders>
            <w:shd w:val="clear" w:color="auto" w:fill="auto"/>
            <w:noWrap/>
            <w:vAlign w:val="bottom"/>
            <w:hideMark/>
          </w:tcPr>
          <w:p w14:paraId="40E2023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10.29</w:t>
            </w:r>
          </w:p>
        </w:tc>
        <w:tc>
          <w:tcPr>
            <w:tcW w:w="1418" w:type="dxa"/>
            <w:tcBorders>
              <w:top w:val="nil"/>
              <w:left w:val="nil"/>
              <w:bottom w:val="single" w:sz="4" w:space="0" w:color="000000"/>
              <w:right w:val="single" w:sz="4" w:space="0" w:color="000000"/>
            </w:tcBorders>
            <w:shd w:val="clear" w:color="auto" w:fill="auto"/>
            <w:noWrap/>
            <w:vAlign w:val="bottom"/>
            <w:hideMark/>
          </w:tcPr>
          <w:p w14:paraId="397D062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19.06</w:t>
            </w:r>
          </w:p>
        </w:tc>
      </w:tr>
      <w:tr w:rsidR="00A0308E" w:rsidRPr="003B10E2" w14:paraId="2C11A116"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D7A70D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Tianyong Engineering,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D47971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371.18</w:t>
            </w:r>
          </w:p>
        </w:tc>
        <w:tc>
          <w:tcPr>
            <w:tcW w:w="957" w:type="dxa"/>
            <w:tcBorders>
              <w:top w:val="nil"/>
              <w:left w:val="nil"/>
              <w:bottom w:val="single" w:sz="4" w:space="0" w:color="000000"/>
              <w:right w:val="single" w:sz="4" w:space="0" w:color="000000"/>
            </w:tcBorders>
            <w:shd w:val="clear" w:color="auto" w:fill="auto"/>
            <w:noWrap/>
            <w:vAlign w:val="bottom"/>
            <w:hideMark/>
          </w:tcPr>
          <w:p w14:paraId="3E7BFC9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24.54</w:t>
            </w:r>
          </w:p>
        </w:tc>
        <w:tc>
          <w:tcPr>
            <w:tcW w:w="1418" w:type="dxa"/>
            <w:tcBorders>
              <w:top w:val="nil"/>
              <w:left w:val="nil"/>
              <w:bottom w:val="single" w:sz="4" w:space="0" w:color="000000"/>
              <w:right w:val="single" w:sz="4" w:space="0" w:color="000000"/>
            </w:tcBorders>
            <w:shd w:val="clear" w:color="auto" w:fill="auto"/>
            <w:noWrap/>
            <w:vAlign w:val="bottom"/>
            <w:hideMark/>
          </w:tcPr>
          <w:p w14:paraId="3594E49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13.27</w:t>
            </w:r>
          </w:p>
        </w:tc>
      </w:tr>
      <w:tr w:rsidR="00A0308E" w:rsidRPr="003B10E2" w14:paraId="0589F993"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B5D9FF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Titan Scientific,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1CF5BF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1 147.66</w:t>
            </w:r>
          </w:p>
        </w:tc>
        <w:tc>
          <w:tcPr>
            <w:tcW w:w="957" w:type="dxa"/>
            <w:tcBorders>
              <w:top w:val="nil"/>
              <w:left w:val="nil"/>
              <w:bottom w:val="single" w:sz="4" w:space="0" w:color="000000"/>
              <w:right w:val="single" w:sz="4" w:space="0" w:color="000000"/>
            </w:tcBorders>
            <w:shd w:val="clear" w:color="auto" w:fill="auto"/>
            <w:noWrap/>
            <w:vAlign w:val="bottom"/>
            <w:hideMark/>
          </w:tcPr>
          <w:p w14:paraId="5B07EF4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107.55</w:t>
            </w:r>
          </w:p>
        </w:tc>
        <w:tc>
          <w:tcPr>
            <w:tcW w:w="1418" w:type="dxa"/>
            <w:tcBorders>
              <w:top w:val="nil"/>
              <w:left w:val="nil"/>
              <w:bottom w:val="single" w:sz="4" w:space="0" w:color="000000"/>
              <w:right w:val="single" w:sz="4" w:space="0" w:color="000000"/>
            </w:tcBorders>
            <w:shd w:val="clear" w:color="auto" w:fill="auto"/>
            <w:noWrap/>
            <w:vAlign w:val="bottom"/>
            <w:hideMark/>
          </w:tcPr>
          <w:p w14:paraId="5A72EA0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53.10</w:t>
            </w:r>
          </w:p>
        </w:tc>
      </w:tr>
      <w:tr w:rsidR="00A0308E" w:rsidRPr="003B10E2" w14:paraId="7CCBF49D"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93831C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Tongda Venture Capital,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BD9792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266.00</w:t>
            </w:r>
          </w:p>
        </w:tc>
        <w:tc>
          <w:tcPr>
            <w:tcW w:w="957" w:type="dxa"/>
            <w:tcBorders>
              <w:top w:val="nil"/>
              <w:left w:val="nil"/>
              <w:bottom w:val="single" w:sz="4" w:space="0" w:color="000000"/>
              <w:right w:val="single" w:sz="4" w:space="0" w:color="000000"/>
            </w:tcBorders>
            <w:shd w:val="clear" w:color="auto" w:fill="auto"/>
            <w:noWrap/>
            <w:vAlign w:val="bottom"/>
            <w:hideMark/>
          </w:tcPr>
          <w:p w14:paraId="010A98C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13.66</w:t>
            </w:r>
          </w:p>
        </w:tc>
        <w:tc>
          <w:tcPr>
            <w:tcW w:w="1418" w:type="dxa"/>
            <w:tcBorders>
              <w:top w:val="nil"/>
              <w:left w:val="nil"/>
              <w:bottom w:val="single" w:sz="4" w:space="0" w:color="000000"/>
              <w:right w:val="single" w:sz="4" w:space="0" w:color="000000"/>
            </w:tcBorders>
            <w:shd w:val="clear" w:color="auto" w:fill="auto"/>
            <w:noWrap/>
            <w:vAlign w:val="bottom"/>
            <w:hideMark/>
          </w:tcPr>
          <w:p w14:paraId="0E94C81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30.14</w:t>
            </w:r>
          </w:p>
        </w:tc>
      </w:tr>
      <w:tr w:rsidR="00A0308E" w:rsidRPr="003B10E2" w14:paraId="2A46A09D"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774187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Tongji Science&amp;Technology Industrial,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BDB855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955.66</w:t>
            </w:r>
          </w:p>
        </w:tc>
        <w:tc>
          <w:tcPr>
            <w:tcW w:w="957" w:type="dxa"/>
            <w:tcBorders>
              <w:top w:val="nil"/>
              <w:left w:val="nil"/>
              <w:bottom w:val="single" w:sz="4" w:space="0" w:color="000000"/>
              <w:right w:val="single" w:sz="4" w:space="0" w:color="000000"/>
            </w:tcBorders>
            <w:shd w:val="clear" w:color="auto" w:fill="auto"/>
            <w:noWrap/>
            <w:vAlign w:val="bottom"/>
            <w:hideMark/>
          </w:tcPr>
          <w:p w14:paraId="2F973AF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10.93</w:t>
            </w:r>
          </w:p>
        </w:tc>
        <w:tc>
          <w:tcPr>
            <w:tcW w:w="1418" w:type="dxa"/>
            <w:tcBorders>
              <w:top w:val="nil"/>
              <w:left w:val="nil"/>
              <w:bottom w:val="single" w:sz="4" w:space="0" w:color="000000"/>
              <w:right w:val="single" w:sz="4" w:space="0" w:color="000000"/>
            </w:tcBorders>
            <w:shd w:val="clear" w:color="auto" w:fill="auto"/>
            <w:noWrap/>
            <w:vAlign w:val="bottom"/>
            <w:hideMark/>
          </w:tcPr>
          <w:p w14:paraId="57BDDFF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100.52</w:t>
            </w:r>
          </w:p>
        </w:tc>
      </w:tr>
      <w:tr w:rsidR="00A0308E" w:rsidRPr="003B10E2" w14:paraId="5E03ED60"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28C673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Trendzone Construction Decoration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F61CF4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177.78</w:t>
            </w:r>
          </w:p>
        </w:tc>
        <w:tc>
          <w:tcPr>
            <w:tcW w:w="957" w:type="dxa"/>
            <w:tcBorders>
              <w:top w:val="nil"/>
              <w:left w:val="nil"/>
              <w:bottom w:val="single" w:sz="4" w:space="0" w:color="000000"/>
              <w:right w:val="single" w:sz="4" w:space="0" w:color="000000"/>
            </w:tcBorders>
            <w:shd w:val="clear" w:color="auto" w:fill="auto"/>
            <w:noWrap/>
            <w:vAlign w:val="bottom"/>
            <w:hideMark/>
          </w:tcPr>
          <w:p w14:paraId="3659A62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2.19</w:t>
            </w:r>
          </w:p>
        </w:tc>
        <w:tc>
          <w:tcPr>
            <w:tcW w:w="1418" w:type="dxa"/>
            <w:tcBorders>
              <w:top w:val="nil"/>
              <w:left w:val="nil"/>
              <w:bottom w:val="single" w:sz="4" w:space="0" w:color="000000"/>
              <w:right w:val="single" w:sz="4" w:space="0" w:color="000000"/>
            </w:tcBorders>
            <w:shd w:val="clear" w:color="auto" w:fill="auto"/>
            <w:noWrap/>
            <w:vAlign w:val="bottom"/>
            <w:hideMark/>
          </w:tcPr>
          <w:p w14:paraId="28479AA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5.70</w:t>
            </w:r>
          </w:p>
        </w:tc>
      </w:tr>
      <w:tr w:rsidR="00A0308E" w:rsidRPr="003B10E2" w14:paraId="333B1776"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7B6626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Tunnel Engineering,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AE8E94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2 657.66</w:t>
            </w:r>
          </w:p>
        </w:tc>
        <w:tc>
          <w:tcPr>
            <w:tcW w:w="957" w:type="dxa"/>
            <w:tcBorders>
              <w:top w:val="nil"/>
              <w:left w:val="nil"/>
              <w:bottom w:val="single" w:sz="4" w:space="0" w:color="000000"/>
              <w:right w:val="single" w:sz="4" w:space="0" w:color="000000"/>
            </w:tcBorders>
            <w:shd w:val="clear" w:color="auto" w:fill="auto"/>
            <w:noWrap/>
            <w:vAlign w:val="bottom"/>
            <w:hideMark/>
          </w:tcPr>
          <w:p w14:paraId="244ADC1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6.04</w:t>
            </w:r>
          </w:p>
        </w:tc>
        <w:tc>
          <w:tcPr>
            <w:tcW w:w="1418" w:type="dxa"/>
            <w:tcBorders>
              <w:top w:val="nil"/>
              <w:left w:val="nil"/>
              <w:bottom w:val="single" w:sz="4" w:space="0" w:color="000000"/>
              <w:right w:val="single" w:sz="4" w:space="0" w:color="000000"/>
            </w:tcBorders>
            <w:shd w:val="clear" w:color="auto" w:fill="auto"/>
            <w:noWrap/>
            <w:vAlign w:val="bottom"/>
            <w:hideMark/>
          </w:tcPr>
          <w:p w14:paraId="66E9D27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103.30</w:t>
            </w:r>
          </w:p>
        </w:tc>
      </w:tr>
      <w:tr w:rsidR="00A0308E" w:rsidRPr="003B10E2" w14:paraId="04D18708"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CFFDE9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United Imaging Healthcare,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F0BF13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0831D69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135.78</w:t>
            </w:r>
          </w:p>
        </w:tc>
        <w:tc>
          <w:tcPr>
            <w:tcW w:w="1418" w:type="dxa"/>
            <w:tcBorders>
              <w:top w:val="nil"/>
              <w:left w:val="nil"/>
              <w:bottom w:val="single" w:sz="4" w:space="0" w:color="000000"/>
              <w:right w:val="single" w:sz="4" w:space="0" w:color="000000"/>
            </w:tcBorders>
            <w:shd w:val="clear" w:color="auto" w:fill="auto"/>
            <w:noWrap/>
            <w:vAlign w:val="bottom"/>
            <w:hideMark/>
          </w:tcPr>
          <w:p w14:paraId="7B01882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161.87</w:t>
            </w:r>
          </w:p>
        </w:tc>
      </w:tr>
      <w:tr w:rsidR="00A0308E" w:rsidRPr="003B10E2" w14:paraId="786B4865"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535F46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V-Test Semiconductor 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1ED091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6D82F89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144.91</w:t>
            </w:r>
          </w:p>
        </w:tc>
        <w:tc>
          <w:tcPr>
            <w:tcW w:w="1418" w:type="dxa"/>
            <w:tcBorders>
              <w:top w:val="nil"/>
              <w:left w:val="nil"/>
              <w:bottom w:val="single" w:sz="4" w:space="0" w:color="000000"/>
              <w:right w:val="single" w:sz="4" w:space="0" w:color="000000"/>
            </w:tcBorders>
            <w:shd w:val="clear" w:color="auto" w:fill="auto"/>
            <w:noWrap/>
            <w:vAlign w:val="bottom"/>
            <w:hideMark/>
          </w:tcPr>
          <w:p w14:paraId="5487CA5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157.91</w:t>
            </w:r>
          </w:p>
        </w:tc>
      </w:tr>
      <w:tr w:rsidR="00A0308E" w:rsidRPr="003B10E2" w14:paraId="7359D49B"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6C5392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Vohringer Wood Product,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72DC3A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195.17</w:t>
            </w:r>
          </w:p>
        </w:tc>
        <w:tc>
          <w:tcPr>
            <w:tcW w:w="957" w:type="dxa"/>
            <w:tcBorders>
              <w:top w:val="nil"/>
              <w:left w:val="nil"/>
              <w:bottom w:val="single" w:sz="4" w:space="0" w:color="000000"/>
              <w:right w:val="single" w:sz="4" w:space="0" w:color="000000"/>
            </w:tcBorders>
            <w:shd w:val="clear" w:color="auto" w:fill="auto"/>
            <w:noWrap/>
            <w:vAlign w:val="bottom"/>
            <w:hideMark/>
          </w:tcPr>
          <w:p w14:paraId="51B8235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5.10</w:t>
            </w:r>
          </w:p>
        </w:tc>
        <w:tc>
          <w:tcPr>
            <w:tcW w:w="1418" w:type="dxa"/>
            <w:tcBorders>
              <w:top w:val="nil"/>
              <w:left w:val="nil"/>
              <w:bottom w:val="single" w:sz="4" w:space="0" w:color="000000"/>
              <w:right w:val="single" w:sz="4" w:space="0" w:color="000000"/>
            </w:tcBorders>
            <w:shd w:val="clear" w:color="auto" w:fill="auto"/>
            <w:noWrap/>
            <w:vAlign w:val="bottom"/>
            <w:hideMark/>
          </w:tcPr>
          <w:p w14:paraId="20302DC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6.77</w:t>
            </w:r>
          </w:p>
        </w:tc>
      </w:tr>
      <w:tr w:rsidR="00A0308E" w:rsidRPr="003B10E2" w14:paraId="430CAD9E"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83E34E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W-Ibeda High Tech.Group,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58109E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512.27</w:t>
            </w:r>
          </w:p>
        </w:tc>
        <w:tc>
          <w:tcPr>
            <w:tcW w:w="957" w:type="dxa"/>
            <w:tcBorders>
              <w:top w:val="nil"/>
              <w:left w:val="nil"/>
              <w:bottom w:val="single" w:sz="4" w:space="0" w:color="000000"/>
              <w:right w:val="single" w:sz="4" w:space="0" w:color="000000"/>
            </w:tcBorders>
            <w:shd w:val="clear" w:color="auto" w:fill="auto"/>
            <w:noWrap/>
            <w:vAlign w:val="bottom"/>
            <w:hideMark/>
          </w:tcPr>
          <w:p w14:paraId="2265469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50.25</w:t>
            </w:r>
          </w:p>
        </w:tc>
        <w:tc>
          <w:tcPr>
            <w:tcW w:w="1418" w:type="dxa"/>
            <w:tcBorders>
              <w:top w:val="nil"/>
              <w:left w:val="nil"/>
              <w:bottom w:val="single" w:sz="4" w:space="0" w:color="000000"/>
              <w:right w:val="single" w:sz="4" w:space="0" w:color="000000"/>
            </w:tcBorders>
            <w:shd w:val="clear" w:color="auto" w:fill="auto"/>
            <w:noWrap/>
            <w:vAlign w:val="bottom"/>
            <w:hideMark/>
          </w:tcPr>
          <w:p w14:paraId="22521C1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21.11</w:t>
            </w:r>
          </w:p>
        </w:tc>
      </w:tr>
      <w:tr w:rsidR="00A0308E" w:rsidRPr="003B10E2" w14:paraId="20FB2B89"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86D6BA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Waigaoqiao Free Trade Zone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8C6C22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1 843.12</w:t>
            </w:r>
          </w:p>
        </w:tc>
        <w:tc>
          <w:tcPr>
            <w:tcW w:w="957" w:type="dxa"/>
            <w:tcBorders>
              <w:top w:val="nil"/>
              <w:left w:val="nil"/>
              <w:bottom w:val="single" w:sz="4" w:space="0" w:color="000000"/>
              <w:right w:val="single" w:sz="4" w:space="0" w:color="000000"/>
            </w:tcBorders>
            <w:shd w:val="clear" w:color="auto" w:fill="auto"/>
            <w:noWrap/>
            <w:vAlign w:val="bottom"/>
            <w:hideMark/>
          </w:tcPr>
          <w:p w14:paraId="7C14052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11.60</w:t>
            </w:r>
          </w:p>
        </w:tc>
        <w:tc>
          <w:tcPr>
            <w:tcW w:w="1418" w:type="dxa"/>
            <w:tcBorders>
              <w:top w:val="nil"/>
              <w:left w:val="nil"/>
              <w:bottom w:val="single" w:sz="4" w:space="0" w:color="000000"/>
              <w:right w:val="single" w:sz="4" w:space="0" w:color="000000"/>
            </w:tcBorders>
            <w:shd w:val="clear" w:color="auto" w:fill="auto"/>
            <w:noWrap/>
            <w:vAlign w:val="bottom"/>
            <w:hideMark/>
          </w:tcPr>
          <w:p w14:paraId="271663B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20.02</w:t>
            </w:r>
          </w:p>
        </w:tc>
      </w:tr>
      <w:tr w:rsidR="00A0308E" w:rsidRPr="003B10E2" w14:paraId="4005F5C9"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EC1DD0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Waigaoqiao Free Trade Zone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E48CFC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5A57B94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0.89</w:t>
            </w:r>
          </w:p>
        </w:tc>
        <w:tc>
          <w:tcPr>
            <w:tcW w:w="1418" w:type="dxa"/>
            <w:tcBorders>
              <w:top w:val="nil"/>
              <w:left w:val="nil"/>
              <w:bottom w:val="single" w:sz="4" w:space="0" w:color="000000"/>
              <w:right w:val="single" w:sz="4" w:space="0" w:color="000000"/>
            </w:tcBorders>
            <w:shd w:val="clear" w:color="auto" w:fill="auto"/>
            <w:noWrap/>
            <w:vAlign w:val="bottom"/>
            <w:hideMark/>
          </w:tcPr>
          <w:p w14:paraId="726C4E5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0.06</w:t>
            </w:r>
          </w:p>
        </w:tc>
      </w:tr>
      <w:tr w:rsidR="00A0308E" w:rsidRPr="003B10E2" w14:paraId="5214DB07" w14:textId="77777777" w:rsidTr="00A0308E">
        <w:trPr>
          <w:trHeight w:val="300"/>
        </w:trPr>
        <w:tc>
          <w:tcPr>
            <w:tcW w:w="4815" w:type="dxa"/>
            <w:tcBorders>
              <w:top w:val="nil"/>
              <w:left w:val="single" w:sz="4" w:space="0" w:color="000000"/>
              <w:bottom w:val="single" w:sz="4" w:space="0" w:color="auto"/>
              <w:right w:val="single" w:sz="4" w:space="0" w:color="000000"/>
            </w:tcBorders>
            <w:shd w:val="clear" w:color="auto" w:fill="auto"/>
            <w:noWrap/>
            <w:vAlign w:val="bottom"/>
            <w:hideMark/>
          </w:tcPr>
          <w:p w14:paraId="3FB2F0D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Wanye Enterprises,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auto"/>
              <w:right w:val="single" w:sz="4" w:space="0" w:color="000000"/>
            </w:tcBorders>
            <w:shd w:val="clear" w:color="auto" w:fill="auto"/>
            <w:noWrap/>
            <w:vAlign w:val="bottom"/>
            <w:hideMark/>
          </w:tcPr>
          <w:p w14:paraId="4ECF4E1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2 665.13</w:t>
            </w:r>
          </w:p>
        </w:tc>
        <w:tc>
          <w:tcPr>
            <w:tcW w:w="957" w:type="dxa"/>
            <w:tcBorders>
              <w:top w:val="nil"/>
              <w:left w:val="nil"/>
              <w:bottom w:val="single" w:sz="4" w:space="0" w:color="auto"/>
              <w:right w:val="single" w:sz="4" w:space="0" w:color="000000"/>
            </w:tcBorders>
            <w:shd w:val="clear" w:color="auto" w:fill="auto"/>
            <w:noWrap/>
            <w:vAlign w:val="bottom"/>
            <w:hideMark/>
          </w:tcPr>
          <w:p w14:paraId="01F483B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19.88</w:t>
            </w:r>
          </w:p>
        </w:tc>
        <w:tc>
          <w:tcPr>
            <w:tcW w:w="1418" w:type="dxa"/>
            <w:tcBorders>
              <w:top w:val="nil"/>
              <w:left w:val="nil"/>
              <w:bottom w:val="single" w:sz="4" w:space="0" w:color="auto"/>
              <w:right w:val="single" w:sz="4" w:space="0" w:color="000000"/>
            </w:tcBorders>
            <w:shd w:val="clear" w:color="auto" w:fill="auto"/>
            <w:noWrap/>
            <w:vAlign w:val="bottom"/>
            <w:hideMark/>
          </w:tcPr>
          <w:p w14:paraId="1C6E649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348.91</w:t>
            </w:r>
          </w:p>
        </w:tc>
      </w:tr>
      <w:tr w:rsidR="00A0308E" w:rsidRPr="003B10E2" w14:paraId="4E2B6254"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38FE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Weaver Network,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4947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2 758.30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17E1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75.63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DFFE4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238.31</w:t>
            </w:r>
          </w:p>
        </w:tc>
      </w:tr>
      <w:tr w:rsidR="00A0308E" w:rsidRPr="003B10E2" w14:paraId="290DFFB7" w14:textId="77777777" w:rsidTr="00A0308E">
        <w:trPr>
          <w:trHeight w:val="300"/>
        </w:trPr>
        <w:tc>
          <w:tcPr>
            <w:tcW w:w="481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1681D9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Wondertek Software,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nil"/>
              <w:bottom w:val="single" w:sz="4" w:space="0" w:color="000000"/>
              <w:right w:val="single" w:sz="4" w:space="0" w:color="000000"/>
            </w:tcBorders>
            <w:shd w:val="clear" w:color="auto" w:fill="auto"/>
            <w:noWrap/>
            <w:vAlign w:val="bottom"/>
            <w:hideMark/>
          </w:tcPr>
          <w:p w14:paraId="4244D57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615.26</w:t>
            </w:r>
          </w:p>
        </w:tc>
        <w:tc>
          <w:tcPr>
            <w:tcW w:w="957" w:type="dxa"/>
            <w:tcBorders>
              <w:top w:val="single" w:sz="4" w:space="0" w:color="auto"/>
              <w:left w:val="nil"/>
              <w:bottom w:val="single" w:sz="4" w:space="0" w:color="000000"/>
              <w:right w:val="single" w:sz="4" w:space="0" w:color="000000"/>
            </w:tcBorders>
            <w:shd w:val="clear" w:color="auto" w:fill="auto"/>
            <w:noWrap/>
            <w:vAlign w:val="bottom"/>
            <w:hideMark/>
          </w:tcPr>
          <w:p w14:paraId="65BF2B4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16.31</w:t>
            </w:r>
          </w:p>
        </w:tc>
        <w:tc>
          <w:tcPr>
            <w:tcW w:w="1418" w:type="dxa"/>
            <w:tcBorders>
              <w:top w:val="single" w:sz="4" w:space="0" w:color="auto"/>
              <w:left w:val="nil"/>
              <w:bottom w:val="single" w:sz="4" w:space="0" w:color="000000"/>
              <w:right w:val="single" w:sz="4" w:space="0" w:color="000000"/>
            </w:tcBorders>
            <w:shd w:val="clear" w:color="auto" w:fill="auto"/>
            <w:noWrap/>
            <w:vAlign w:val="bottom"/>
            <w:hideMark/>
          </w:tcPr>
          <w:p w14:paraId="71ECEB5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59.29</w:t>
            </w:r>
          </w:p>
        </w:tc>
      </w:tr>
      <w:tr w:rsidR="00A0308E" w:rsidRPr="003B10E2" w14:paraId="1E933596"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917DA7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Xin Nanyang Only Education &amp;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3259A1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432.30</w:t>
            </w:r>
          </w:p>
        </w:tc>
        <w:tc>
          <w:tcPr>
            <w:tcW w:w="957" w:type="dxa"/>
            <w:tcBorders>
              <w:top w:val="nil"/>
              <w:left w:val="nil"/>
              <w:bottom w:val="single" w:sz="4" w:space="0" w:color="000000"/>
              <w:right w:val="single" w:sz="4" w:space="0" w:color="000000"/>
            </w:tcBorders>
            <w:shd w:val="clear" w:color="auto" w:fill="auto"/>
            <w:noWrap/>
            <w:vAlign w:val="bottom"/>
            <w:hideMark/>
          </w:tcPr>
          <w:p w14:paraId="149461E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10.78</w:t>
            </w:r>
          </w:p>
        </w:tc>
        <w:tc>
          <w:tcPr>
            <w:tcW w:w="1418" w:type="dxa"/>
            <w:tcBorders>
              <w:top w:val="nil"/>
              <w:left w:val="nil"/>
              <w:bottom w:val="single" w:sz="4" w:space="0" w:color="000000"/>
              <w:right w:val="single" w:sz="4" w:space="0" w:color="000000"/>
            </w:tcBorders>
            <w:shd w:val="clear" w:color="auto" w:fill="auto"/>
            <w:noWrap/>
            <w:vAlign w:val="bottom"/>
            <w:hideMark/>
          </w:tcPr>
          <w:p w14:paraId="1B7CD20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86.95</w:t>
            </w:r>
          </w:p>
        </w:tc>
      </w:tr>
      <w:tr w:rsidR="00A0308E" w:rsidRPr="003B10E2" w14:paraId="2B59CB96"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07B6E72"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Shanghai Xinhua Media,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6A48D2A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817.43</w:t>
            </w:r>
          </w:p>
        </w:tc>
        <w:tc>
          <w:tcPr>
            <w:tcW w:w="957" w:type="dxa"/>
            <w:tcBorders>
              <w:top w:val="nil"/>
              <w:left w:val="nil"/>
              <w:bottom w:val="single" w:sz="4" w:space="0" w:color="000000"/>
              <w:right w:val="single" w:sz="4" w:space="0" w:color="000000"/>
            </w:tcBorders>
            <w:shd w:val="clear" w:color="auto" w:fill="auto"/>
            <w:noWrap/>
            <w:vAlign w:val="bottom"/>
            <w:hideMark/>
          </w:tcPr>
          <w:p w14:paraId="06C6E05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5.59</w:t>
            </w:r>
          </w:p>
        </w:tc>
        <w:tc>
          <w:tcPr>
            <w:tcW w:w="1418" w:type="dxa"/>
            <w:tcBorders>
              <w:top w:val="nil"/>
              <w:left w:val="nil"/>
              <w:bottom w:val="single" w:sz="4" w:space="0" w:color="000000"/>
              <w:right w:val="single" w:sz="4" w:space="0" w:color="000000"/>
            </w:tcBorders>
            <w:shd w:val="clear" w:color="auto" w:fill="auto"/>
            <w:noWrap/>
            <w:vAlign w:val="bottom"/>
            <w:hideMark/>
          </w:tcPr>
          <w:p w14:paraId="1699F50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443.61</w:t>
            </w:r>
          </w:p>
        </w:tc>
      </w:tr>
      <w:tr w:rsidR="00A0308E" w:rsidRPr="003B10E2" w14:paraId="3FEF0C63"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EE3FC4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Xinmei Real Estate,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B511D6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10 752.32</w:t>
            </w:r>
          </w:p>
        </w:tc>
        <w:tc>
          <w:tcPr>
            <w:tcW w:w="957" w:type="dxa"/>
            <w:tcBorders>
              <w:top w:val="nil"/>
              <w:left w:val="nil"/>
              <w:bottom w:val="single" w:sz="4" w:space="0" w:color="000000"/>
              <w:right w:val="single" w:sz="4" w:space="0" w:color="000000"/>
            </w:tcBorders>
            <w:shd w:val="clear" w:color="auto" w:fill="auto"/>
            <w:noWrap/>
            <w:vAlign w:val="bottom"/>
            <w:hideMark/>
          </w:tcPr>
          <w:p w14:paraId="71E1154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37.73</w:t>
            </w:r>
          </w:p>
        </w:tc>
        <w:tc>
          <w:tcPr>
            <w:tcW w:w="1418" w:type="dxa"/>
            <w:tcBorders>
              <w:top w:val="nil"/>
              <w:left w:val="nil"/>
              <w:bottom w:val="single" w:sz="4" w:space="0" w:color="000000"/>
              <w:right w:val="single" w:sz="4" w:space="0" w:color="000000"/>
            </w:tcBorders>
            <w:shd w:val="clear" w:color="auto" w:fill="auto"/>
            <w:noWrap/>
            <w:vAlign w:val="bottom"/>
            <w:hideMark/>
          </w:tcPr>
          <w:p w14:paraId="62FA85E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1 022.97</w:t>
            </w:r>
          </w:p>
        </w:tc>
      </w:tr>
      <w:tr w:rsidR="00A0308E" w:rsidRPr="003B10E2" w14:paraId="5F663DD0"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0BB114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Xintonglian Packaging,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392861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257.78</w:t>
            </w:r>
          </w:p>
        </w:tc>
        <w:tc>
          <w:tcPr>
            <w:tcW w:w="957" w:type="dxa"/>
            <w:tcBorders>
              <w:top w:val="nil"/>
              <w:left w:val="nil"/>
              <w:bottom w:val="single" w:sz="4" w:space="0" w:color="000000"/>
              <w:right w:val="single" w:sz="4" w:space="0" w:color="000000"/>
            </w:tcBorders>
            <w:shd w:val="clear" w:color="auto" w:fill="auto"/>
            <w:noWrap/>
            <w:vAlign w:val="bottom"/>
            <w:hideMark/>
          </w:tcPr>
          <w:p w14:paraId="172E19A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9.21</w:t>
            </w:r>
          </w:p>
        </w:tc>
        <w:tc>
          <w:tcPr>
            <w:tcW w:w="1418" w:type="dxa"/>
            <w:tcBorders>
              <w:top w:val="nil"/>
              <w:left w:val="nil"/>
              <w:bottom w:val="single" w:sz="4" w:space="0" w:color="000000"/>
              <w:right w:val="single" w:sz="4" w:space="0" w:color="000000"/>
            </w:tcBorders>
            <w:shd w:val="clear" w:color="auto" w:fill="auto"/>
            <w:noWrap/>
            <w:vAlign w:val="bottom"/>
            <w:hideMark/>
          </w:tcPr>
          <w:p w14:paraId="5E9A456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6.60</w:t>
            </w:r>
          </w:p>
        </w:tc>
      </w:tr>
      <w:tr w:rsidR="00A0308E" w:rsidRPr="003B10E2" w14:paraId="79098AE5"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05E3EE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Yahong Moulding,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A9F5AA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311.72</w:t>
            </w:r>
          </w:p>
        </w:tc>
        <w:tc>
          <w:tcPr>
            <w:tcW w:w="957" w:type="dxa"/>
            <w:tcBorders>
              <w:top w:val="nil"/>
              <w:left w:val="nil"/>
              <w:bottom w:val="single" w:sz="4" w:space="0" w:color="000000"/>
              <w:right w:val="single" w:sz="4" w:space="0" w:color="000000"/>
            </w:tcBorders>
            <w:shd w:val="clear" w:color="auto" w:fill="auto"/>
            <w:noWrap/>
            <w:vAlign w:val="bottom"/>
            <w:hideMark/>
          </w:tcPr>
          <w:p w14:paraId="7E6506D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15.91</w:t>
            </w:r>
          </w:p>
        </w:tc>
        <w:tc>
          <w:tcPr>
            <w:tcW w:w="1418" w:type="dxa"/>
            <w:tcBorders>
              <w:top w:val="nil"/>
              <w:left w:val="nil"/>
              <w:bottom w:val="single" w:sz="4" w:space="0" w:color="000000"/>
              <w:right w:val="single" w:sz="4" w:space="0" w:color="000000"/>
            </w:tcBorders>
            <w:shd w:val="clear" w:color="auto" w:fill="auto"/>
            <w:noWrap/>
            <w:vAlign w:val="bottom"/>
            <w:hideMark/>
          </w:tcPr>
          <w:p w14:paraId="04C447F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98.10</w:t>
            </w:r>
          </w:p>
        </w:tc>
      </w:tr>
      <w:tr w:rsidR="00A0308E" w:rsidRPr="003B10E2" w14:paraId="1F03C7AB"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E226DE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Yanpu Metal Products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9DFE4F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468.88</w:t>
            </w:r>
          </w:p>
        </w:tc>
        <w:tc>
          <w:tcPr>
            <w:tcW w:w="957" w:type="dxa"/>
            <w:tcBorders>
              <w:top w:val="nil"/>
              <w:left w:val="nil"/>
              <w:bottom w:val="single" w:sz="4" w:space="0" w:color="000000"/>
              <w:right w:val="single" w:sz="4" w:space="0" w:color="000000"/>
            </w:tcBorders>
            <w:shd w:val="clear" w:color="auto" w:fill="auto"/>
            <w:noWrap/>
            <w:vAlign w:val="bottom"/>
            <w:hideMark/>
          </w:tcPr>
          <w:p w14:paraId="6D5F45F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41.88</w:t>
            </w:r>
          </w:p>
        </w:tc>
        <w:tc>
          <w:tcPr>
            <w:tcW w:w="1418" w:type="dxa"/>
            <w:tcBorders>
              <w:top w:val="nil"/>
              <w:left w:val="nil"/>
              <w:bottom w:val="single" w:sz="4" w:space="0" w:color="000000"/>
              <w:right w:val="single" w:sz="4" w:space="0" w:color="000000"/>
            </w:tcBorders>
            <w:shd w:val="clear" w:color="auto" w:fill="auto"/>
            <w:noWrap/>
            <w:vAlign w:val="bottom"/>
            <w:hideMark/>
          </w:tcPr>
          <w:p w14:paraId="7B0C396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173.60</w:t>
            </w:r>
          </w:p>
        </w:tc>
      </w:tr>
      <w:tr w:rsidR="00A0308E" w:rsidRPr="003B10E2" w14:paraId="6DA1FFEB"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F0FA01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Yanshi Enterprise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57DA2A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1 163.19</w:t>
            </w:r>
          </w:p>
        </w:tc>
        <w:tc>
          <w:tcPr>
            <w:tcW w:w="957" w:type="dxa"/>
            <w:tcBorders>
              <w:top w:val="nil"/>
              <w:left w:val="nil"/>
              <w:bottom w:val="single" w:sz="4" w:space="0" w:color="000000"/>
              <w:right w:val="single" w:sz="4" w:space="0" w:color="000000"/>
            </w:tcBorders>
            <w:shd w:val="clear" w:color="auto" w:fill="auto"/>
            <w:noWrap/>
            <w:vAlign w:val="bottom"/>
            <w:hideMark/>
          </w:tcPr>
          <w:p w14:paraId="7FD64DF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24.85</w:t>
            </w:r>
          </w:p>
        </w:tc>
        <w:tc>
          <w:tcPr>
            <w:tcW w:w="1418" w:type="dxa"/>
            <w:tcBorders>
              <w:top w:val="nil"/>
              <w:left w:val="nil"/>
              <w:bottom w:val="single" w:sz="4" w:space="0" w:color="000000"/>
              <w:right w:val="single" w:sz="4" w:space="0" w:color="000000"/>
            </w:tcBorders>
            <w:shd w:val="clear" w:color="auto" w:fill="auto"/>
            <w:noWrap/>
            <w:vAlign w:val="bottom"/>
            <w:hideMark/>
          </w:tcPr>
          <w:p w14:paraId="5B79E06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26.61</w:t>
            </w:r>
          </w:p>
        </w:tc>
      </w:tr>
      <w:tr w:rsidR="00A0308E" w:rsidRPr="003B10E2" w14:paraId="6C3380D8"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AE3BEE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Yaohua Pilkington Glass,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E205AF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639.81</w:t>
            </w:r>
          </w:p>
        </w:tc>
        <w:tc>
          <w:tcPr>
            <w:tcW w:w="957" w:type="dxa"/>
            <w:tcBorders>
              <w:top w:val="nil"/>
              <w:left w:val="nil"/>
              <w:bottom w:val="single" w:sz="4" w:space="0" w:color="000000"/>
              <w:right w:val="single" w:sz="4" w:space="0" w:color="000000"/>
            </w:tcBorders>
            <w:shd w:val="clear" w:color="auto" w:fill="auto"/>
            <w:noWrap/>
            <w:vAlign w:val="bottom"/>
            <w:hideMark/>
          </w:tcPr>
          <w:p w14:paraId="0A4DCF7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4.89</w:t>
            </w:r>
          </w:p>
        </w:tc>
        <w:tc>
          <w:tcPr>
            <w:tcW w:w="1418" w:type="dxa"/>
            <w:tcBorders>
              <w:top w:val="nil"/>
              <w:left w:val="nil"/>
              <w:bottom w:val="single" w:sz="4" w:space="0" w:color="000000"/>
              <w:right w:val="single" w:sz="4" w:space="0" w:color="000000"/>
            </w:tcBorders>
            <w:shd w:val="clear" w:color="auto" w:fill="auto"/>
            <w:noWrap/>
            <w:vAlign w:val="bottom"/>
            <w:hideMark/>
          </w:tcPr>
          <w:p w14:paraId="661C714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45.09</w:t>
            </w:r>
          </w:p>
        </w:tc>
      </w:tr>
      <w:tr w:rsidR="00A0308E" w:rsidRPr="003B10E2" w14:paraId="52B0138B"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EE2D19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Yaohua Pilkington Glass,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E8E34C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208BFB0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0.35</w:t>
            </w:r>
          </w:p>
        </w:tc>
        <w:tc>
          <w:tcPr>
            <w:tcW w:w="1418" w:type="dxa"/>
            <w:tcBorders>
              <w:top w:val="nil"/>
              <w:left w:val="nil"/>
              <w:bottom w:val="single" w:sz="4" w:space="0" w:color="000000"/>
              <w:right w:val="single" w:sz="4" w:space="0" w:color="000000"/>
            </w:tcBorders>
            <w:shd w:val="clear" w:color="auto" w:fill="auto"/>
            <w:noWrap/>
            <w:vAlign w:val="bottom"/>
            <w:hideMark/>
          </w:tcPr>
          <w:p w14:paraId="352B217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0.02</w:t>
            </w:r>
          </w:p>
        </w:tc>
      </w:tr>
      <w:tr w:rsidR="00A0308E" w:rsidRPr="003B10E2" w14:paraId="023E6778"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7EAAD9D"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Shanghai Yatong,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11132C0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282.08</w:t>
            </w:r>
          </w:p>
        </w:tc>
        <w:tc>
          <w:tcPr>
            <w:tcW w:w="957" w:type="dxa"/>
            <w:tcBorders>
              <w:top w:val="nil"/>
              <w:left w:val="nil"/>
              <w:bottom w:val="single" w:sz="4" w:space="0" w:color="000000"/>
              <w:right w:val="single" w:sz="4" w:space="0" w:color="000000"/>
            </w:tcBorders>
            <w:shd w:val="clear" w:color="auto" w:fill="auto"/>
            <w:noWrap/>
            <w:vAlign w:val="bottom"/>
            <w:hideMark/>
          </w:tcPr>
          <w:p w14:paraId="278C4FF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5.73</w:t>
            </w:r>
          </w:p>
        </w:tc>
        <w:tc>
          <w:tcPr>
            <w:tcW w:w="1418" w:type="dxa"/>
            <w:tcBorders>
              <w:top w:val="nil"/>
              <w:left w:val="nil"/>
              <w:bottom w:val="single" w:sz="4" w:space="0" w:color="000000"/>
              <w:right w:val="single" w:sz="4" w:space="0" w:color="000000"/>
            </w:tcBorders>
            <w:shd w:val="clear" w:color="auto" w:fill="auto"/>
            <w:noWrap/>
            <w:vAlign w:val="bottom"/>
            <w:hideMark/>
          </w:tcPr>
          <w:p w14:paraId="4CE4D7F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25.14</w:t>
            </w:r>
          </w:p>
        </w:tc>
      </w:tr>
      <w:tr w:rsidR="00A0308E" w:rsidRPr="003B10E2" w14:paraId="46261622"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F140B4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Yimin Commerce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F02AFB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533.98</w:t>
            </w:r>
          </w:p>
        </w:tc>
        <w:tc>
          <w:tcPr>
            <w:tcW w:w="957" w:type="dxa"/>
            <w:tcBorders>
              <w:top w:val="nil"/>
              <w:left w:val="nil"/>
              <w:bottom w:val="single" w:sz="4" w:space="0" w:color="000000"/>
              <w:right w:val="single" w:sz="4" w:space="0" w:color="000000"/>
            </w:tcBorders>
            <w:shd w:val="clear" w:color="auto" w:fill="auto"/>
            <w:noWrap/>
            <w:vAlign w:val="bottom"/>
            <w:hideMark/>
          </w:tcPr>
          <w:p w14:paraId="151AE98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3.62</w:t>
            </w:r>
          </w:p>
        </w:tc>
        <w:tc>
          <w:tcPr>
            <w:tcW w:w="1418" w:type="dxa"/>
            <w:tcBorders>
              <w:top w:val="nil"/>
              <w:left w:val="nil"/>
              <w:bottom w:val="single" w:sz="4" w:space="0" w:color="000000"/>
              <w:right w:val="single" w:sz="4" w:space="0" w:color="000000"/>
            </w:tcBorders>
            <w:shd w:val="clear" w:color="auto" w:fill="auto"/>
            <w:noWrap/>
            <w:vAlign w:val="bottom"/>
            <w:hideMark/>
          </w:tcPr>
          <w:p w14:paraId="447E8E4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19.52</w:t>
            </w:r>
          </w:p>
        </w:tc>
      </w:tr>
      <w:tr w:rsidR="00A0308E" w:rsidRPr="003B10E2" w14:paraId="3457C534"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E2C015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Yizhong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93C9BD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1 061.63</w:t>
            </w:r>
          </w:p>
        </w:tc>
        <w:tc>
          <w:tcPr>
            <w:tcW w:w="957" w:type="dxa"/>
            <w:tcBorders>
              <w:top w:val="nil"/>
              <w:left w:val="nil"/>
              <w:bottom w:val="single" w:sz="4" w:space="0" w:color="000000"/>
              <w:right w:val="single" w:sz="4" w:space="0" w:color="000000"/>
            </w:tcBorders>
            <w:shd w:val="clear" w:color="auto" w:fill="auto"/>
            <w:noWrap/>
            <w:vAlign w:val="bottom"/>
            <w:hideMark/>
          </w:tcPr>
          <w:p w14:paraId="6534094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71.70</w:t>
            </w:r>
          </w:p>
        </w:tc>
        <w:tc>
          <w:tcPr>
            <w:tcW w:w="1418" w:type="dxa"/>
            <w:tcBorders>
              <w:top w:val="nil"/>
              <w:left w:val="nil"/>
              <w:bottom w:val="single" w:sz="4" w:space="0" w:color="000000"/>
              <w:right w:val="single" w:sz="4" w:space="0" w:color="000000"/>
            </w:tcBorders>
            <w:shd w:val="clear" w:color="auto" w:fill="auto"/>
            <w:noWrap/>
            <w:vAlign w:val="bottom"/>
            <w:hideMark/>
          </w:tcPr>
          <w:p w14:paraId="1855F2F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61.61</w:t>
            </w:r>
          </w:p>
        </w:tc>
      </w:tr>
      <w:tr w:rsidR="00A0308E" w:rsidRPr="003B10E2" w14:paraId="13A89D79"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63527F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Yongguan Adhesive Products,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04A306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396.14</w:t>
            </w:r>
          </w:p>
        </w:tc>
        <w:tc>
          <w:tcPr>
            <w:tcW w:w="957" w:type="dxa"/>
            <w:tcBorders>
              <w:top w:val="nil"/>
              <w:left w:val="nil"/>
              <w:bottom w:val="single" w:sz="4" w:space="0" w:color="000000"/>
              <w:right w:val="single" w:sz="4" w:space="0" w:color="000000"/>
            </w:tcBorders>
            <w:shd w:val="clear" w:color="auto" w:fill="auto"/>
            <w:noWrap/>
            <w:vAlign w:val="bottom"/>
            <w:hideMark/>
          </w:tcPr>
          <w:p w14:paraId="192FAFD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14.81</w:t>
            </w:r>
          </w:p>
        </w:tc>
        <w:tc>
          <w:tcPr>
            <w:tcW w:w="1418" w:type="dxa"/>
            <w:tcBorders>
              <w:top w:val="nil"/>
              <w:left w:val="nil"/>
              <w:bottom w:val="single" w:sz="4" w:space="0" w:color="000000"/>
              <w:right w:val="single" w:sz="4" w:space="0" w:color="000000"/>
            </w:tcBorders>
            <w:shd w:val="clear" w:color="auto" w:fill="auto"/>
            <w:noWrap/>
            <w:vAlign w:val="bottom"/>
            <w:hideMark/>
          </w:tcPr>
          <w:p w14:paraId="5578BAF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19.49</w:t>
            </w:r>
          </w:p>
        </w:tc>
      </w:tr>
      <w:tr w:rsidR="00A0308E" w:rsidRPr="003B10E2" w14:paraId="664EA182"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6ADF05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Yongmaotai Automotive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9EA1B1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245.21</w:t>
            </w:r>
          </w:p>
        </w:tc>
        <w:tc>
          <w:tcPr>
            <w:tcW w:w="957" w:type="dxa"/>
            <w:tcBorders>
              <w:top w:val="nil"/>
              <w:left w:val="nil"/>
              <w:bottom w:val="single" w:sz="4" w:space="0" w:color="000000"/>
              <w:right w:val="single" w:sz="4" w:space="0" w:color="000000"/>
            </w:tcBorders>
            <w:shd w:val="clear" w:color="auto" w:fill="auto"/>
            <w:noWrap/>
            <w:vAlign w:val="bottom"/>
            <w:hideMark/>
          </w:tcPr>
          <w:p w14:paraId="451E00E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9.32</w:t>
            </w:r>
          </w:p>
        </w:tc>
        <w:tc>
          <w:tcPr>
            <w:tcW w:w="1418" w:type="dxa"/>
            <w:tcBorders>
              <w:top w:val="nil"/>
              <w:left w:val="nil"/>
              <w:bottom w:val="single" w:sz="4" w:space="0" w:color="000000"/>
              <w:right w:val="single" w:sz="4" w:space="0" w:color="000000"/>
            </w:tcBorders>
            <w:shd w:val="clear" w:color="auto" w:fill="auto"/>
            <w:noWrap/>
            <w:vAlign w:val="bottom"/>
            <w:hideMark/>
          </w:tcPr>
          <w:p w14:paraId="2B152C3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34.44</w:t>
            </w:r>
          </w:p>
        </w:tc>
      </w:tr>
      <w:tr w:rsidR="00A0308E" w:rsidRPr="003B10E2" w14:paraId="004EBE81"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196DC6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Yuyuan Tourist Mart,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392560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4 007.17</w:t>
            </w:r>
          </w:p>
        </w:tc>
        <w:tc>
          <w:tcPr>
            <w:tcW w:w="957" w:type="dxa"/>
            <w:tcBorders>
              <w:top w:val="nil"/>
              <w:left w:val="nil"/>
              <w:bottom w:val="single" w:sz="4" w:space="0" w:color="000000"/>
              <w:right w:val="single" w:sz="4" w:space="0" w:color="000000"/>
            </w:tcBorders>
            <w:shd w:val="clear" w:color="auto" w:fill="auto"/>
            <w:noWrap/>
            <w:vAlign w:val="bottom"/>
            <w:hideMark/>
          </w:tcPr>
          <w:p w14:paraId="5FFA1E2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7.36</w:t>
            </w:r>
          </w:p>
        </w:tc>
        <w:tc>
          <w:tcPr>
            <w:tcW w:w="1418" w:type="dxa"/>
            <w:tcBorders>
              <w:top w:val="nil"/>
              <w:left w:val="nil"/>
              <w:bottom w:val="single" w:sz="4" w:space="0" w:color="000000"/>
              <w:right w:val="single" w:sz="4" w:space="0" w:color="000000"/>
            </w:tcBorders>
            <w:shd w:val="clear" w:color="auto" w:fill="auto"/>
            <w:noWrap/>
            <w:vAlign w:val="bottom"/>
            <w:hideMark/>
          </w:tcPr>
          <w:p w14:paraId="1962D9E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39.77</w:t>
            </w:r>
          </w:p>
        </w:tc>
      </w:tr>
      <w:tr w:rsidR="00A0308E" w:rsidRPr="003B10E2" w14:paraId="1743A3AB"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7EEFBD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Zhangjiang Hi-Tech Park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63FF13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3 142.68</w:t>
            </w:r>
          </w:p>
        </w:tc>
        <w:tc>
          <w:tcPr>
            <w:tcW w:w="957" w:type="dxa"/>
            <w:tcBorders>
              <w:top w:val="nil"/>
              <w:left w:val="nil"/>
              <w:bottom w:val="single" w:sz="4" w:space="0" w:color="000000"/>
              <w:right w:val="single" w:sz="4" w:space="0" w:color="000000"/>
            </w:tcBorders>
            <w:shd w:val="clear" w:color="auto" w:fill="auto"/>
            <w:noWrap/>
            <w:vAlign w:val="bottom"/>
            <w:hideMark/>
          </w:tcPr>
          <w:p w14:paraId="6E15ED9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14.50</w:t>
            </w:r>
          </w:p>
        </w:tc>
        <w:tc>
          <w:tcPr>
            <w:tcW w:w="1418" w:type="dxa"/>
            <w:tcBorders>
              <w:top w:val="nil"/>
              <w:left w:val="nil"/>
              <w:bottom w:val="single" w:sz="4" w:space="0" w:color="000000"/>
              <w:right w:val="single" w:sz="4" w:space="0" w:color="000000"/>
            </w:tcBorders>
            <w:shd w:val="clear" w:color="auto" w:fill="auto"/>
            <w:noWrap/>
            <w:vAlign w:val="bottom"/>
            <w:hideMark/>
          </w:tcPr>
          <w:p w14:paraId="5A48006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273.17</w:t>
            </w:r>
          </w:p>
        </w:tc>
      </w:tr>
      <w:tr w:rsidR="00A0308E" w:rsidRPr="003B10E2" w14:paraId="1774679E"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8EA987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Zhenhua Heavy Industries Company,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AE7A95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2 683.76</w:t>
            </w:r>
          </w:p>
        </w:tc>
        <w:tc>
          <w:tcPr>
            <w:tcW w:w="957" w:type="dxa"/>
            <w:tcBorders>
              <w:top w:val="nil"/>
              <w:left w:val="nil"/>
              <w:bottom w:val="single" w:sz="4" w:space="0" w:color="000000"/>
              <w:right w:val="single" w:sz="4" w:space="0" w:color="000000"/>
            </w:tcBorders>
            <w:shd w:val="clear" w:color="auto" w:fill="auto"/>
            <w:noWrap/>
            <w:vAlign w:val="bottom"/>
            <w:hideMark/>
          </w:tcPr>
          <w:p w14:paraId="2457D9C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3.64</w:t>
            </w:r>
          </w:p>
        </w:tc>
        <w:tc>
          <w:tcPr>
            <w:tcW w:w="1418" w:type="dxa"/>
            <w:tcBorders>
              <w:top w:val="nil"/>
              <w:left w:val="nil"/>
              <w:bottom w:val="single" w:sz="4" w:space="0" w:color="000000"/>
              <w:right w:val="single" w:sz="4" w:space="0" w:color="000000"/>
            </w:tcBorders>
            <w:shd w:val="clear" w:color="auto" w:fill="auto"/>
            <w:noWrap/>
            <w:vAlign w:val="bottom"/>
            <w:hideMark/>
          </w:tcPr>
          <w:p w14:paraId="594A6E4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46.04</w:t>
            </w:r>
          </w:p>
        </w:tc>
      </w:tr>
      <w:tr w:rsidR="00A0308E" w:rsidRPr="003B10E2" w14:paraId="73421DA4"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7B7CE1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Zhenhua Heavy Industries Company,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16B5E2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5F08687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0.24</w:t>
            </w:r>
          </w:p>
        </w:tc>
        <w:tc>
          <w:tcPr>
            <w:tcW w:w="1418" w:type="dxa"/>
            <w:tcBorders>
              <w:top w:val="nil"/>
              <w:left w:val="nil"/>
              <w:bottom w:val="single" w:sz="4" w:space="0" w:color="000000"/>
              <w:right w:val="single" w:sz="4" w:space="0" w:color="000000"/>
            </w:tcBorders>
            <w:shd w:val="clear" w:color="auto" w:fill="auto"/>
            <w:noWrap/>
            <w:vAlign w:val="bottom"/>
            <w:hideMark/>
          </w:tcPr>
          <w:p w14:paraId="609C9D0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0.15</w:t>
            </w:r>
          </w:p>
        </w:tc>
      </w:tr>
      <w:tr w:rsidR="00A0308E" w:rsidRPr="003B10E2" w14:paraId="3251970E"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A780A9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Zhixin Electric,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A3A75C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4 561.62</w:t>
            </w:r>
          </w:p>
        </w:tc>
        <w:tc>
          <w:tcPr>
            <w:tcW w:w="957" w:type="dxa"/>
            <w:tcBorders>
              <w:top w:val="nil"/>
              <w:left w:val="nil"/>
              <w:bottom w:val="single" w:sz="4" w:space="0" w:color="000000"/>
              <w:right w:val="single" w:sz="4" w:space="0" w:color="000000"/>
            </w:tcBorders>
            <w:shd w:val="clear" w:color="auto" w:fill="auto"/>
            <w:noWrap/>
            <w:vAlign w:val="bottom"/>
            <w:hideMark/>
          </w:tcPr>
          <w:p w14:paraId="2FC44A7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5.70</w:t>
            </w:r>
          </w:p>
        </w:tc>
        <w:tc>
          <w:tcPr>
            <w:tcW w:w="1418" w:type="dxa"/>
            <w:tcBorders>
              <w:top w:val="nil"/>
              <w:left w:val="nil"/>
              <w:bottom w:val="single" w:sz="4" w:space="0" w:color="000000"/>
              <w:right w:val="single" w:sz="4" w:space="0" w:color="000000"/>
            </w:tcBorders>
            <w:shd w:val="clear" w:color="auto" w:fill="auto"/>
            <w:noWrap/>
            <w:vAlign w:val="bottom"/>
            <w:hideMark/>
          </w:tcPr>
          <w:p w14:paraId="1869EA6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69.63</w:t>
            </w:r>
          </w:p>
        </w:tc>
      </w:tr>
      <w:tr w:rsidR="00A0308E" w:rsidRPr="003B10E2" w14:paraId="22F98B1E"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F1CCBA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Zhonggu Logistics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EBE92A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1 357.87</w:t>
            </w:r>
          </w:p>
        </w:tc>
        <w:tc>
          <w:tcPr>
            <w:tcW w:w="957" w:type="dxa"/>
            <w:tcBorders>
              <w:top w:val="nil"/>
              <w:left w:val="nil"/>
              <w:bottom w:val="single" w:sz="4" w:space="0" w:color="000000"/>
              <w:right w:val="single" w:sz="4" w:space="0" w:color="000000"/>
            </w:tcBorders>
            <w:shd w:val="clear" w:color="auto" w:fill="auto"/>
            <w:noWrap/>
            <w:vAlign w:val="bottom"/>
            <w:hideMark/>
          </w:tcPr>
          <w:p w14:paraId="400CCC3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10.12</w:t>
            </w:r>
          </w:p>
        </w:tc>
        <w:tc>
          <w:tcPr>
            <w:tcW w:w="1418" w:type="dxa"/>
            <w:tcBorders>
              <w:top w:val="nil"/>
              <w:left w:val="nil"/>
              <w:bottom w:val="single" w:sz="4" w:space="0" w:color="000000"/>
              <w:right w:val="single" w:sz="4" w:space="0" w:color="000000"/>
            </w:tcBorders>
            <w:shd w:val="clear" w:color="auto" w:fill="auto"/>
            <w:noWrap/>
            <w:vAlign w:val="bottom"/>
            <w:hideMark/>
          </w:tcPr>
          <w:p w14:paraId="4604032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115.55</w:t>
            </w:r>
          </w:p>
        </w:tc>
      </w:tr>
      <w:tr w:rsidR="00A0308E" w:rsidRPr="003B10E2" w14:paraId="35A0A323"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A5ACE38"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Shanghai Zhongyida,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68A62FC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1 972.99</w:t>
            </w:r>
          </w:p>
        </w:tc>
        <w:tc>
          <w:tcPr>
            <w:tcW w:w="957" w:type="dxa"/>
            <w:tcBorders>
              <w:top w:val="nil"/>
              <w:left w:val="nil"/>
              <w:bottom w:val="single" w:sz="4" w:space="0" w:color="000000"/>
              <w:right w:val="single" w:sz="4" w:space="0" w:color="000000"/>
            </w:tcBorders>
            <w:shd w:val="clear" w:color="auto" w:fill="auto"/>
            <w:noWrap/>
            <w:vAlign w:val="bottom"/>
            <w:hideMark/>
          </w:tcPr>
          <w:p w14:paraId="4A82F12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13.16</w:t>
            </w:r>
          </w:p>
        </w:tc>
        <w:tc>
          <w:tcPr>
            <w:tcW w:w="1418" w:type="dxa"/>
            <w:tcBorders>
              <w:top w:val="nil"/>
              <w:left w:val="nil"/>
              <w:bottom w:val="single" w:sz="4" w:space="0" w:color="000000"/>
              <w:right w:val="single" w:sz="4" w:space="0" w:color="000000"/>
            </w:tcBorders>
            <w:shd w:val="clear" w:color="auto" w:fill="auto"/>
            <w:noWrap/>
            <w:vAlign w:val="bottom"/>
            <w:hideMark/>
          </w:tcPr>
          <w:p w14:paraId="1C6A508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39.74</w:t>
            </w:r>
          </w:p>
        </w:tc>
      </w:tr>
      <w:tr w:rsidR="00A0308E" w:rsidRPr="003B10E2" w14:paraId="76F6273C"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E9F49DB"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Shanghai Zhongyida,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6FE15615"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32B069D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0.43</w:t>
            </w:r>
          </w:p>
        </w:tc>
        <w:tc>
          <w:tcPr>
            <w:tcW w:w="1418" w:type="dxa"/>
            <w:tcBorders>
              <w:top w:val="nil"/>
              <w:left w:val="nil"/>
              <w:bottom w:val="single" w:sz="4" w:space="0" w:color="000000"/>
              <w:right w:val="single" w:sz="4" w:space="0" w:color="000000"/>
            </w:tcBorders>
            <w:shd w:val="clear" w:color="auto" w:fill="auto"/>
            <w:noWrap/>
            <w:vAlign w:val="bottom"/>
            <w:hideMark/>
          </w:tcPr>
          <w:p w14:paraId="34D8A9C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0.32</w:t>
            </w:r>
          </w:p>
        </w:tc>
      </w:tr>
      <w:tr w:rsidR="00A0308E" w:rsidRPr="003B10E2" w14:paraId="6BFE3315"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C4C10D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Zijiang Enterprise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D30206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1 095.28</w:t>
            </w:r>
          </w:p>
        </w:tc>
        <w:tc>
          <w:tcPr>
            <w:tcW w:w="957" w:type="dxa"/>
            <w:tcBorders>
              <w:top w:val="nil"/>
              <w:left w:val="nil"/>
              <w:bottom w:val="single" w:sz="4" w:space="0" w:color="000000"/>
              <w:right w:val="single" w:sz="4" w:space="0" w:color="000000"/>
            </w:tcBorders>
            <w:shd w:val="clear" w:color="auto" w:fill="auto"/>
            <w:noWrap/>
            <w:vAlign w:val="bottom"/>
            <w:hideMark/>
          </w:tcPr>
          <w:p w14:paraId="6A576CF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5.16</w:t>
            </w:r>
          </w:p>
        </w:tc>
        <w:tc>
          <w:tcPr>
            <w:tcW w:w="1418" w:type="dxa"/>
            <w:tcBorders>
              <w:top w:val="nil"/>
              <w:left w:val="nil"/>
              <w:bottom w:val="single" w:sz="4" w:space="0" w:color="000000"/>
              <w:right w:val="single" w:sz="4" w:space="0" w:color="000000"/>
            </w:tcBorders>
            <w:shd w:val="clear" w:color="auto" w:fill="auto"/>
            <w:noWrap/>
            <w:vAlign w:val="bottom"/>
            <w:hideMark/>
          </w:tcPr>
          <w:p w14:paraId="36FB913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48.74</w:t>
            </w:r>
          </w:p>
        </w:tc>
      </w:tr>
      <w:tr w:rsidR="00A0308E" w:rsidRPr="003B10E2" w14:paraId="7BD85EAA"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1FA9981"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Shanghai Ziyan Foods,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55DF9A7E"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7E36A93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24.05</w:t>
            </w:r>
          </w:p>
        </w:tc>
        <w:tc>
          <w:tcPr>
            <w:tcW w:w="1418" w:type="dxa"/>
            <w:tcBorders>
              <w:top w:val="nil"/>
              <w:left w:val="nil"/>
              <w:bottom w:val="single" w:sz="4" w:space="0" w:color="000000"/>
              <w:right w:val="single" w:sz="4" w:space="0" w:color="000000"/>
            </w:tcBorders>
            <w:shd w:val="clear" w:color="auto" w:fill="auto"/>
            <w:noWrap/>
            <w:vAlign w:val="bottom"/>
            <w:hideMark/>
          </w:tcPr>
          <w:p w14:paraId="1205995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30.89</w:t>
            </w:r>
          </w:p>
        </w:tc>
      </w:tr>
      <w:tr w:rsidR="00A0308E" w:rsidRPr="003B10E2" w14:paraId="09E1E723"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6B4AB93"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Shanghai ZJ Bio-Tech,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4C26FE2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715.00</w:t>
            </w:r>
          </w:p>
        </w:tc>
        <w:tc>
          <w:tcPr>
            <w:tcW w:w="957" w:type="dxa"/>
            <w:tcBorders>
              <w:top w:val="nil"/>
              <w:left w:val="nil"/>
              <w:bottom w:val="single" w:sz="4" w:space="0" w:color="000000"/>
              <w:right w:val="single" w:sz="4" w:space="0" w:color="000000"/>
            </w:tcBorders>
            <w:shd w:val="clear" w:color="auto" w:fill="auto"/>
            <w:noWrap/>
            <w:vAlign w:val="bottom"/>
            <w:hideMark/>
          </w:tcPr>
          <w:p w14:paraId="0EF09FD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26.24</w:t>
            </w:r>
          </w:p>
        </w:tc>
        <w:tc>
          <w:tcPr>
            <w:tcW w:w="1418" w:type="dxa"/>
            <w:tcBorders>
              <w:top w:val="nil"/>
              <w:left w:val="nil"/>
              <w:bottom w:val="single" w:sz="4" w:space="0" w:color="000000"/>
              <w:right w:val="single" w:sz="4" w:space="0" w:color="000000"/>
            </w:tcBorders>
            <w:shd w:val="clear" w:color="auto" w:fill="auto"/>
            <w:noWrap/>
            <w:vAlign w:val="bottom"/>
            <w:hideMark/>
          </w:tcPr>
          <w:p w14:paraId="402FEE9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63.52</w:t>
            </w:r>
          </w:p>
        </w:tc>
      </w:tr>
      <w:tr w:rsidR="00A0308E" w:rsidRPr="003B10E2" w14:paraId="282DF8F3"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A6CE4F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Shantou Dongfeng Printing,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E99650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945.67</w:t>
            </w:r>
          </w:p>
        </w:tc>
        <w:tc>
          <w:tcPr>
            <w:tcW w:w="957" w:type="dxa"/>
            <w:tcBorders>
              <w:top w:val="nil"/>
              <w:left w:val="nil"/>
              <w:bottom w:val="single" w:sz="4" w:space="0" w:color="000000"/>
              <w:right w:val="single" w:sz="4" w:space="0" w:color="000000"/>
            </w:tcBorders>
            <w:shd w:val="clear" w:color="auto" w:fill="auto"/>
            <w:noWrap/>
            <w:vAlign w:val="bottom"/>
            <w:hideMark/>
          </w:tcPr>
          <w:p w14:paraId="5DC569F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4.40</w:t>
            </w:r>
          </w:p>
        </w:tc>
        <w:tc>
          <w:tcPr>
            <w:tcW w:w="1418" w:type="dxa"/>
            <w:tcBorders>
              <w:top w:val="nil"/>
              <w:left w:val="nil"/>
              <w:bottom w:val="single" w:sz="4" w:space="0" w:color="000000"/>
              <w:right w:val="single" w:sz="4" w:space="0" w:color="000000"/>
            </w:tcBorders>
            <w:shd w:val="clear" w:color="auto" w:fill="auto"/>
            <w:noWrap/>
            <w:vAlign w:val="bottom"/>
            <w:hideMark/>
          </w:tcPr>
          <w:p w14:paraId="797F6AB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53.44</w:t>
            </w:r>
          </w:p>
        </w:tc>
      </w:tr>
      <w:tr w:rsidR="00A0308E" w:rsidRPr="003B10E2" w14:paraId="33D63F33"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6B44F88"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Shanxi Antai Group,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4E5BD24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321.25</w:t>
            </w:r>
          </w:p>
        </w:tc>
        <w:tc>
          <w:tcPr>
            <w:tcW w:w="957" w:type="dxa"/>
            <w:tcBorders>
              <w:top w:val="nil"/>
              <w:left w:val="nil"/>
              <w:bottom w:val="single" w:sz="4" w:space="0" w:color="000000"/>
              <w:right w:val="single" w:sz="4" w:space="0" w:color="000000"/>
            </w:tcBorders>
            <w:shd w:val="clear" w:color="auto" w:fill="auto"/>
            <w:noWrap/>
            <w:vAlign w:val="bottom"/>
            <w:hideMark/>
          </w:tcPr>
          <w:p w14:paraId="339F88C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2.28</w:t>
            </w:r>
          </w:p>
        </w:tc>
        <w:tc>
          <w:tcPr>
            <w:tcW w:w="1418" w:type="dxa"/>
            <w:tcBorders>
              <w:top w:val="nil"/>
              <w:left w:val="nil"/>
              <w:bottom w:val="single" w:sz="4" w:space="0" w:color="000000"/>
              <w:right w:val="single" w:sz="4" w:space="0" w:color="000000"/>
            </w:tcBorders>
            <w:shd w:val="clear" w:color="auto" w:fill="auto"/>
            <w:noWrap/>
            <w:vAlign w:val="bottom"/>
            <w:hideMark/>
          </w:tcPr>
          <w:p w14:paraId="0A4FD62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11.56</w:t>
            </w:r>
          </w:p>
        </w:tc>
      </w:tr>
      <w:tr w:rsidR="00A0308E" w:rsidRPr="003B10E2" w14:paraId="3C6CEF75"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D435C7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Shanxi Coal International Energy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C404D3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3 903.60</w:t>
            </w:r>
          </w:p>
        </w:tc>
        <w:tc>
          <w:tcPr>
            <w:tcW w:w="957" w:type="dxa"/>
            <w:tcBorders>
              <w:top w:val="nil"/>
              <w:left w:val="nil"/>
              <w:bottom w:val="single" w:sz="4" w:space="0" w:color="000000"/>
              <w:right w:val="single" w:sz="4" w:space="0" w:color="000000"/>
            </w:tcBorders>
            <w:shd w:val="clear" w:color="auto" w:fill="auto"/>
            <w:noWrap/>
            <w:vAlign w:val="bottom"/>
            <w:hideMark/>
          </w:tcPr>
          <w:p w14:paraId="29DF82C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14.07</w:t>
            </w:r>
          </w:p>
        </w:tc>
        <w:tc>
          <w:tcPr>
            <w:tcW w:w="1418" w:type="dxa"/>
            <w:tcBorders>
              <w:top w:val="nil"/>
              <w:left w:val="nil"/>
              <w:bottom w:val="single" w:sz="4" w:space="0" w:color="000000"/>
              <w:right w:val="single" w:sz="4" w:space="0" w:color="000000"/>
            </w:tcBorders>
            <w:shd w:val="clear" w:color="auto" w:fill="auto"/>
            <w:noWrap/>
            <w:vAlign w:val="bottom"/>
            <w:hideMark/>
          </w:tcPr>
          <w:p w14:paraId="7EA9354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301.82</w:t>
            </w:r>
          </w:p>
        </w:tc>
      </w:tr>
      <w:tr w:rsidR="00A0308E" w:rsidRPr="003B10E2" w14:paraId="2FD17369"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A2B2443"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Shanxi Coking,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241AE02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1 807.16</w:t>
            </w:r>
          </w:p>
        </w:tc>
        <w:tc>
          <w:tcPr>
            <w:tcW w:w="957" w:type="dxa"/>
            <w:tcBorders>
              <w:top w:val="nil"/>
              <w:left w:val="nil"/>
              <w:bottom w:val="single" w:sz="4" w:space="0" w:color="000000"/>
              <w:right w:val="single" w:sz="4" w:space="0" w:color="000000"/>
            </w:tcBorders>
            <w:shd w:val="clear" w:color="auto" w:fill="auto"/>
            <w:noWrap/>
            <w:vAlign w:val="bottom"/>
            <w:hideMark/>
          </w:tcPr>
          <w:p w14:paraId="361517E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5.04</w:t>
            </w:r>
          </w:p>
        </w:tc>
        <w:tc>
          <w:tcPr>
            <w:tcW w:w="1418" w:type="dxa"/>
            <w:tcBorders>
              <w:top w:val="nil"/>
              <w:left w:val="nil"/>
              <w:bottom w:val="single" w:sz="4" w:space="0" w:color="000000"/>
              <w:right w:val="single" w:sz="4" w:space="0" w:color="000000"/>
            </w:tcBorders>
            <w:shd w:val="clear" w:color="auto" w:fill="auto"/>
            <w:noWrap/>
            <w:vAlign w:val="bottom"/>
            <w:hideMark/>
          </w:tcPr>
          <w:p w14:paraId="6242981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26.41</w:t>
            </w:r>
          </w:p>
        </w:tc>
      </w:tr>
      <w:tr w:rsidR="00A0308E" w:rsidRPr="003B10E2" w14:paraId="31E98441"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14560CF"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Shanxi Guoxin Energy,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2D9F9AA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781.03</w:t>
            </w:r>
          </w:p>
        </w:tc>
        <w:tc>
          <w:tcPr>
            <w:tcW w:w="957" w:type="dxa"/>
            <w:tcBorders>
              <w:top w:val="nil"/>
              <w:left w:val="nil"/>
              <w:bottom w:val="single" w:sz="4" w:space="0" w:color="000000"/>
              <w:right w:val="single" w:sz="4" w:space="0" w:color="000000"/>
            </w:tcBorders>
            <w:shd w:val="clear" w:color="auto" w:fill="auto"/>
            <w:noWrap/>
            <w:vAlign w:val="bottom"/>
            <w:hideMark/>
          </w:tcPr>
          <w:p w14:paraId="5EFBB32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4.05</w:t>
            </w:r>
          </w:p>
        </w:tc>
        <w:tc>
          <w:tcPr>
            <w:tcW w:w="1418" w:type="dxa"/>
            <w:tcBorders>
              <w:top w:val="nil"/>
              <w:left w:val="nil"/>
              <w:bottom w:val="single" w:sz="4" w:space="0" w:color="000000"/>
              <w:right w:val="single" w:sz="4" w:space="0" w:color="000000"/>
            </w:tcBorders>
            <w:shd w:val="clear" w:color="auto" w:fill="auto"/>
            <w:noWrap/>
            <w:vAlign w:val="bottom"/>
            <w:hideMark/>
          </w:tcPr>
          <w:p w14:paraId="7914E6D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18.83</w:t>
            </w:r>
          </w:p>
        </w:tc>
      </w:tr>
      <w:tr w:rsidR="00A0308E" w:rsidRPr="003B10E2" w14:paraId="5611C6B5"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6836EAE"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Shanxi Guoxin Energy,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5B39E479"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56FED8F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0.33</w:t>
            </w:r>
          </w:p>
        </w:tc>
        <w:tc>
          <w:tcPr>
            <w:tcW w:w="1418" w:type="dxa"/>
            <w:tcBorders>
              <w:top w:val="nil"/>
              <w:left w:val="nil"/>
              <w:bottom w:val="single" w:sz="4" w:space="0" w:color="000000"/>
              <w:right w:val="single" w:sz="4" w:space="0" w:color="000000"/>
            </w:tcBorders>
            <w:shd w:val="clear" w:color="auto" w:fill="auto"/>
            <w:noWrap/>
            <w:vAlign w:val="bottom"/>
            <w:hideMark/>
          </w:tcPr>
          <w:p w14:paraId="09D5470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0.05</w:t>
            </w:r>
          </w:p>
        </w:tc>
      </w:tr>
      <w:tr w:rsidR="00A0308E" w:rsidRPr="003B10E2" w14:paraId="79E20E0D"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300E35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Shanxi Huaxiang Group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41DAB4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675.51</w:t>
            </w:r>
          </w:p>
        </w:tc>
        <w:tc>
          <w:tcPr>
            <w:tcW w:w="957" w:type="dxa"/>
            <w:tcBorders>
              <w:top w:val="nil"/>
              <w:left w:val="nil"/>
              <w:bottom w:val="single" w:sz="4" w:space="0" w:color="000000"/>
              <w:right w:val="single" w:sz="4" w:space="0" w:color="000000"/>
            </w:tcBorders>
            <w:shd w:val="clear" w:color="auto" w:fill="auto"/>
            <w:noWrap/>
            <w:vAlign w:val="bottom"/>
            <w:hideMark/>
          </w:tcPr>
          <w:p w14:paraId="1140077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11.04</w:t>
            </w:r>
          </w:p>
        </w:tc>
        <w:tc>
          <w:tcPr>
            <w:tcW w:w="1418" w:type="dxa"/>
            <w:tcBorders>
              <w:top w:val="nil"/>
              <w:left w:val="nil"/>
              <w:bottom w:val="single" w:sz="4" w:space="0" w:color="000000"/>
              <w:right w:val="single" w:sz="4" w:space="0" w:color="000000"/>
            </w:tcBorders>
            <w:shd w:val="clear" w:color="auto" w:fill="auto"/>
            <w:noWrap/>
            <w:vAlign w:val="bottom"/>
            <w:hideMark/>
          </w:tcPr>
          <w:p w14:paraId="606ABD0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26.53</w:t>
            </w:r>
          </w:p>
        </w:tc>
      </w:tr>
      <w:tr w:rsidR="00A0308E" w:rsidRPr="003B10E2" w14:paraId="38D1FC1B"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042137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Shanxi Lanhua Sci-Tech Venture,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1F28B8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1 932.91</w:t>
            </w:r>
          </w:p>
        </w:tc>
        <w:tc>
          <w:tcPr>
            <w:tcW w:w="957" w:type="dxa"/>
            <w:tcBorders>
              <w:top w:val="nil"/>
              <w:left w:val="nil"/>
              <w:bottom w:val="single" w:sz="4" w:space="0" w:color="000000"/>
              <w:right w:val="single" w:sz="4" w:space="0" w:color="000000"/>
            </w:tcBorders>
            <w:shd w:val="clear" w:color="auto" w:fill="auto"/>
            <w:noWrap/>
            <w:vAlign w:val="bottom"/>
            <w:hideMark/>
          </w:tcPr>
          <w:p w14:paraId="40DFDA9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12.09</w:t>
            </w:r>
          </w:p>
        </w:tc>
        <w:tc>
          <w:tcPr>
            <w:tcW w:w="1418" w:type="dxa"/>
            <w:tcBorders>
              <w:top w:val="nil"/>
              <w:left w:val="nil"/>
              <w:bottom w:val="single" w:sz="4" w:space="0" w:color="000000"/>
              <w:right w:val="single" w:sz="4" w:space="0" w:color="000000"/>
            </w:tcBorders>
            <w:shd w:val="clear" w:color="auto" w:fill="auto"/>
            <w:noWrap/>
            <w:vAlign w:val="bottom"/>
            <w:hideMark/>
          </w:tcPr>
          <w:p w14:paraId="66D29CB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85.96</w:t>
            </w:r>
          </w:p>
        </w:tc>
      </w:tr>
      <w:tr w:rsidR="00A0308E" w:rsidRPr="003B10E2" w14:paraId="17B7B46F"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AC16E6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Shanxi LuAn Environmental Energy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9B6248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6 920.16</w:t>
            </w:r>
          </w:p>
        </w:tc>
        <w:tc>
          <w:tcPr>
            <w:tcW w:w="957" w:type="dxa"/>
            <w:tcBorders>
              <w:top w:val="nil"/>
              <w:left w:val="nil"/>
              <w:bottom w:val="single" w:sz="4" w:space="0" w:color="000000"/>
              <w:right w:val="single" w:sz="4" w:space="0" w:color="000000"/>
            </w:tcBorders>
            <w:shd w:val="clear" w:color="auto" w:fill="auto"/>
            <w:noWrap/>
            <w:vAlign w:val="bottom"/>
            <w:hideMark/>
          </w:tcPr>
          <w:p w14:paraId="7BA48CE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16.53</w:t>
            </w:r>
          </w:p>
        </w:tc>
        <w:tc>
          <w:tcPr>
            <w:tcW w:w="1418" w:type="dxa"/>
            <w:tcBorders>
              <w:top w:val="nil"/>
              <w:left w:val="nil"/>
              <w:bottom w:val="single" w:sz="4" w:space="0" w:color="000000"/>
              <w:right w:val="single" w:sz="4" w:space="0" w:color="000000"/>
            </w:tcBorders>
            <w:shd w:val="clear" w:color="auto" w:fill="auto"/>
            <w:noWrap/>
            <w:vAlign w:val="bottom"/>
            <w:hideMark/>
          </w:tcPr>
          <w:p w14:paraId="72BEAB1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361.95</w:t>
            </w:r>
          </w:p>
        </w:tc>
      </w:tr>
      <w:tr w:rsidR="00A0308E" w:rsidRPr="003B10E2" w14:paraId="07CB2491"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D91B6A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Shanxi Xinghuacun Fen Wine Factory,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A19049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34 970.18</w:t>
            </w:r>
          </w:p>
        </w:tc>
        <w:tc>
          <w:tcPr>
            <w:tcW w:w="957" w:type="dxa"/>
            <w:tcBorders>
              <w:top w:val="nil"/>
              <w:left w:val="nil"/>
              <w:bottom w:val="single" w:sz="4" w:space="0" w:color="000000"/>
              <w:right w:val="single" w:sz="4" w:space="0" w:color="000000"/>
            </w:tcBorders>
            <w:shd w:val="clear" w:color="auto" w:fill="auto"/>
            <w:noWrap/>
            <w:vAlign w:val="bottom"/>
            <w:hideMark/>
          </w:tcPr>
          <w:p w14:paraId="0CD1686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204.80</w:t>
            </w:r>
          </w:p>
        </w:tc>
        <w:tc>
          <w:tcPr>
            <w:tcW w:w="1418" w:type="dxa"/>
            <w:tcBorders>
              <w:top w:val="nil"/>
              <w:left w:val="nil"/>
              <w:bottom w:val="single" w:sz="4" w:space="0" w:color="000000"/>
              <w:right w:val="single" w:sz="4" w:space="0" w:color="000000"/>
            </w:tcBorders>
            <w:shd w:val="clear" w:color="auto" w:fill="auto"/>
            <w:noWrap/>
            <w:vAlign w:val="bottom"/>
            <w:hideMark/>
          </w:tcPr>
          <w:p w14:paraId="589FDC1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2 076.17</w:t>
            </w:r>
          </w:p>
        </w:tc>
      </w:tr>
      <w:tr w:rsidR="00A0308E" w:rsidRPr="003B10E2" w14:paraId="1D1739CF"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74689B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Shanying International 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81E36C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1 466.48</w:t>
            </w:r>
          </w:p>
        </w:tc>
        <w:tc>
          <w:tcPr>
            <w:tcW w:w="957" w:type="dxa"/>
            <w:tcBorders>
              <w:top w:val="nil"/>
              <w:left w:val="nil"/>
              <w:bottom w:val="single" w:sz="4" w:space="0" w:color="000000"/>
              <w:right w:val="single" w:sz="4" w:space="0" w:color="000000"/>
            </w:tcBorders>
            <w:shd w:val="clear" w:color="auto" w:fill="auto"/>
            <w:noWrap/>
            <w:vAlign w:val="bottom"/>
            <w:hideMark/>
          </w:tcPr>
          <w:p w14:paraId="0A284F7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2.27</w:t>
            </w:r>
          </w:p>
        </w:tc>
        <w:tc>
          <w:tcPr>
            <w:tcW w:w="1418" w:type="dxa"/>
            <w:tcBorders>
              <w:top w:val="nil"/>
              <w:left w:val="nil"/>
              <w:bottom w:val="single" w:sz="4" w:space="0" w:color="000000"/>
              <w:right w:val="single" w:sz="4" w:space="0" w:color="000000"/>
            </w:tcBorders>
            <w:shd w:val="clear" w:color="auto" w:fill="auto"/>
            <w:noWrap/>
            <w:vAlign w:val="bottom"/>
            <w:hideMark/>
          </w:tcPr>
          <w:p w14:paraId="477CE2D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37.44</w:t>
            </w:r>
          </w:p>
        </w:tc>
      </w:tr>
      <w:tr w:rsidR="00A0308E" w:rsidRPr="003B10E2" w14:paraId="727A95AE"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F117CAA"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Shareate Tools,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7CE83DA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316.63</w:t>
            </w:r>
          </w:p>
        </w:tc>
        <w:tc>
          <w:tcPr>
            <w:tcW w:w="957" w:type="dxa"/>
            <w:tcBorders>
              <w:top w:val="nil"/>
              <w:left w:val="nil"/>
              <w:bottom w:val="single" w:sz="4" w:space="0" w:color="000000"/>
              <w:right w:val="single" w:sz="4" w:space="0" w:color="000000"/>
            </w:tcBorders>
            <w:shd w:val="clear" w:color="auto" w:fill="auto"/>
            <w:noWrap/>
            <w:vAlign w:val="bottom"/>
            <w:hideMark/>
          </w:tcPr>
          <w:p w14:paraId="74921CD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24.38</w:t>
            </w:r>
          </w:p>
        </w:tc>
        <w:tc>
          <w:tcPr>
            <w:tcW w:w="1418" w:type="dxa"/>
            <w:tcBorders>
              <w:top w:val="nil"/>
              <w:left w:val="nil"/>
              <w:bottom w:val="single" w:sz="4" w:space="0" w:color="000000"/>
              <w:right w:val="single" w:sz="4" w:space="0" w:color="000000"/>
            </w:tcBorders>
            <w:shd w:val="clear" w:color="auto" w:fill="auto"/>
            <w:noWrap/>
            <w:vAlign w:val="bottom"/>
            <w:hideMark/>
          </w:tcPr>
          <w:p w14:paraId="2469309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15.68</w:t>
            </w:r>
          </w:p>
        </w:tc>
      </w:tr>
      <w:tr w:rsidR="00A0308E" w:rsidRPr="003B10E2" w14:paraId="77215C4A"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3CD1936"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Shede Spirits,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4E4D272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6 468.54</w:t>
            </w:r>
          </w:p>
        </w:tc>
        <w:tc>
          <w:tcPr>
            <w:tcW w:w="957" w:type="dxa"/>
            <w:tcBorders>
              <w:top w:val="nil"/>
              <w:left w:val="nil"/>
              <w:bottom w:val="single" w:sz="4" w:space="0" w:color="000000"/>
              <w:right w:val="single" w:sz="4" w:space="0" w:color="000000"/>
            </w:tcBorders>
            <w:shd w:val="clear" w:color="auto" w:fill="auto"/>
            <w:noWrap/>
            <w:vAlign w:val="bottom"/>
            <w:hideMark/>
          </w:tcPr>
          <w:p w14:paraId="00E2CFC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139.19</w:t>
            </w:r>
          </w:p>
        </w:tc>
        <w:tc>
          <w:tcPr>
            <w:tcW w:w="1418" w:type="dxa"/>
            <w:tcBorders>
              <w:top w:val="nil"/>
              <w:left w:val="nil"/>
              <w:bottom w:val="single" w:sz="4" w:space="0" w:color="000000"/>
              <w:right w:val="single" w:sz="4" w:space="0" w:color="000000"/>
            </w:tcBorders>
            <w:shd w:val="clear" w:color="auto" w:fill="auto"/>
            <w:noWrap/>
            <w:vAlign w:val="bottom"/>
            <w:hideMark/>
          </w:tcPr>
          <w:p w14:paraId="184A581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793.87</w:t>
            </w:r>
          </w:p>
        </w:tc>
      </w:tr>
      <w:tr w:rsidR="00A0308E" w:rsidRPr="003B10E2" w14:paraId="5036874E" w14:textId="77777777" w:rsidTr="00A0308E">
        <w:trPr>
          <w:trHeight w:val="300"/>
        </w:trPr>
        <w:tc>
          <w:tcPr>
            <w:tcW w:w="4815" w:type="dxa"/>
            <w:tcBorders>
              <w:top w:val="nil"/>
              <w:left w:val="single" w:sz="4" w:space="0" w:color="000000"/>
              <w:bottom w:val="single" w:sz="4" w:space="0" w:color="auto"/>
              <w:right w:val="single" w:sz="4" w:space="0" w:color="000000"/>
            </w:tcBorders>
            <w:shd w:val="clear" w:color="auto" w:fill="auto"/>
            <w:noWrap/>
            <w:vAlign w:val="bottom"/>
            <w:hideMark/>
          </w:tcPr>
          <w:p w14:paraId="55DE7F9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 Ma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auto"/>
              <w:right w:val="single" w:sz="4" w:space="0" w:color="000000"/>
            </w:tcBorders>
            <w:shd w:val="clear" w:color="auto" w:fill="auto"/>
            <w:noWrap/>
            <w:vAlign w:val="bottom"/>
            <w:hideMark/>
          </w:tcPr>
          <w:p w14:paraId="53D20AC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980.54</w:t>
            </w:r>
          </w:p>
        </w:tc>
        <w:tc>
          <w:tcPr>
            <w:tcW w:w="957" w:type="dxa"/>
            <w:tcBorders>
              <w:top w:val="nil"/>
              <w:left w:val="nil"/>
              <w:bottom w:val="single" w:sz="4" w:space="0" w:color="auto"/>
              <w:right w:val="single" w:sz="4" w:space="0" w:color="000000"/>
            </w:tcBorders>
            <w:shd w:val="clear" w:color="auto" w:fill="auto"/>
            <w:noWrap/>
            <w:vAlign w:val="bottom"/>
            <w:hideMark/>
          </w:tcPr>
          <w:p w14:paraId="3BF4CB0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6.71</w:t>
            </w:r>
          </w:p>
        </w:tc>
        <w:tc>
          <w:tcPr>
            <w:tcW w:w="1418" w:type="dxa"/>
            <w:tcBorders>
              <w:top w:val="nil"/>
              <w:left w:val="nil"/>
              <w:bottom w:val="single" w:sz="4" w:space="0" w:color="auto"/>
              <w:right w:val="single" w:sz="4" w:space="0" w:color="000000"/>
            </w:tcBorders>
            <w:shd w:val="clear" w:color="auto" w:fill="auto"/>
            <w:noWrap/>
            <w:vAlign w:val="bottom"/>
            <w:hideMark/>
          </w:tcPr>
          <w:p w14:paraId="391E087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11.04</w:t>
            </w:r>
          </w:p>
        </w:tc>
      </w:tr>
      <w:tr w:rsidR="00A0308E" w:rsidRPr="003B10E2" w14:paraId="732A1B01"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19446"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Shenergy Company,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2329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4 578.29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AEF8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38B0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70.77</w:t>
            </w:r>
          </w:p>
        </w:tc>
      </w:tr>
      <w:tr w:rsidR="00A0308E" w:rsidRPr="003B10E2" w14:paraId="3AA0EE5A" w14:textId="77777777" w:rsidTr="00A0308E">
        <w:trPr>
          <w:trHeight w:val="300"/>
        </w:trPr>
        <w:tc>
          <w:tcPr>
            <w:tcW w:w="481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15AF8C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Shenghe Resources 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nil"/>
              <w:bottom w:val="single" w:sz="4" w:space="0" w:color="000000"/>
              <w:right w:val="single" w:sz="4" w:space="0" w:color="000000"/>
            </w:tcBorders>
            <w:shd w:val="clear" w:color="auto" w:fill="auto"/>
            <w:noWrap/>
            <w:vAlign w:val="bottom"/>
            <w:hideMark/>
          </w:tcPr>
          <w:p w14:paraId="0A0727F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3 136.73</w:t>
            </w:r>
          </w:p>
        </w:tc>
        <w:tc>
          <w:tcPr>
            <w:tcW w:w="957" w:type="dxa"/>
            <w:tcBorders>
              <w:top w:val="single" w:sz="4" w:space="0" w:color="auto"/>
              <w:left w:val="nil"/>
              <w:bottom w:val="single" w:sz="4" w:space="0" w:color="000000"/>
              <w:right w:val="single" w:sz="4" w:space="0" w:color="000000"/>
            </w:tcBorders>
            <w:shd w:val="clear" w:color="auto" w:fill="auto"/>
            <w:noWrap/>
            <w:vAlign w:val="bottom"/>
            <w:hideMark/>
          </w:tcPr>
          <w:p w14:paraId="4F93F1C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12.77</w:t>
            </w:r>
          </w:p>
        </w:tc>
        <w:tc>
          <w:tcPr>
            <w:tcW w:w="1418" w:type="dxa"/>
            <w:tcBorders>
              <w:top w:val="single" w:sz="4" w:space="0" w:color="auto"/>
              <w:left w:val="nil"/>
              <w:bottom w:val="single" w:sz="4" w:space="0" w:color="000000"/>
              <w:right w:val="single" w:sz="4" w:space="0" w:color="000000"/>
            </w:tcBorders>
            <w:shd w:val="clear" w:color="auto" w:fill="auto"/>
            <w:noWrap/>
            <w:vAlign w:val="bottom"/>
            <w:hideMark/>
          </w:tcPr>
          <w:p w14:paraId="79AE9BE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87.01</w:t>
            </w:r>
          </w:p>
        </w:tc>
      </w:tr>
      <w:tr w:rsidR="00A0308E" w:rsidRPr="003B10E2" w14:paraId="02F67885"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AE4B3F5"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Shengyi Electronics,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42D89FD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1 420.23</w:t>
            </w:r>
          </w:p>
        </w:tc>
        <w:tc>
          <w:tcPr>
            <w:tcW w:w="957" w:type="dxa"/>
            <w:tcBorders>
              <w:top w:val="nil"/>
              <w:left w:val="nil"/>
              <w:bottom w:val="single" w:sz="4" w:space="0" w:color="000000"/>
              <w:right w:val="single" w:sz="4" w:space="0" w:color="000000"/>
            </w:tcBorders>
            <w:shd w:val="clear" w:color="auto" w:fill="auto"/>
            <w:noWrap/>
            <w:vAlign w:val="bottom"/>
            <w:hideMark/>
          </w:tcPr>
          <w:p w14:paraId="0B799D4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12.20</w:t>
            </w:r>
          </w:p>
        </w:tc>
        <w:tc>
          <w:tcPr>
            <w:tcW w:w="1418" w:type="dxa"/>
            <w:tcBorders>
              <w:top w:val="nil"/>
              <w:left w:val="nil"/>
              <w:bottom w:val="single" w:sz="4" w:space="0" w:color="000000"/>
              <w:right w:val="single" w:sz="4" w:space="0" w:color="000000"/>
            </w:tcBorders>
            <w:shd w:val="clear" w:color="auto" w:fill="auto"/>
            <w:noWrap/>
            <w:vAlign w:val="bottom"/>
            <w:hideMark/>
          </w:tcPr>
          <w:p w14:paraId="53947FC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69.08</w:t>
            </w:r>
          </w:p>
        </w:tc>
      </w:tr>
      <w:tr w:rsidR="00A0308E" w:rsidRPr="003B10E2" w14:paraId="17BD8C12"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47A3286"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Shengyi Technology,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1EF11EF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4 907.55</w:t>
            </w:r>
          </w:p>
        </w:tc>
        <w:tc>
          <w:tcPr>
            <w:tcW w:w="957" w:type="dxa"/>
            <w:tcBorders>
              <w:top w:val="nil"/>
              <w:left w:val="nil"/>
              <w:bottom w:val="single" w:sz="4" w:space="0" w:color="000000"/>
              <w:right w:val="single" w:sz="4" w:space="0" w:color="000000"/>
            </w:tcBorders>
            <w:shd w:val="clear" w:color="auto" w:fill="auto"/>
            <w:noWrap/>
            <w:vAlign w:val="bottom"/>
            <w:hideMark/>
          </w:tcPr>
          <w:p w14:paraId="233DC3D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15.17</w:t>
            </w:r>
          </w:p>
        </w:tc>
        <w:tc>
          <w:tcPr>
            <w:tcW w:w="1418" w:type="dxa"/>
            <w:tcBorders>
              <w:top w:val="nil"/>
              <w:left w:val="nil"/>
              <w:bottom w:val="single" w:sz="4" w:space="0" w:color="000000"/>
              <w:right w:val="single" w:sz="4" w:space="0" w:color="000000"/>
            </w:tcBorders>
            <w:shd w:val="clear" w:color="auto" w:fill="auto"/>
            <w:noWrap/>
            <w:vAlign w:val="bottom"/>
            <w:hideMark/>
          </w:tcPr>
          <w:p w14:paraId="1390093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236.72</w:t>
            </w:r>
          </w:p>
        </w:tc>
      </w:tr>
      <w:tr w:rsidR="00A0308E" w:rsidRPr="003B10E2" w14:paraId="2499FA27"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DB35E4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Shenhua Energy Company,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534145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68 359.74</w:t>
            </w:r>
          </w:p>
        </w:tc>
        <w:tc>
          <w:tcPr>
            <w:tcW w:w="957" w:type="dxa"/>
            <w:tcBorders>
              <w:top w:val="nil"/>
              <w:left w:val="nil"/>
              <w:bottom w:val="single" w:sz="4" w:space="0" w:color="000000"/>
              <w:right w:val="single" w:sz="4" w:space="0" w:color="000000"/>
            </w:tcBorders>
            <w:shd w:val="clear" w:color="auto" w:fill="auto"/>
            <w:noWrap/>
            <w:vAlign w:val="bottom"/>
            <w:hideMark/>
          </w:tcPr>
          <w:p w14:paraId="79FE46C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29.62</w:t>
            </w:r>
          </w:p>
        </w:tc>
        <w:tc>
          <w:tcPr>
            <w:tcW w:w="1418" w:type="dxa"/>
            <w:tcBorders>
              <w:top w:val="nil"/>
              <w:left w:val="nil"/>
              <w:bottom w:val="single" w:sz="4" w:space="0" w:color="000000"/>
              <w:right w:val="single" w:sz="4" w:space="0" w:color="000000"/>
            </w:tcBorders>
            <w:shd w:val="clear" w:color="auto" w:fill="auto"/>
            <w:noWrap/>
            <w:vAlign w:val="bottom"/>
            <w:hideMark/>
          </w:tcPr>
          <w:p w14:paraId="2AEEC21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405.57</w:t>
            </w:r>
          </w:p>
        </w:tc>
      </w:tr>
      <w:tr w:rsidR="00A0308E" w:rsidRPr="003B10E2" w14:paraId="321A52C4"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21E6A4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Shentong Technology Group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3E11EC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553.75</w:t>
            </w:r>
          </w:p>
        </w:tc>
        <w:tc>
          <w:tcPr>
            <w:tcW w:w="957" w:type="dxa"/>
            <w:tcBorders>
              <w:top w:val="nil"/>
              <w:left w:val="nil"/>
              <w:bottom w:val="single" w:sz="4" w:space="0" w:color="000000"/>
              <w:right w:val="single" w:sz="4" w:space="0" w:color="000000"/>
            </w:tcBorders>
            <w:shd w:val="clear" w:color="auto" w:fill="auto"/>
            <w:noWrap/>
            <w:vAlign w:val="bottom"/>
            <w:hideMark/>
          </w:tcPr>
          <w:p w14:paraId="0E65CBF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9.32</w:t>
            </w:r>
          </w:p>
        </w:tc>
        <w:tc>
          <w:tcPr>
            <w:tcW w:w="1418" w:type="dxa"/>
            <w:tcBorders>
              <w:top w:val="nil"/>
              <w:left w:val="nil"/>
              <w:bottom w:val="single" w:sz="4" w:space="0" w:color="000000"/>
              <w:right w:val="single" w:sz="4" w:space="0" w:color="000000"/>
            </w:tcBorders>
            <w:shd w:val="clear" w:color="auto" w:fill="auto"/>
            <w:noWrap/>
            <w:vAlign w:val="bottom"/>
            <w:hideMark/>
          </w:tcPr>
          <w:p w14:paraId="724DEA1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124.38</w:t>
            </w:r>
          </w:p>
        </w:tc>
      </w:tr>
      <w:tr w:rsidR="00A0308E" w:rsidRPr="003B10E2" w14:paraId="297D0297"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6E5FDF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Shenyang Commercial City,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04C177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243.71</w:t>
            </w:r>
          </w:p>
        </w:tc>
        <w:tc>
          <w:tcPr>
            <w:tcW w:w="957" w:type="dxa"/>
            <w:tcBorders>
              <w:top w:val="nil"/>
              <w:left w:val="nil"/>
              <w:bottom w:val="single" w:sz="4" w:space="0" w:color="000000"/>
              <w:right w:val="single" w:sz="4" w:space="0" w:color="000000"/>
            </w:tcBorders>
            <w:shd w:val="clear" w:color="auto" w:fill="auto"/>
            <w:noWrap/>
            <w:vAlign w:val="bottom"/>
            <w:hideMark/>
          </w:tcPr>
          <w:p w14:paraId="722CEEF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7.52</w:t>
            </w:r>
          </w:p>
        </w:tc>
        <w:tc>
          <w:tcPr>
            <w:tcW w:w="1418" w:type="dxa"/>
            <w:tcBorders>
              <w:top w:val="nil"/>
              <w:left w:val="nil"/>
              <w:bottom w:val="single" w:sz="4" w:space="0" w:color="000000"/>
              <w:right w:val="single" w:sz="4" w:space="0" w:color="000000"/>
            </w:tcBorders>
            <w:shd w:val="clear" w:color="auto" w:fill="auto"/>
            <w:noWrap/>
            <w:vAlign w:val="bottom"/>
            <w:hideMark/>
          </w:tcPr>
          <w:p w14:paraId="40D7950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12.90</w:t>
            </w:r>
          </w:p>
        </w:tc>
      </w:tr>
      <w:tr w:rsidR="00A0308E" w:rsidRPr="003B10E2" w14:paraId="649308B8"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BD9148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Shenyang Fortune Precision Equipment,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1F639D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2E14E38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117.90</w:t>
            </w:r>
          </w:p>
        </w:tc>
        <w:tc>
          <w:tcPr>
            <w:tcW w:w="1418" w:type="dxa"/>
            <w:tcBorders>
              <w:top w:val="nil"/>
              <w:left w:val="nil"/>
              <w:bottom w:val="single" w:sz="4" w:space="0" w:color="000000"/>
              <w:right w:val="single" w:sz="4" w:space="0" w:color="000000"/>
            </w:tcBorders>
            <w:shd w:val="clear" w:color="auto" w:fill="auto"/>
            <w:noWrap/>
            <w:vAlign w:val="bottom"/>
            <w:hideMark/>
          </w:tcPr>
          <w:p w14:paraId="7269EC1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242.85</w:t>
            </w:r>
          </w:p>
        </w:tc>
      </w:tr>
      <w:tr w:rsidR="00A0308E" w:rsidRPr="003B10E2" w14:paraId="1C187A08"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7C2571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Shenyang Jinbei Automotive,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5938B1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877.13</w:t>
            </w:r>
          </w:p>
        </w:tc>
        <w:tc>
          <w:tcPr>
            <w:tcW w:w="957" w:type="dxa"/>
            <w:tcBorders>
              <w:top w:val="nil"/>
              <w:left w:val="nil"/>
              <w:bottom w:val="single" w:sz="4" w:space="0" w:color="000000"/>
              <w:right w:val="single" w:sz="4" w:space="0" w:color="000000"/>
            </w:tcBorders>
            <w:shd w:val="clear" w:color="auto" w:fill="auto"/>
            <w:noWrap/>
            <w:vAlign w:val="bottom"/>
            <w:hideMark/>
          </w:tcPr>
          <w:p w14:paraId="384C79E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4.78</w:t>
            </w:r>
          </w:p>
        </w:tc>
        <w:tc>
          <w:tcPr>
            <w:tcW w:w="1418" w:type="dxa"/>
            <w:tcBorders>
              <w:top w:val="nil"/>
              <w:left w:val="nil"/>
              <w:bottom w:val="single" w:sz="4" w:space="0" w:color="000000"/>
              <w:right w:val="single" w:sz="4" w:space="0" w:color="000000"/>
            </w:tcBorders>
            <w:shd w:val="clear" w:color="auto" w:fill="auto"/>
            <w:noWrap/>
            <w:vAlign w:val="bottom"/>
            <w:hideMark/>
          </w:tcPr>
          <w:p w14:paraId="68EE615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43.18</w:t>
            </w:r>
          </w:p>
        </w:tc>
      </w:tr>
      <w:tr w:rsidR="00A0308E" w:rsidRPr="003B10E2" w14:paraId="34BC3F7D"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20E465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Shenyang Jinshan Energy,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8AC813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486.40</w:t>
            </w:r>
          </w:p>
        </w:tc>
        <w:tc>
          <w:tcPr>
            <w:tcW w:w="957" w:type="dxa"/>
            <w:tcBorders>
              <w:top w:val="nil"/>
              <w:left w:val="nil"/>
              <w:bottom w:val="single" w:sz="4" w:space="0" w:color="000000"/>
              <w:right w:val="single" w:sz="4" w:space="0" w:color="000000"/>
            </w:tcBorders>
            <w:shd w:val="clear" w:color="auto" w:fill="auto"/>
            <w:noWrap/>
            <w:vAlign w:val="bottom"/>
            <w:hideMark/>
          </w:tcPr>
          <w:p w14:paraId="7CE61B7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2.36</w:t>
            </w:r>
          </w:p>
        </w:tc>
        <w:tc>
          <w:tcPr>
            <w:tcW w:w="1418" w:type="dxa"/>
            <w:tcBorders>
              <w:top w:val="nil"/>
              <w:left w:val="nil"/>
              <w:bottom w:val="single" w:sz="4" w:space="0" w:color="000000"/>
              <w:right w:val="single" w:sz="4" w:space="0" w:color="000000"/>
            </w:tcBorders>
            <w:shd w:val="clear" w:color="auto" w:fill="auto"/>
            <w:noWrap/>
            <w:vAlign w:val="bottom"/>
            <w:hideMark/>
          </w:tcPr>
          <w:p w14:paraId="22B92B3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24.60</w:t>
            </w:r>
          </w:p>
        </w:tc>
      </w:tr>
      <w:tr w:rsidR="00A0308E" w:rsidRPr="003B10E2" w14:paraId="76BF22C3"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4DC7C1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Shenzhen Chipscreen Biosciences,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9909A5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1 231.79</w:t>
            </w:r>
          </w:p>
        </w:tc>
        <w:tc>
          <w:tcPr>
            <w:tcW w:w="957" w:type="dxa"/>
            <w:tcBorders>
              <w:top w:val="nil"/>
              <w:left w:val="nil"/>
              <w:bottom w:val="single" w:sz="4" w:space="0" w:color="000000"/>
              <w:right w:val="single" w:sz="4" w:space="0" w:color="000000"/>
            </w:tcBorders>
            <w:shd w:val="clear" w:color="auto" w:fill="auto"/>
            <w:noWrap/>
            <w:vAlign w:val="bottom"/>
            <w:hideMark/>
          </w:tcPr>
          <w:p w14:paraId="0B7D4F8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21.43</w:t>
            </w:r>
          </w:p>
        </w:tc>
        <w:tc>
          <w:tcPr>
            <w:tcW w:w="1418" w:type="dxa"/>
            <w:tcBorders>
              <w:top w:val="nil"/>
              <w:left w:val="nil"/>
              <w:bottom w:val="single" w:sz="4" w:space="0" w:color="000000"/>
              <w:right w:val="single" w:sz="4" w:space="0" w:color="000000"/>
            </w:tcBorders>
            <w:shd w:val="clear" w:color="auto" w:fill="auto"/>
            <w:noWrap/>
            <w:vAlign w:val="bottom"/>
            <w:hideMark/>
          </w:tcPr>
          <w:p w14:paraId="61618F3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41.18</w:t>
            </w:r>
          </w:p>
        </w:tc>
      </w:tr>
      <w:tr w:rsidR="00A0308E" w:rsidRPr="003B10E2" w14:paraId="28011860"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DA59C7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Shenzhen Ellassay Fashion,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5710E7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657.04</w:t>
            </w:r>
          </w:p>
        </w:tc>
        <w:tc>
          <w:tcPr>
            <w:tcW w:w="957" w:type="dxa"/>
            <w:tcBorders>
              <w:top w:val="nil"/>
              <w:left w:val="nil"/>
              <w:bottom w:val="single" w:sz="4" w:space="0" w:color="000000"/>
              <w:right w:val="single" w:sz="4" w:space="0" w:color="000000"/>
            </w:tcBorders>
            <w:shd w:val="clear" w:color="auto" w:fill="auto"/>
            <w:noWrap/>
            <w:vAlign w:val="bottom"/>
            <w:hideMark/>
          </w:tcPr>
          <w:p w14:paraId="0D441D9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12.72</w:t>
            </w:r>
          </w:p>
        </w:tc>
        <w:tc>
          <w:tcPr>
            <w:tcW w:w="1418" w:type="dxa"/>
            <w:tcBorders>
              <w:top w:val="nil"/>
              <w:left w:val="nil"/>
              <w:bottom w:val="single" w:sz="4" w:space="0" w:color="000000"/>
              <w:right w:val="single" w:sz="4" w:space="0" w:color="000000"/>
            </w:tcBorders>
            <w:shd w:val="clear" w:color="auto" w:fill="auto"/>
            <w:noWrap/>
            <w:vAlign w:val="bottom"/>
            <w:hideMark/>
          </w:tcPr>
          <w:p w14:paraId="0930964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25.90</w:t>
            </w:r>
          </w:p>
        </w:tc>
      </w:tr>
      <w:tr w:rsidR="00A0308E" w:rsidRPr="003B10E2" w14:paraId="428A32BF"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D10EFC5"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Shenzhen Expressway,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1DCB2AB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1 821.30</w:t>
            </w:r>
          </w:p>
        </w:tc>
        <w:tc>
          <w:tcPr>
            <w:tcW w:w="957" w:type="dxa"/>
            <w:tcBorders>
              <w:top w:val="nil"/>
              <w:left w:val="nil"/>
              <w:bottom w:val="single" w:sz="4" w:space="0" w:color="000000"/>
              <w:right w:val="single" w:sz="4" w:space="0" w:color="000000"/>
            </w:tcBorders>
            <w:shd w:val="clear" w:color="auto" w:fill="auto"/>
            <w:noWrap/>
            <w:vAlign w:val="bottom"/>
            <w:hideMark/>
          </w:tcPr>
          <w:p w14:paraId="16317EC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9.08</w:t>
            </w:r>
          </w:p>
        </w:tc>
        <w:tc>
          <w:tcPr>
            <w:tcW w:w="1418" w:type="dxa"/>
            <w:tcBorders>
              <w:top w:val="nil"/>
              <w:left w:val="nil"/>
              <w:bottom w:val="single" w:sz="4" w:space="0" w:color="000000"/>
              <w:right w:val="single" w:sz="4" w:space="0" w:color="000000"/>
            </w:tcBorders>
            <w:shd w:val="clear" w:color="auto" w:fill="auto"/>
            <w:noWrap/>
            <w:vAlign w:val="bottom"/>
            <w:hideMark/>
          </w:tcPr>
          <w:p w14:paraId="03D94DC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25.52</w:t>
            </w:r>
          </w:p>
        </w:tc>
      </w:tr>
      <w:tr w:rsidR="00A0308E" w:rsidRPr="003B10E2" w14:paraId="6E24C2A7"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AC9A69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Shenzhen Fortune Trend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50913E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994.71</w:t>
            </w:r>
          </w:p>
        </w:tc>
        <w:tc>
          <w:tcPr>
            <w:tcW w:w="957" w:type="dxa"/>
            <w:tcBorders>
              <w:top w:val="nil"/>
              <w:left w:val="nil"/>
              <w:bottom w:val="single" w:sz="4" w:space="0" w:color="000000"/>
              <w:right w:val="single" w:sz="4" w:space="0" w:color="000000"/>
            </w:tcBorders>
            <w:shd w:val="clear" w:color="auto" w:fill="auto"/>
            <w:noWrap/>
            <w:vAlign w:val="bottom"/>
            <w:hideMark/>
          </w:tcPr>
          <w:p w14:paraId="384E247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106.61</w:t>
            </w:r>
          </w:p>
        </w:tc>
        <w:tc>
          <w:tcPr>
            <w:tcW w:w="1418" w:type="dxa"/>
            <w:tcBorders>
              <w:top w:val="nil"/>
              <w:left w:val="nil"/>
              <w:bottom w:val="single" w:sz="4" w:space="0" w:color="000000"/>
              <w:right w:val="single" w:sz="4" w:space="0" w:color="000000"/>
            </w:tcBorders>
            <w:shd w:val="clear" w:color="auto" w:fill="auto"/>
            <w:noWrap/>
            <w:vAlign w:val="bottom"/>
            <w:hideMark/>
          </w:tcPr>
          <w:p w14:paraId="28DAD4D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246.23</w:t>
            </w:r>
          </w:p>
        </w:tc>
      </w:tr>
      <w:tr w:rsidR="00A0308E" w:rsidRPr="003B10E2" w14:paraId="15707956"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34C6C7E"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Shenzhen Gas (SGC),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75EADFE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2 713.51</w:t>
            </w:r>
          </w:p>
        </w:tc>
        <w:tc>
          <w:tcPr>
            <w:tcW w:w="957" w:type="dxa"/>
            <w:tcBorders>
              <w:top w:val="nil"/>
              <w:left w:val="nil"/>
              <w:bottom w:val="single" w:sz="4" w:space="0" w:color="000000"/>
              <w:right w:val="single" w:sz="4" w:space="0" w:color="000000"/>
            </w:tcBorders>
            <w:shd w:val="clear" w:color="auto" w:fill="auto"/>
            <w:noWrap/>
            <w:vAlign w:val="bottom"/>
            <w:hideMark/>
          </w:tcPr>
          <w:p w14:paraId="4E9DBC9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6.74</w:t>
            </w:r>
          </w:p>
        </w:tc>
        <w:tc>
          <w:tcPr>
            <w:tcW w:w="1418" w:type="dxa"/>
            <w:tcBorders>
              <w:top w:val="nil"/>
              <w:left w:val="nil"/>
              <w:bottom w:val="single" w:sz="4" w:space="0" w:color="000000"/>
              <w:right w:val="single" w:sz="4" w:space="0" w:color="000000"/>
            </w:tcBorders>
            <w:shd w:val="clear" w:color="auto" w:fill="auto"/>
            <w:noWrap/>
            <w:vAlign w:val="bottom"/>
            <w:hideMark/>
          </w:tcPr>
          <w:p w14:paraId="14582AD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49.43</w:t>
            </w:r>
          </w:p>
        </w:tc>
      </w:tr>
      <w:tr w:rsidR="00A0308E" w:rsidRPr="003B10E2" w14:paraId="53CFCE82"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6EB9C0E"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Shenzhen Geoway,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67CE875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171.59</w:t>
            </w:r>
          </w:p>
        </w:tc>
        <w:tc>
          <w:tcPr>
            <w:tcW w:w="957" w:type="dxa"/>
            <w:tcBorders>
              <w:top w:val="nil"/>
              <w:left w:val="nil"/>
              <w:bottom w:val="single" w:sz="4" w:space="0" w:color="000000"/>
              <w:right w:val="single" w:sz="4" w:space="0" w:color="000000"/>
            </w:tcBorders>
            <w:shd w:val="clear" w:color="auto" w:fill="auto"/>
            <w:noWrap/>
            <w:vAlign w:val="bottom"/>
            <w:hideMark/>
          </w:tcPr>
          <w:p w14:paraId="792A448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2.10</w:t>
            </w:r>
          </w:p>
        </w:tc>
        <w:tc>
          <w:tcPr>
            <w:tcW w:w="1418" w:type="dxa"/>
            <w:tcBorders>
              <w:top w:val="nil"/>
              <w:left w:val="nil"/>
              <w:bottom w:val="single" w:sz="4" w:space="0" w:color="000000"/>
              <w:right w:val="single" w:sz="4" w:space="0" w:color="000000"/>
            </w:tcBorders>
            <w:shd w:val="clear" w:color="auto" w:fill="auto"/>
            <w:noWrap/>
            <w:vAlign w:val="bottom"/>
            <w:hideMark/>
          </w:tcPr>
          <w:p w14:paraId="6593026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5.92</w:t>
            </w:r>
          </w:p>
        </w:tc>
      </w:tr>
      <w:tr w:rsidR="00A0308E" w:rsidRPr="003B10E2" w14:paraId="16F772FA"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63227B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Shenzhen Gongjin 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D29A2A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1 147.38</w:t>
            </w:r>
          </w:p>
        </w:tc>
        <w:tc>
          <w:tcPr>
            <w:tcW w:w="957" w:type="dxa"/>
            <w:tcBorders>
              <w:top w:val="nil"/>
              <w:left w:val="nil"/>
              <w:bottom w:val="single" w:sz="4" w:space="0" w:color="000000"/>
              <w:right w:val="single" w:sz="4" w:space="0" w:color="000000"/>
            </w:tcBorders>
            <w:shd w:val="clear" w:color="auto" w:fill="auto"/>
            <w:noWrap/>
            <w:vAlign w:val="bottom"/>
            <w:hideMark/>
          </w:tcPr>
          <w:p w14:paraId="31524D2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10.35</w:t>
            </w:r>
          </w:p>
        </w:tc>
        <w:tc>
          <w:tcPr>
            <w:tcW w:w="1418" w:type="dxa"/>
            <w:tcBorders>
              <w:top w:val="nil"/>
              <w:left w:val="nil"/>
              <w:bottom w:val="single" w:sz="4" w:space="0" w:color="000000"/>
              <w:right w:val="single" w:sz="4" w:space="0" w:color="000000"/>
            </w:tcBorders>
            <w:shd w:val="clear" w:color="auto" w:fill="auto"/>
            <w:noWrap/>
            <w:vAlign w:val="bottom"/>
            <w:hideMark/>
          </w:tcPr>
          <w:p w14:paraId="3D6641C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674.12</w:t>
            </w:r>
          </w:p>
        </w:tc>
      </w:tr>
      <w:tr w:rsidR="00A0308E" w:rsidRPr="003B10E2" w14:paraId="00078296"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E028CF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Shenzhen Goodix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2E645F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3 331.32</w:t>
            </w:r>
          </w:p>
        </w:tc>
        <w:tc>
          <w:tcPr>
            <w:tcW w:w="957" w:type="dxa"/>
            <w:tcBorders>
              <w:top w:val="nil"/>
              <w:left w:val="nil"/>
              <w:bottom w:val="single" w:sz="4" w:space="0" w:color="000000"/>
              <w:right w:val="single" w:sz="4" w:space="0" w:color="000000"/>
            </w:tcBorders>
            <w:shd w:val="clear" w:color="auto" w:fill="auto"/>
            <w:noWrap/>
            <w:vAlign w:val="bottom"/>
            <w:hideMark/>
          </w:tcPr>
          <w:p w14:paraId="47168F4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51.91</w:t>
            </w:r>
          </w:p>
        </w:tc>
        <w:tc>
          <w:tcPr>
            <w:tcW w:w="1418" w:type="dxa"/>
            <w:tcBorders>
              <w:top w:val="nil"/>
              <w:left w:val="nil"/>
              <w:bottom w:val="single" w:sz="4" w:space="0" w:color="000000"/>
              <w:right w:val="single" w:sz="4" w:space="0" w:color="000000"/>
            </w:tcBorders>
            <w:shd w:val="clear" w:color="auto" w:fill="auto"/>
            <w:noWrap/>
            <w:vAlign w:val="bottom"/>
            <w:hideMark/>
          </w:tcPr>
          <w:p w14:paraId="4782CD3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424.67</w:t>
            </w:r>
          </w:p>
        </w:tc>
      </w:tr>
      <w:tr w:rsidR="00A0308E" w:rsidRPr="003B10E2" w14:paraId="5D9CDF4C"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B29728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Shenzhen Heungkong 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01BB48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959.97</w:t>
            </w:r>
          </w:p>
        </w:tc>
        <w:tc>
          <w:tcPr>
            <w:tcW w:w="957" w:type="dxa"/>
            <w:tcBorders>
              <w:top w:val="nil"/>
              <w:left w:val="nil"/>
              <w:bottom w:val="single" w:sz="4" w:space="0" w:color="000000"/>
              <w:right w:val="single" w:sz="4" w:space="0" w:color="000000"/>
            </w:tcBorders>
            <w:shd w:val="clear" w:color="auto" w:fill="auto"/>
            <w:noWrap/>
            <w:vAlign w:val="bottom"/>
            <w:hideMark/>
          </w:tcPr>
          <w:p w14:paraId="01E9A6D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2.02</w:t>
            </w:r>
          </w:p>
        </w:tc>
        <w:tc>
          <w:tcPr>
            <w:tcW w:w="1418" w:type="dxa"/>
            <w:tcBorders>
              <w:top w:val="nil"/>
              <w:left w:val="nil"/>
              <w:bottom w:val="single" w:sz="4" w:space="0" w:color="000000"/>
              <w:right w:val="single" w:sz="4" w:space="0" w:color="000000"/>
            </w:tcBorders>
            <w:shd w:val="clear" w:color="auto" w:fill="auto"/>
            <w:noWrap/>
            <w:vAlign w:val="bottom"/>
            <w:hideMark/>
          </w:tcPr>
          <w:p w14:paraId="7BB1587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36.96</w:t>
            </w:r>
          </w:p>
        </w:tc>
      </w:tr>
      <w:tr w:rsidR="00A0308E" w:rsidRPr="003B10E2" w14:paraId="67710575"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62F4B6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Shenzhen Hopewind Electric,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F6BFA9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1 652.80</w:t>
            </w:r>
          </w:p>
        </w:tc>
        <w:tc>
          <w:tcPr>
            <w:tcW w:w="957" w:type="dxa"/>
            <w:tcBorders>
              <w:top w:val="nil"/>
              <w:left w:val="nil"/>
              <w:bottom w:val="single" w:sz="4" w:space="0" w:color="000000"/>
              <w:right w:val="single" w:sz="4" w:space="0" w:color="000000"/>
            </w:tcBorders>
            <w:shd w:val="clear" w:color="auto" w:fill="auto"/>
            <w:noWrap/>
            <w:vAlign w:val="bottom"/>
            <w:hideMark/>
          </w:tcPr>
          <w:p w14:paraId="2C78723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27.05</w:t>
            </w:r>
          </w:p>
        </w:tc>
        <w:tc>
          <w:tcPr>
            <w:tcW w:w="1418" w:type="dxa"/>
            <w:tcBorders>
              <w:top w:val="nil"/>
              <w:left w:val="nil"/>
              <w:bottom w:val="single" w:sz="4" w:space="0" w:color="000000"/>
              <w:right w:val="single" w:sz="4" w:space="0" w:color="000000"/>
            </w:tcBorders>
            <w:shd w:val="clear" w:color="auto" w:fill="auto"/>
            <w:noWrap/>
            <w:vAlign w:val="bottom"/>
            <w:hideMark/>
          </w:tcPr>
          <w:p w14:paraId="23C2137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113.82</w:t>
            </w:r>
          </w:p>
        </w:tc>
      </w:tr>
      <w:tr w:rsidR="00A0308E" w:rsidRPr="003B10E2" w14:paraId="39471C21"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5EB3BC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Shenzhen Hymson Laser Intelligent Equipments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C625A0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1 185.36</w:t>
            </w:r>
          </w:p>
        </w:tc>
        <w:tc>
          <w:tcPr>
            <w:tcW w:w="957" w:type="dxa"/>
            <w:tcBorders>
              <w:top w:val="nil"/>
              <w:left w:val="nil"/>
              <w:bottom w:val="single" w:sz="4" w:space="0" w:color="000000"/>
              <w:right w:val="single" w:sz="4" w:space="0" w:color="000000"/>
            </w:tcBorders>
            <w:shd w:val="clear" w:color="auto" w:fill="auto"/>
            <w:noWrap/>
            <w:vAlign w:val="bottom"/>
            <w:hideMark/>
          </w:tcPr>
          <w:p w14:paraId="442492B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42.35</w:t>
            </w:r>
          </w:p>
        </w:tc>
        <w:tc>
          <w:tcPr>
            <w:tcW w:w="1418" w:type="dxa"/>
            <w:tcBorders>
              <w:top w:val="nil"/>
              <w:left w:val="nil"/>
              <w:bottom w:val="single" w:sz="4" w:space="0" w:color="000000"/>
              <w:right w:val="single" w:sz="4" w:space="0" w:color="000000"/>
            </w:tcBorders>
            <w:shd w:val="clear" w:color="auto" w:fill="auto"/>
            <w:noWrap/>
            <w:vAlign w:val="bottom"/>
            <w:hideMark/>
          </w:tcPr>
          <w:p w14:paraId="4A1C431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79.97</w:t>
            </w:r>
          </w:p>
        </w:tc>
      </w:tr>
      <w:tr w:rsidR="00A0308E" w:rsidRPr="003B10E2" w14:paraId="4498DF0D"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80EF61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Shenzhen Injoinic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10434A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496522E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17.55</w:t>
            </w:r>
          </w:p>
        </w:tc>
        <w:tc>
          <w:tcPr>
            <w:tcW w:w="1418" w:type="dxa"/>
            <w:tcBorders>
              <w:top w:val="nil"/>
              <w:left w:val="nil"/>
              <w:bottom w:val="single" w:sz="4" w:space="0" w:color="000000"/>
              <w:right w:val="single" w:sz="4" w:space="0" w:color="000000"/>
            </w:tcBorders>
            <w:shd w:val="clear" w:color="auto" w:fill="auto"/>
            <w:noWrap/>
            <w:vAlign w:val="bottom"/>
            <w:hideMark/>
          </w:tcPr>
          <w:p w14:paraId="47F95E0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46.66</w:t>
            </w:r>
          </w:p>
        </w:tc>
      </w:tr>
      <w:tr w:rsidR="00A0308E" w:rsidRPr="003B10E2" w14:paraId="77144555"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7B1CB8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Shenzhen Intellifusion Technologies,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AD95FF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40437ED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79.58</w:t>
            </w:r>
          </w:p>
        </w:tc>
        <w:tc>
          <w:tcPr>
            <w:tcW w:w="1418" w:type="dxa"/>
            <w:tcBorders>
              <w:top w:val="nil"/>
              <w:left w:val="nil"/>
              <w:bottom w:val="single" w:sz="4" w:space="0" w:color="000000"/>
              <w:right w:val="single" w:sz="4" w:space="0" w:color="000000"/>
            </w:tcBorders>
            <w:shd w:val="clear" w:color="auto" w:fill="auto"/>
            <w:noWrap/>
            <w:vAlign w:val="bottom"/>
            <w:hideMark/>
          </w:tcPr>
          <w:p w14:paraId="7865DE7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726.96</w:t>
            </w:r>
          </w:p>
        </w:tc>
      </w:tr>
      <w:tr w:rsidR="00A0308E" w:rsidRPr="003B10E2" w14:paraId="13EE33E4"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FB4C07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Shenzhen Kingdom SCI 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447A4E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2 058.51</w:t>
            </w:r>
          </w:p>
        </w:tc>
        <w:tc>
          <w:tcPr>
            <w:tcW w:w="957" w:type="dxa"/>
            <w:tcBorders>
              <w:top w:val="nil"/>
              <w:left w:val="nil"/>
              <w:bottom w:val="single" w:sz="4" w:space="0" w:color="000000"/>
              <w:right w:val="single" w:sz="4" w:space="0" w:color="000000"/>
            </w:tcBorders>
            <w:shd w:val="clear" w:color="auto" w:fill="auto"/>
            <w:noWrap/>
            <w:vAlign w:val="bottom"/>
            <w:hideMark/>
          </w:tcPr>
          <w:p w14:paraId="3B8E742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15.63</w:t>
            </w:r>
          </w:p>
        </w:tc>
        <w:tc>
          <w:tcPr>
            <w:tcW w:w="1418" w:type="dxa"/>
            <w:tcBorders>
              <w:top w:val="nil"/>
              <w:left w:val="nil"/>
              <w:bottom w:val="single" w:sz="4" w:space="0" w:color="000000"/>
              <w:right w:val="single" w:sz="4" w:space="0" w:color="000000"/>
            </w:tcBorders>
            <w:shd w:val="clear" w:color="auto" w:fill="auto"/>
            <w:noWrap/>
            <w:vAlign w:val="bottom"/>
            <w:hideMark/>
          </w:tcPr>
          <w:p w14:paraId="630A0EF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919.41</w:t>
            </w:r>
          </w:p>
        </w:tc>
      </w:tr>
      <w:tr w:rsidR="00A0308E" w:rsidRPr="003B10E2" w14:paraId="7583FFB2"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44970D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Shenzhen Kinwong Electronic,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07ADF1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3 134.70</w:t>
            </w:r>
          </w:p>
        </w:tc>
        <w:tc>
          <w:tcPr>
            <w:tcW w:w="957" w:type="dxa"/>
            <w:tcBorders>
              <w:top w:val="nil"/>
              <w:left w:val="nil"/>
              <w:bottom w:val="single" w:sz="4" w:space="0" w:color="000000"/>
              <w:right w:val="single" w:sz="4" w:space="0" w:color="000000"/>
            </w:tcBorders>
            <w:shd w:val="clear" w:color="auto" w:fill="auto"/>
            <w:noWrap/>
            <w:vAlign w:val="bottom"/>
            <w:hideMark/>
          </w:tcPr>
          <w:p w14:paraId="04CD604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26.30</w:t>
            </w:r>
          </w:p>
        </w:tc>
        <w:tc>
          <w:tcPr>
            <w:tcW w:w="1418" w:type="dxa"/>
            <w:tcBorders>
              <w:top w:val="nil"/>
              <w:left w:val="nil"/>
              <w:bottom w:val="single" w:sz="4" w:space="0" w:color="000000"/>
              <w:right w:val="single" w:sz="4" w:space="0" w:color="000000"/>
            </w:tcBorders>
            <w:shd w:val="clear" w:color="auto" w:fill="auto"/>
            <w:noWrap/>
            <w:vAlign w:val="bottom"/>
            <w:hideMark/>
          </w:tcPr>
          <w:p w14:paraId="55F3655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756.69</w:t>
            </w:r>
          </w:p>
        </w:tc>
      </w:tr>
      <w:tr w:rsidR="00A0308E" w:rsidRPr="003B10E2" w14:paraId="1CA3BAA5"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3F553F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Shenzhen Kiwi Instruments,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5A3E25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0B2FA7E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59.29</w:t>
            </w:r>
          </w:p>
        </w:tc>
        <w:tc>
          <w:tcPr>
            <w:tcW w:w="1418" w:type="dxa"/>
            <w:tcBorders>
              <w:top w:val="nil"/>
              <w:left w:val="nil"/>
              <w:bottom w:val="single" w:sz="4" w:space="0" w:color="000000"/>
              <w:right w:val="single" w:sz="4" w:space="0" w:color="000000"/>
            </w:tcBorders>
            <w:shd w:val="clear" w:color="auto" w:fill="auto"/>
            <w:noWrap/>
            <w:vAlign w:val="bottom"/>
            <w:hideMark/>
          </w:tcPr>
          <w:p w14:paraId="3E4949D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65.23</w:t>
            </w:r>
          </w:p>
        </w:tc>
      </w:tr>
      <w:tr w:rsidR="00A0308E" w:rsidRPr="003B10E2" w14:paraId="4C4EDDD1"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03BFC1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Shenzhen Lifotronic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844033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1 356.03</w:t>
            </w:r>
          </w:p>
        </w:tc>
        <w:tc>
          <w:tcPr>
            <w:tcW w:w="957" w:type="dxa"/>
            <w:tcBorders>
              <w:top w:val="nil"/>
              <w:left w:val="nil"/>
              <w:bottom w:val="single" w:sz="4" w:space="0" w:color="000000"/>
              <w:right w:val="single" w:sz="4" w:space="0" w:color="000000"/>
            </w:tcBorders>
            <w:shd w:val="clear" w:color="auto" w:fill="auto"/>
            <w:noWrap/>
            <w:vAlign w:val="bottom"/>
            <w:hideMark/>
          </w:tcPr>
          <w:p w14:paraId="543CE3B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22.95</w:t>
            </w:r>
          </w:p>
        </w:tc>
        <w:tc>
          <w:tcPr>
            <w:tcW w:w="1418" w:type="dxa"/>
            <w:tcBorders>
              <w:top w:val="nil"/>
              <w:left w:val="nil"/>
              <w:bottom w:val="single" w:sz="4" w:space="0" w:color="000000"/>
              <w:right w:val="single" w:sz="4" w:space="0" w:color="000000"/>
            </w:tcBorders>
            <w:shd w:val="clear" w:color="auto" w:fill="auto"/>
            <w:noWrap/>
            <w:vAlign w:val="bottom"/>
            <w:hideMark/>
          </w:tcPr>
          <w:p w14:paraId="3EF807C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32.64</w:t>
            </w:r>
          </w:p>
        </w:tc>
      </w:tr>
      <w:tr w:rsidR="00A0308E" w:rsidRPr="003B10E2" w14:paraId="2E236F01"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8A07F2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Shenzhen Neoway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03BE2E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407.75</w:t>
            </w:r>
          </w:p>
        </w:tc>
        <w:tc>
          <w:tcPr>
            <w:tcW w:w="957" w:type="dxa"/>
            <w:tcBorders>
              <w:top w:val="nil"/>
              <w:left w:val="nil"/>
              <w:bottom w:val="single" w:sz="4" w:space="0" w:color="000000"/>
              <w:right w:val="single" w:sz="4" w:space="0" w:color="000000"/>
            </w:tcBorders>
            <w:shd w:val="clear" w:color="auto" w:fill="auto"/>
            <w:noWrap/>
            <w:vAlign w:val="bottom"/>
            <w:hideMark/>
          </w:tcPr>
          <w:p w14:paraId="647C6D9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31.78</w:t>
            </w:r>
          </w:p>
        </w:tc>
        <w:tc>
          <w:tcPr>
            <w:tcW w:w="1418" w:type="dxa"/>
            <w:tcBorders>
              <w:top w:val="nil"/>
              <w:left w:val="nil"/>
              <w:bottom w:val="single" w:sz="4" w:space="0" w:color="000000"/>
              <w:right w:val="single" w:sz="4" w:space="0" w:color="000000"/>
            </w:tcBorders>
            <w:shd w:val="clear" w:color="auto" w:fill="auto"/>
            <w:noWrap/>
            <w:vAlign w:val="bottom"/>
            <w:hideMark/>
          </w:tcPr>
          <w:p w14:paraId="14842F9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137.58</w:t>
            </w:r>
          </w:p>
        </w:tc>
      </w:tr>
      <w:tr w:rsidR="00A0308E" w:rsidRPr="003B10E2" w14:paraId="5D8FBE76"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066527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Shenzhen Newway Photomask Making,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07604D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1AA521C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34.25</w:t>
            </w:r>
          </w:p>
        </w:tc>
        <w:tc>
          <w:tcPr>
            <w:tcW w:w="1418" w:type="dxa"/>
            <w:tcBorders>
              <w:top w:val="nil"/>
              <w:left w:val="nil"/>
              <w:bottom w:val="single" w:sz="4" w:space="0" w:color="000000"/>
              <w:right w:val="single" w:sz="4" w:space="0" w:color="000000"/>
            </w:tcBorders>
            <w:shd w:val="clear" w:color="auto" w:fill="auto"/>
            <w:noWrap/>
            <w:vAlign w:val="bottom"/>
            <w:hideMark/>
          </w:tcPr>
          <w:p w14:paraId="4C0E599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98.96</w:t>
            </w:r>
          </w:p>
        </w:tc>
      </w:tr>
      <w:tr w:rsidR="00A0308E" w:rsidRPr="003B10E2" w14:paraId="57684234"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E8A8F1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Shenzhen Pacific Union Precision Manufacturing,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49FE6C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217.20</w:t>
            </w:r>
          </w:p>
        </w:tc>
        <w:tc>
          <w:tcPr>
            <w:tcW w:w="957" w:type="dxa"/>
            <w:tcBorders>
              <w:top w:val="nil"/>
              <w:left w:val="nil"/>
              <w:bottom w:val="single" w:sz="4" w:space="0" w:color="000000"/>
              <w:right w:val="single" w:sz="4" w:space="0" w:color="000000"/>
            </w:tcBorders>
            <w:shd w:val="clear" w:color="auto" w:fill="auto"/>
            <w:noWrap/>
            <w:vAlign w:val="bottom"/>
            <w:hideMark/>
          </w:tcPr>
          <w:p w14:paraId="15654B8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19.40</w:t>
            </w:r>
          </w:p>
        </w:tc>
        <w:tc>
          <w:tcPr>
            <w:tcW w:w="1418" w:type="dxa"/>
            <w:tcBorders>
              <w:top w:val="nil"/>
              <w:left w:val="nil"/>
              <w:bottom w:val="single" w:sz="4" w:space="0" w:color="000000"/>
              <w:right w:val="single" w:sz="4" w:space="0" w:color="000000"/>
            </w:tcBorders>
            <w:shd w:val="clear" w:color="auto" w:fill="auto"/>
            <w:noWrap/>
            <w:vAlign w:val="bottom"/>
            <w:hideMark/>
          </w:tcPr>
          <w:p w14:paraId="6A0EDE0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29.53</w:t>
            </w:r>
          </w:p>
        </w:tc>
      </w:tr>
      <w:tr w:rsidR="00A0308E" w:rsidRPr="003B10E2" w14:paraId="6163265A"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5C09D4E"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Shenzhen Qingyi Photomask,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595FA01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834.51</w:t>
            </w:r>
          </w:p>
        </w:tc>
        <w:tc>
          <w:tcPr>
            <w:tcW w:w="957" w:type="dxa"/>
            <w:tcBorders>
              <w:top w:val="nil"/>
              <w:left w:val="nil"/>
              <w:bottom w:val="single" w:sz="4" w:space="0" w:color="000000"/>
              <w:right w:val="single" w:sz="4" w:space="0" w:color="000000"/>
            </w:tcBorders>
            <w:shd w:val="clear" w:color="auto" w:fill="auto"/>
            <w:noWrap/>
            <w:vAlign w:val="bottom"/>
            <w:hideMark/>
          </w:tcPr>
          <w:p w14:paraId="448C60C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22.35</w:t>
            </w:r>
          </w:p>
        </w:tc>
        <w:tc>
          <w:tcPr>
            <w:tcW w:w="1418" w:type="dxa"/>
            <w:tcBorders>
              <w:top w:val="nil"/>
              <w:left w:val="nil"/>
              <w:bottom w:val="single" w:sz="4" w:space="0" w:color="000000"/>
              <w:right w:val="single" w:sz="4" w:space="0" w:color="000000"/>
            </w:tcBorders>
            <w:shd w:val="clear" w:color="auto" w:fill="auto"/>
            <w:noWrap/>
            <w:vAlign w:val="bottom"/>
            <w:hideMark/>
          </w:tcPr>
          <w:p w14:paraId="5869796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35.77</w:t>
            </w:r>
          </w:p>
        </w:tc>
      </w:tr>
      <w:tr w:rsidR="00A0308E" w:rsidRPr="003B10E2" w14:paraId="4363B0F4"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3C344E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Shenzhen Rayitek Hi-tech Film,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537359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522.96</w:t>
            </w:r>
          </w:p>
        </w:tc>
        <w:tc>
          <w:tcPr>
            <w:tcW w:w="957" w:type="dxa"/>
            <w:tcBorders>
              <w:top w:val="nil"/>
              <w:left w:val="nil"/>
              <w:bottom w:val="single" w:sz="4" w:space="0" w:color="000000"/>
              <w:right w:val="single" w:sz="4" w:space="0" w:color="000000"/>
            </w:tcBorders>
            <w:shd w:val="clear" w:color="auto" w:fill="auto"/>
            <w:noWrap/>
            <w:vAlign w:val="bottom"/>
            <w:hideMark/>
          </w:tcPr>
          <w:p w14:paraId="120F123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20.76</w:t>
            </w:r>
          </w:p>
        </w:tc>
        <w:tc>
          <w:tcPr>
            <w:tcW w:w="1418" w:type="dxa"/>
            <w:tcBorders>
              <w:top w:val="nil"/>
              <w:left w:val="nil"/>
              <w:bottom w:val="single" w:sz="4" w:space="0" w:color="000000"/>
              <w:right w:val="single" w:sz="4" w:space="0" w:color="000000"/>
            </w:tcBorders>
            <w:shd w:val="clear" w:color="auto" w:fill="auto"/>
            <w:noWrap/>
            <w:vAlign w:val="bottom"/>
            <w:hideMark/>
          </w:tcPr>
          <w:p w14:paraId="673A51D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10.29</w:t>
            </w:r>
          </w:p>
        </w:tc>
      </w:tr>
      <w:tr w:rsidR="00A0308E" w:rsidRPr="003B10E2" w14:paraId="4EA490F2"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2884B6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Shenzhen Sine Electric,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1C22C5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286.45</w:t>
            </w:r>
          </w:p>
        </w:tc>
        <w:tc>
          <w:tcPr>
            <w:tcW w:w="957" w:type="dxa"/>
            <w:tcBorders>
              <w:top w:val="nil"/>
              <w:left w:val="nil"/>
              <w:bottom w:val="single" w:sz="4" w:space="0" w:color="000000"/>
              <w:right w:val="single" w:sz="4" w:space="0" w:color="000000"/>
            </w:tcBorders>
            <w:shd w:val="clear" w:color="auto" w:fill="auto"/>
            <w:noWrap/>
            <w:vAlign w:val="bottom"/>
            <w:hideMark/>
          </w:tcPr>
          <w:p w14:paraId="312C426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23.80</w:t>
            </w:r>
          </w:p>
        </w:tc>
        <w:tc>
          <w:tcPr>
            <w:tcW w:w="1418" w:type="dxa"/>
            <w:tcBorders>
              <w:top w:val="nil"/>
              <w:left w:val="nil"/>
              <w:bottom w:val="single" w:sz="4" w:space="0" w:color="000000"/>
              <w:right w:val="single" w:sz="4" w:space="0" w:color="000000"/>
            </w:tcBorders>
            <w:shd w:val="clear" w:color="auto" w:fill="auto"/>
            <w:noWrap/>
            <w:vAlign w:val="bottom"/>
            <w:hideMark/>
          </w:tcPr>
          <w:p w14:paraId="09FD1F4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16.12</w:t>
            </w:r>
          </w:p>
        </w:tc>
      </w:tr>
      <w:tr w:rsidR="00A0308E" w:rsidRPr="003B10E2" w14:paraId="3B63DF0C"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A5984A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Shenzhen Sunmoon Microelectronics,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743EF3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583.04</w:t>
            </w:r>
          </w:p>
        </w:tc>
        <w:tc>
          <w:tcPr>
            <w:tcW w:w="957" w:type="dxa"/>
            <w:tcBorders>
              <w:top w:val="nil"/>
              <w:left w:val="nil"/>
              <w:bottom w:val="single" w:sz="4" w:space="0" w:color="000000"/>
              <w:right w:val="single" w:sz="4" w:space="0" w:color="000000"/>
            </w:tcBorders>
            <w:shd w:val="clear" w:color="auto" w:fill="auto"/>
            <w:noWrap/>
            <w:vAlign w:val="bottom"/>
            <w:hideMark/>
          </w:tcPr>
          <w:p w14:paraId="043CC8F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56.02</w:t>
            </w:r>
          </w:p>
        </w:tc>
        <w:tc>
          <w:tcPr>
            <w:tcW w:w="1418" w:type="dxa"/>
            <w:tcBorders>
              <w:top w:val="nil"/>
              <w:left w:val="nil"/>
              <w:bottom w:val="single" w:sz="4" w:space="0" w:color="000000"/>
              <w:right w:val="single" w:sz="4" w:space="0" w:color="000000"/>
            </w:tcBorders>
            <w:shd w:val="clear" w:color="auto" w:fill="auto"/>
            <w:noWrap/>
            <w:vAlign w:val="bottom"/>
            <w:hideMark/>
          </w:tcPr>
          <w:p w14:paraId="2AF6067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179.48</w:t>
            </w:r>
          </w:p>
        </w:tc>
      </w:tr>
      <w:tr w:rsidR="00A0308E" w:rsidRPr="003B10E2" w14:paraId="7F8579C1"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170AFF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Shenzhen Sunxing Light Alloys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B1A8F8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406.40</w:t>
            </w:r>
          </w:p>
        </w:tc>
        <w:tc>
          <w:tcPr>
            <w:tcW w:w="957" w:type="dxa"/>
            <w:tcBorders>
              <w:top w:val="nil"/>
              <w:left w:val="nil"/>
              <w:bottom w:val="single" w:sz="4" w:space="0" w:color="000000"/>
              <w:right w:val="single" w:sz="4" w:space="0" w:color="000000"/>
            </w:tcBorders>
            <w:shd w:val="clear" w:color="auto" w:fill="auto"/>
            <w:noWrap/>
            <w:vAlign w:val="bottom"/>
            <w:hideMark/>
          </w:tcPr>
          <w:p w14:paraId="2502471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17.50</w:t>
            </w:r>
          </w:p>
        </w:tc>
        <w:tc>
          <w:tcPr>
            <w:tcW w:w="1418" w:type="dxa"/>
            <w:tcBorders>
              <w:top w:val="nil"/>
              <w:left w:val="nil"/>
              <w:bottom w:val="single" w:sz="4" w:space="0" w:color="000000"/>
              <w:right w:val="single" w:sz="4" w:space="0" w:color="000000"/>
            </w:tcBorders>
            <w:shd w:val="clear" w:color="auto" w:fill="auto"/>
            <w:noWrap/>
            <w:vAlign w:val="bottom"/>
            <w:hideMark/>
          </w:tcPr>
          <w:p w14:paraId="636D9F4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12.18</w:t>
            </w:r>
          </w:p>
        </w:tc>
      </w:tr>
      <w:tr w:rsidR="00A0308E" w:rsidRPr="003B10E2" w14:paraId="7B014532"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E9CDC1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Shenzhen Transsion Holdings,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2B37B3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14 796.31</w:t>
            </w:r>
          </w:p>
        </w:tc>
        <w:tc>
          <w:tcPr>
            <w:tcW w:w="957" w:type="dxa"/>
            <w:tcBorders>
              <w:top w:val="nil"/>
              <w:left w:val="nil"/>
              <w:bottom w:val="single" w:sz="4" w:space="0" w:color="000000"/>
              <w:right w:val="single" w:sz="4" w:space="0" w:color="000000"/>
            </w:tcBorders>
            <w:shd w:val="clear" w:color="auto" w:fill="auto"/>
            <w:noWrap/>
            <w:vAlign w:val="bottom"/>
            <w:hideMark/>
          </w:tcPr>
          <w:p w14:paraId="5A8B2DF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131.88</w:t>
            </w:r>
          </w:p>
        </w:tc>
        <w:tc>
          <w:tcPr>
            <w:tcW w:w="1418" w:type="dxa"/>
            <w:tcBorders>
              <w:top w:val="nil"/>
              <w:left w:val="nil"/>
              <w:bottom w:val="single" w:sz="4" w:space="0" w:color="000000"/>
              <w:right w:val="single" w:sz="4" w:space="0" w:color="000000"/>
            </w:tcBorders>
            <w:shd w:val="clear" w:color="auto" w:fill="auto"/>
            <w:noWrap/>
            <w:vAlign w:val="bottom"/>
            <w:hideMark/>
          </w:tcPr>
          <w:p w14:paraId="287065E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594.01</w:t>
            </w:r>
          </w:p>
        </w:tc>
      </w:tr>
      <w:tr w:rsidR="00A0308E" w:rsidRPr="003B10E2" w14:paraId="569407C9"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AC894E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Shenzhen United Winners Laser,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C05915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1 010.80</w:t>
            </w:r>
          </w:p>
        </w:tc>
        <w:tc>
          <w:tcPr>
            <w:tcW w:w="957" w:type="dxa"/>
            <w:tcBorders>
              <w:top w:val="nil"/>
              <w:left w:val="nil"/>
              <w:bottom w:val="single" w:sz="4" w:space="0" w:color="000000"/>
              <w:right w:val="single" w:sz="4" w:space="0" w:color="000000"/>
            </w:tcBorders>
            <w:shd w:val="clear" w:color="auto" w:fill="auto"/>
            <w:noWrap/>
            <w:vAlign w:val="bottom"/>
            <w:hideMark/>
          </w:tcPr>
          <w:p w14:paraId="7CA4FF8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24.14</w:t>
            </w:r>
          </w:p>
        </w:tc>
        <w:tc>
          <w:tcPr>
            <w:tcW w:w="1418" w:type="dxa"/>
            <w:tcBorders>
              <w:top w:val="nil"/>
              <w:left w:val="nil"/>
              <w:bottom w:val="single" w:sz="4" w:space="0" w:color="000000"/>
              <w:right w:val="single" w:sz="4" w:space="0" w:color="000000"/>
            </w:tcBorders>
            <w:shd w:val="clear" w:color="auto" w:fill="auto"/>
            <w:noWrap/>
            <w:vAlign w:val="bottom"/>
            <w:hideMark/>
          </w:tcPr>
          <w:p w14:paraId="60EBF14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52.46</w:t>
            </w:r>
          </w:p>
        </w:tc>
      </w:tr>
      <w:tr w:rsidR="00A0308E" w:rsidRPr="003B10E2" w14:paraId="5926D689"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7FB7F7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Shenzhen Xinyichang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654C83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2 115.43</w:t>
            </w:r>
          </w:p>
        </w:tc>
        <w:tc>
          <w:tcPr>
            <w:tcW w:w="957" w:type="dxa"/>
            <w:tcBorders>
              <w:top w:val="nil"/>
              <w:left w:val="nil"/>
              <w:bottom w:val="single" w:sz="4" w:space="0" w:color="000000"/>
              <w:right w:val="single" w:sz="4" w:space="0" w:color="000000"/>
            </w:tcBorders>
            <w:shd w:val="clear" w:color="auto" w:fill="auto"/>
            <w:noWrap/>
            <w:vAlign w:val="bottom"/>
            <w:hideMark/>
          </w:tcPr>
          <w:p w14:paraId="0D92191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148.00</w:t>
            </w:r>
          </w:p>
        </w:tc>
        <w:tc>
          <w:tcPr>
            <w:tcW w:w="1418" w:type="dxa"/>
            <w:tcBorders>
              <w:top w:val="nil"/>
              <w:left w:val="nil"/>
              <w:bottom w:val="single" w:sz="4" w:space="0" w:color="000000"/>
              <w:right w:val="single" w:sz="4" w:space="0" w:color="000000"/>
            </w:tcBorders>
            <w:shd w:val="clear" w:color="auto" w:fill="auto"/>
            <w:noWrap/>
            <w:vAlign w:val="bottom"/>
            <w:hideMark/>
          </w:tcPr>
          <w:p w14:paraId="38D832E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173.65</w:t>
            </w:r>
          </w:p>
        </w:tc>
      </w:tr>
      <w:tr w:rsidR="00A0308E" w:rsidRPr="003B10E2" w14:paraId="3204370D"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2012C3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Shenzhen Xunjiexing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2095F9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337.51</w:t>
            </w:r>
          </w:p>
        </w:tc>
        <w:tc>
          <w:tcPr>
            <w:tcW w:w="957" w:type="dxa"/>
            <w:tcBorders>
              <w:top w:val="nil"/>
              <w:left w:val="nil"/>
              <w:bottom w:val="single" w:sz="4" w:space="0" w:color="000000"/>
              <w:right w:val="single" w:sz="4" w:space="0" w:color="000000"/>
            </w:tcBorders>
            <w:shd w:val="clear" w:color="auto" w:fill="auto"/>
            <w:noWrap/>
            <w:vAlign w:val="bottom"/>
            <w:hideMark/>
          </w:tcPr>
          <w:p w14:paraId="7CA607F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18.08</w:t>
            </w:r>
          </w:p>
        </w:tc>
        <w:tc>
          <w:tcPr>
            <w:tcW w:w="1418" w:type="dxa"/>
            <w:tcBorders>
              <w:top w:val="nil"/>
              <w:left w:val="nil"/>
              <w:bottom w:val="single" w:sz="4" w:space="0" w:color="000000"/>
              <w:right w:val="single" w:sz="4" w:space="0" w:color="000000"/>
            </w:tcBorders>
            <w:shd w:val="clear" w:color="auto" w:fill="auto"/>
            <w:noWrap/>
            <w:vAlign w:val="bottom"/>
            <w:hideMark/>
          </w:tcPr>
          <w:p w14:paraId="088D5BB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193.63</w:t>
            </w:r>
          </w:p>
        </w:tc>
      </w:tr>
      <w:tr w:rsidR="00A0308E" w:rsidRPr="003B10E2" w14:paraId="686193B7"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6C0B0B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Shenzhen Yanmade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947F86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371.24</w:t>
            </w:r>
          </w:p>
        </w:tc>
        <w:tc>
          <w:tcPr>
            <w:tcW w:w="957" w:type="dxa"/>
            <w:tcBorders>
              <w:top w:val="nil"/>
              <w:left w:val="nil"/>
              <w:bottom w:val="single" w:sz="4" w:space="0" w:color="000000"/>
              <w:right w:val="single" w:sz="4" w:space="0" w:color="000000"/>
            </w:tcBorders>
            <w:shd w:val="clear" w:color="auto" w:fill="auto"/>
            <w:noWrap/>
            <w:vAlign w:val="bottom"/>
            <w:hideMark/>
          </w:tcPr>
          <w:p w14:paraId="2912644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18.41</w:t>
            </w:r>
          </w:p>
        </w:tc>
        <w:tc>
          <w:tcPr>
            <w:tcW w:w="1418" w:type="dxa"/>
            <w:tcBorders>
              <w:top w:val="nil"/>
              <w:left w:val="nil"/>
              <w:bottom w:val="single" w:sz="4" w:space="0" w:color="000000"/>
              <w:right w:val="single" w:sz="4" w:space="0" w:color="000000"/>
            </w:tcBorders>
            <w:shd w:val="clear" w:color="auto" w:fill="auto"/>
            <w:noWrap/>
            <w:vAlign w:val="bottom"/>
            <w:hideMark/>
          </w:tcPr>
          <w:p w14:paraId="419E139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25.96</w:t>
            </w:r>
          </w:p>
        </w:tc>
      </w:tr>
      <w:tr w:rsidR="00A0308E" w:rsidRPr="003B10E2" w14:paraId="6A812148"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26CBEDB"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Shenzhen YHLO Biotech,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20E2963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1 082.57</w:t>
            </w:r>
          </w:p>
        </w:tc>
        <w:tc>
          <w:tcPr>
            <w:tcW w:w="957" w:type="dxa"/>
            <w:tcBorders>
              <w:top w:val="nil"/>
              <w:left w:val="nil"/>
              <w:bottom w:val="single" w:sz="4" w:space="0" w:color="000000"/>
              <w:right w:val="single" w:sz="4" w:space="0" w:color="000000"/>
            </w:tcBorders>
            <w:shd w:val="clear" w:color="auto" w:fill="auto"/>
            <w:noWrap/>
            <w:vAlign w:val="bottom"/>
            <w:hideMark/>
          </w:tcPr>
          <w:p w14:paraId="2FA8F6A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19.10</w:t>
            </w:r>
          </w:p>
        </w:tc>
        <w:tc>
          <w:tcPr>
            <w:tcW w:w="1418" w:type="dxa"/>
            <w:tcBorders>
              <w:top w:val="nil"/>
              <w:left w:val="nil"/>
              <w:bottom w:val="single" w:sz="4" w:space="0" w:color="000000"/>
              <w:right w:val="single" w:sz="4" w:space="0" w:color="000000"/>
            </w:tcBorders>
            <w:shd w:val="clear" w:color="auto" w:fill="auto"/>
            <w:noWrap/>
            <w:vAlign w:val="bottom"/>
            <w:hideMark/>
          </w:tcPr>
          <w:p w14:paraId="000C14A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55.68</w:t>
            </w:r>
          </w:p>
        </w:tc>
      </w:tr>
      <w:tr w:rsidR="00A0308E" w:rsidRPr="003B10E2" w14:paraId="4F2A016F"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6E6C67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Shijiazhuang Kelin Electric,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E58754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348.69</w:t>
            </w:r>
          </w:p>
        </w:tc>
        <w:tc>
          <w:tcPr>
            <w:tcW w:w="957" w:type="dxa"/>
            <w:tcBorders>
              <w:top w:val="nil"/>
              <w:left w:val="nil"/>
              <w:bottom w:val="single" w:sz="4" w:space="0" w:color="000000"/>
              <w:right w:val="single" w:sz="4" w:space="0" w:color="000000"/>
            </w:tcBorders>
            <w:shd w:val="clear" w:color="auto" w:fill="auto"/>
            <w:noWrap/>
            <w:vAlign w:val="bottom"/>
            <w:hideMark/>
          </w:tcPr>
          <w:p w14:paraId="729831E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15.36</w:t>
            </w:r>
          </w:p>
        </w:tc>
        <w:tc>
          <w:tcPr>
            <w:tcW w:w="1418" w:type="dxa"/>
            <w:tcBorders>
              <w:top w:val="nil"/>
              <w:left w:val="nil"/>
              <w:bottom w:val="single" w:sz="4" w:space="0" w:color="000000"/>
              <w:right w:val="single" w:sz="4" w:space="0" w:color="000000"/>
            </w:tcBorders>
            <w:shd w:val="clear" w:color="auto" w:fill="auto"/>
            <w:noWrap/>
            <w:vAlign w:val="bottom"/>
            <w:hideMark/>
          </w:tcPr>
          <w:p w14:paraId="53BE861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75.36</w:t>
            </w:r>
          </w:p>
        </w:tc>
      </w:tr>
      <w:tr w:rsidR="00A0308E" w:rsidRPr="003B10E2" w14:paraId="09AA9BEA"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985CF3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Shinva Medical Instrument,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D6AA32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1 982.76</w:t>
            </w:r>
          </w:p>
        </w:tc>
        <w:tc>
          <w:tcPr>
            <w:tcW w:w="957" w:type="dxa"/>
            <w:tcBorders>
              <w:top w:val="nil"/>
              <w:left w:val="nil"/>
              <w:bottom w:val="single" w:sz="4" w:space="0" w:color="000000"/>
              <w:right w:val="single" w:sz="4" w:space="0" w:color="000000"/>
            </w:tcBorders>
            <w:shd w:val="clear" w:color="auto" w:fill="auto"/>
            <w:noWrap/>
            <w:vAlign w:val="bottom"/>
            <w:hideMark/>
          </w:tcPr>
          <w:p w14:paraId="3F010D6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34.39</w:t>
            </w:r>
          </w:p>
        </w:tc>
        <w:tc>
          <w:tcPr>
            <w:tcW w:w="1418" w:type="dxa"/>
            <w:tcBorders>
              <w:top w:val="nil"/>
              <w:left w:val="nil"/>
              <w:bottom w:val="single" w:sz="4" w:space="0" w:color="000000"/>
              <w:right w:val="single" w:sz="4" w:space="0" w:color="000000"/>
            </w:tcBorders>
            <w:shd w:val="clear" w:color="auto" w:fill="auto"/>
            <w:noWrap/>
            <w:vAlign w:val="bottom"/>
            <w:hideMark/>
          </w:tcPr>
          <w:p w14:paraId="266B9E7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138.27</w:t>
            </w:r>
          </w:p>
        </w:tc>
      </w:tr>
      <w:tr w:rsidR="00A0308E" w:rsidRPr="003B10E2" w14:paraId="0A8712F5"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12C165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Shuangliang Eco-Energy Systems,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36188C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2 805.65</w:t>
            </w:r>
          </w:p>
        </w:tc>
        <w:tc>
          <w:tcPr>
            <w:tcW w:w="957" w:type="dxa"/>
            <w:tcBorders>
              <w:top w:val="nil"/>
              <w:left w:val="nil"/>
              <w:bottom w:val="single" w:sz="4" w:space="0" w:color="000000"/>
              <w:right w:val="single" w:sz="4" w:space="0" w:color="000000"/>
            </w:tcBorders>
            <w:shd w:val="clear" w:color="auto" w:fill="auto"/>
            <w:noWrap/>
            <w:vAlign w:val="bottom"/>
            <w:hideMark/>
          </w:tcPr>
          <w:p w14:paraId="0FCA1D1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12.32</w:t>
            </w:r>
          </w:p>
        </w:tc>
        <w:tc>
          <w:tcPr>
            <w:tcW w:w="1418" w:type="dxa"/>
            <w:tcBorders>
              <w:top w:val="nil"/>
              <w:left w:val="nil"/>
              <w:bottom w:val="single" w:sz="4" w:space="0" w:color="000000"/>
              <w:right w:val="single" w:sz="4" w:space="0" w:color="000000"/>
            </w:tcBorders>
            <w:shd w:val="clear" w:color="auto" w:fill="auto"/>
            <w:noWrap/>
            <w:vAlign w:val="bottom"/>
            <w:hideMark/>
          </w:tcPr>
          <w:p w14:paraId="57CA64B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337.92</w:t>
            </w:r>
          </w:p>
        </w:tc>
      </w:tr>
      <w:tr w:rsidR="00A0308E" w:rsidRPr="003B10E2" w14:paraId="6C703C54" w14:textId="77777777" w:rsidTr="00A0308E">
        <w:trPr>
          <w:trHeight w:val="300"/>
        </w:trPr>
        <w:tc>
          <w:tcPr>
            <w:tcW w:w="4815" w:type="dxa"/>
            <w:tcBorders>
              <w:top w:val="nil"/>
              <w:left w:val="single" w:sz="4" w:space="0" w:color="000000"/>
              <w:bottom w:val="single" w:sz="4" w:space="0" w:color="auto"/>
              <w:right w:val="single" w:sz="4" w:space="0" w:color="000000"/>
            </w:tcBorders>
            <w:shd w:val="clear" w:color="auto" w:fill="auto"/>
            <w:noWrap/>
            <w:vAlign w:val="bottom"/>
            <w:hideMark/>
          </w:tcPr>
          <w:p w14:paraId="7AEEFD3E"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SICC, акция об.</w:t>
            </w:r>
          </w:p>
        </w:tc>
        <w:tc>
          <w:tcPr>
            <w:tcW w:w="1736" w:type="dxa"/>
            <w:tcBorders>
              <w:top w:val="nil"/>
              <w:left w:val="nil"/>
              <w:bottom w:val="single" w:sz="4" w:space="0" w:color="auto"/>
              <w:right w:val="single" w:sz="4" w:space="0" w:color="000000"/>
            </w:tcBorders>
            <w:shd w:val="clear" w:color="auto" w:fill="auto"/>
            <w:noWrap/>
            <w:vAlign w:val="bottom"/>
            <w:hideMark/>
          </w:tcPr>
          <w:p w14:paraId="3D76353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4 551.19</w:t>
            </w:r>
          </w:p>
        </w:tc>
        <w:tc>
          <w:tcPr>
            <w:tcW w:w="957" w:type="dxa"/>
            <w:tcBorders>
              <w:top w:val="nil"/>
              <w:left w:val="nil"/>
              <w:bottom w:val="single" w:sz="4" w:space="0" w:color="auto"/>
              <w:right w:val="single" w:sz="4" w:space="0" w:color="000000"/>
            </w:tcBorders>
            <w:shd w:val="clear" w:color="auto" w:fill="auto"/>
            <w:noWrap/>
            <w:vAlign w:val="bottom"/>
            <w:hideMark/>
          </w:tcPr>
          <w:p w14:paraId="7AE4B5B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75.68</w:t>
            </w:r>
          </w:p>
        </w:tc>
        <w:tc>
          <w:tcPr>
            <w:tcW w:w="1418" w:type="dxa"/>
            <w:tcBorders>
              <w:top w:val="nil"/>
              <w:left w:val="nil"/>
              <w:bottom w:val="single" w:sz="4" w:space="0" w:color="auto"/>
              <w:right w:val="single" w:sz="4" w:space="0" w:color="000000"/>
            </w:tcBorders>
            <w:shd w:val="clear" w:color="auto" w:fill="auto"/>
            <w:noWrap/>
            <w:vAlign w:val="bottom"/>
            <w:hideMark/>
          </w:tcPr>
          <w:p w14:paraId="331CA19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180.53</w:t>
            </w:r>
          </w:p>
        </w:tc>
      </w:tr>
      <w:tr w:rsidR="00A0308E" w:rsidRPr="003B10E2" w14:paraId="1C6CC33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742E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Sichuan Changhong Electric,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D55A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3 178.49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ADB8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B596F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2 140.39</w:t>
            </w:r>
          </w:p>
        </w:tc>
      </w:tr>
      <w:tr w:rsidR="00A0308E" w:rsidRPr="003B10E2" w14:paraId="58FB9E86" w14:textId="77777777" w:rsidTr="00A0308E">
        <w:trPr>
          <w:trHeight w:val="300"/>
        </w:trPr>
        <w:tc>
          <w:tcPr>
            <w:tcW w:w="481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38AE8A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Sichuan Chuantou Energy,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nil"/>
              <w:bottom w:val="single" w:sz="4" w:space="0" w:color="000000"/>
              <w:right w:val="single" w:sz="4" w:space="0" w:color="000000"/>
            </w:tcBorders>
            <w:shd w:val="clear" w:color="auto" w:fill="auto"/>
            <w:noWrap/>
            <w:vAlign w:val="bottom"/>
            <w:hideMark/>
          </w:tcPr>
          <w:p w14:paraId="530B50C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9 095.35</w:t>
            </w:r>
          </w:p>
        </w:tc>
        <w:tc>
          <w:tcPr>
            <w:tcW w:w="957" w:type="dxa"/>
            <w:tcBorders>
              <w:top w:val="single" w:sz="4" w:space="0" w:color="auto"/>
              <w:left w:val="nil"/>
              <w:bottom w:val="single" w:sz="4" w:space="0" w:color="000000"/>
              <w:right w:val="single" w:sz="4" w:space="0" w:color="000000"/>
            </w:tcBorders>
            <w:shd w:val="clear" w:color="auto" w:fill="auto"/>
            <w:noWrap/>
            <w:vAlign w:val="bottom"/>
            <w:hideMark/>
          </w:tcPr>
          <w:p w14:paraId="7427293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14.75</w:t>
            </w:r>
          </w:p>
        </w:tc>
        <w:tc>
          <w:tcPr>
            <w:tcW w:w="1418" w:type="dxa"/>
            <w:tcBorders>
              <w:top w:val="single" w:sz="4" w:space="0" w:color="auto"/>
              <w:left w:val="nil"/>
              <w:bottom w:val="single" w:sz="4" w:space="0" w:color="000000"/>
              <w:right w:val="single" w:sz="4" w:space="0" w:color="000000"/>
            </w:tcBorders>
            <w:shd w:val="clear" w:color="auto" w:fill="auto"/>
            <w:noWrap/>
            <w:vAlign w:val="bottom"/>
            <w:hideMark/>
          </w:tcPr>
          <w:p w14:paraId="1D6579B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146.75</w:t>
            </w:r>
          </w:p>
        </w:tc>
      </w:tr>
      <w:tr w:rsidR="00A0308E" w:rsidRPr="003B10E2" w14:paraId="5220200C"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7FD5F3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Sichuan Em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E3B517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1 434.23</w:t>
            </w:r>
          </w:p>
        </w:tc>
        <w:tc>
          <w:tcPr>
            <w:tcW w:w="957" w:type="dxa"/>
            <w:tcBorders>
              <w:top w:val="nil"/>
              <w:left w:val="nil"/>
              <w:bottom w:val="single" w:sz="4" w:space="0" w:color="000000"/>
              <w:right w:val="single" w:sz="4" w:space="0" w:color="000000"/>
            </w:tcBorders>
            <w:shd w:val="clear" w:color="auto" w:fill="auto"/>
            <w:noWrap/>
            <w:vAlign w:val="bottom"/>
            <w:hideMark/>
          </w:tcPr>
          <w:p w14:paraId="24B240A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11.41</w:t>
            </w:r>
          </w:p>
        </w:tc>
        <w:tc>
          <w:tcPr>
            <w:tcW w:w="1418" w:type="dxa"/>
            <w:tcBorders>
              <w:top w:val="nil"/>
              <w:left w:val="nil"/>
              <w:bottom w:val="single" w:sz="4" w:space="0" w:color="000000"/>
              <w:right w:val="single" w:sz="4" w:space="0" w:color="000000"/>
            </w:tcBorders>
            <w:shd w:val="clear" w:color="auto" w:fill="auto"/>
            <w:noWrap/>
            <w:vAlign w:val="bottom"/>
            <w:hideMark/>
          </w:tcPr>
          <w:p w14:paraId="6567973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103.88</w:t>
            </w:r>
          </w:p>
        </w:tc>
      </w:tr>
      <w:tr w:rsidR="00A0308E" w:rsidRPr="003B10E2" w14:paraId="693DC9C0"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57A3FC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Sichuan Expressway Company,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DECAF5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1 253.06</w:t>
            </w:r>
          </w:p>
        </w:tc>
        <w:tc>
          <w:tcPr>
            <w:tcW w:w="957" w:type="dxa"/>
            <w:tcBorders>
              <w:top w:val="nil"/>
              <w:left w:val="nil"/>
              <w:bottom w:val="single" w:sz="4" w:space="0" w:color="000000"/>
              <w:right w:val="single" w:sz="4" w:space="0" w:color="000000"/>
            </w:tcBorders>
            <w:shd w:val="clear" w:color="auto" w:fill="auto"/>
            <w:noWrap/>
            <w:vAlign w:val="bottom"/>
            <w:hideMark/>
          </w:tcPr>
          <w:p w14:paraId="6C0EBF5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4.14</w:t>
            </w:r>
          </w:p>
        </w:tc>
        <w:tc>
          <w:tcPr>
            <w:tcW w:w="1418" w:type="dxa"/>
            <w:tcBorders>
              <w:top w:val="nil"/>
              <w:left w:val="nil"/>
              <w:bottom w:val="single" w:sz="4" w:space="0" w:color="000000"/>
              <w:right w:val="single" w:sz="4" w:space="0" w:color="000000"/>
            </w:tcBorders>
            <w:shd w:val="clear" w:color="auto" w:fill="auto"/>
            <w:noWrap/>
            <w:vAlign w:val="bottom"/>
            <w:hideMark/>
          </w:tcPr>
          <w:p w14:paraId="0CCE812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30.65</w:t>
            </w:r>
          </w:p>
        </w:tc>
      </w:tr>
      <w:tr w:rsidR="00A0308E" w:rsidRPr="003B10E2" w14:paraId="725A30CD"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271AC0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Sichuan Furong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DE099B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610.58</w:t>
            </w:r>
          </w:p>
        </w:tc>
        <w:tc>
          <w:tcPr>
            <w:tcW w:w="957" w:type="dxa"/>
            <w:tcBorders>
              <w:top w:val="nil"/>
              <w:left w:val="nil"/>
              <w:bottom w:val="single" w:sz="4" w:space="0" w:color="000000"/>
              <w:right w:val="single" w:sz="4" w:space="0" w:color="000000"/>
            </w:tcBorders>
            <w:shd w:val="clear" w:color="auto" w:fill="auto"/>
            <w:noWrap/>
            <w:vAlign w:val="bottom"/>
            <w:hideMark/>
          </w:tcPr>
          <w:p w14:paraId="0C76359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10.88</w:t>
            </w:r>
          </w:p>
        </w:tc>
        <w:tc>
          <w:tcPr>
            <w:tcW w:w="1418" w:type="dxa"/>
            <w:tcBorders>
              <w:top w:val="nil"/>
              <w:left w:val="nil"/>
              <w:bottom w:val="single" w:sz="4" w:space="0" w:color="000000"/>
              <w:right w:val="single" w:sz="4" w:space="0" w:color="000000"/>
            </w:tcBorders>
            <w:shd w:val="clear" w:color="auto" w:fill="auto"/>
            <w:noWrap/>
            <w:vAlign w:val="bottom"/>
            <w:hideMark/>
          </w:tcPr>
          <w:p w14:paraId="2DF385A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81.85</w:t>
            </w:r>
          </w:p>
        </w:tc>
      </w:tr>
      <w:tr w:rsidR="00A0308E" w:rsidRPr="003B10E2" w14:paraId="73F4DCE3"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90F14F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Sichuan Golden Summit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2A4488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259.83</w:t>
            </w:r>
          </w:p>
        </w:tc>
        <w:tc>
          <w:tcPr>
            <w:tcW w:w="957" w:type="dxa"/>
            <w:tcBorders>
              <w:top w:val="nil"/>
              <w:left w:val="nil"/>
              <w:bottom w:val="single" w:sz="4" w:space="0" w:color="000000"/>
              <w:right w:val="single" w:sz="4" w:space="0" w:color="000000"/>
            </w:tcBorders>
            <w:shd w:val="clear" w:color="auto" w:fill="auto"/>
            <w:noWrap/>
            <w:vAlign w:val="bottom"/>
            <w:hideMark/>
          </w:tcPr>
          <w:p w14:paraId="137F6C7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5.32</w:t>
            </w:r>
          </w:p>
        </w:tc>
        <w:tc>
          <w:tcPr>
            <w:tcW w:w="1418" w:type="dxa"/>
            <w:tcBorders>
              <w:top w:val="nil"/>
              <w:left w:val="nil"/>
              <w:bottom w:val="single" w:sz="4" w:space="0" w:color="000000"/>
              <w:right w:val="single" w:sz="4" w:space="0" w:color="000000"/>
            </w:tcBorders>
            <w:shd w:val="clear" w:color="auto" w:fill="auto"/>
            <w:noWrap/>
            <w:vAlign w:val="bottom"/>
            <w:hideMark/>
          </w:tcPr>
          <w:p w14:paraId="1A70C9A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15.34</w:t>
            </w:r>
          </w:p>
        </w:tc>
      </w:tr>
      <w:tr w:rsidR="00A0308E" w:rsidRPr="003B10E2" w14:paraId="0D5DE810"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3CAECC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Sichuan Guangan Aaa Public,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AEA289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560.47</w:t>
            </w:r>
          </w:p>
        </w:tc>
        <w:tc>
          <w:tcPr>
            <w:tcW w:w="957" w:type="dxa"/>
            <w:tcBorders>
              <w:top w:val="nil"/>
              <w:left w:val="nil"/>
              <w:bottom w:val="single" w:sz="4" w:space="0" w:color="000000"/>
              <w:right w:val="single" w:sz="4" w:space="0" w:color="000000"/>
            </w:tcBorders>
            <w:shd w:val="clear" w:color="auto" w:fill="auto"/>
            <w:noWrap/>
            <w:vAlign w:val="bottom"/>
            <w:hideMark/>
          </w:tcPr>
          <w:p w14:paraId="34241FB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3.25</w:t>
            </w:r>
          </w:p>
        </w:tc>
        <w:tc>
          <w:tcPr>
            <w:tcW w:w="1418" w:type="dxa"/>
            <w:tcBorders>
              <w:top w:val="nil"/>
              <w:left w:val="nil"/>
              <w:bottom w:val="single" w:sz="4" w:space="0" w:color="000000"/>
              <w:right w:val="single" w:sz="4" w:space="0" w:color="000000"/>
            </w:tcBorders>
            <w:shd w:val="clear" w:color="auto" w:fill="auto"/>
            <w:noWrap/>
            <w:vAlign w:val="bottom"/>
            <w:hideMark/>
          </w:tcPr>
          <w:p w14:paraId="68E0A66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34.10</w:t>
            </w:r>
          </w:p>
        </w:tc>
      </w:tr>
      <w:tr w:rsidR="00A0308E" w:rsidRPr="003B10E2" w14:paraId="07953D90"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69C6B5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Sichuan Hebang Biotechnology,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9CE543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2 953.84</w:t>
            </w:r>
          </w:p>
        </w:tc>
        <w:tc>
          <w:tcPr>
            <w:tcW w:w="957" w:type="dxa"/>
            <w:tcBorders>
              <w:top w:val="nil"/>
              <w:left w:val="nil"/>
              <w:bottom w:val="single" w:sz="4" w:space="0" w:color="000000"/>
              <w:right w:val="single" w:sz="4" w:space="0" w:color="000000"/>
            </w:tcBorders>
            <w:shd w:val="clear" w:color="auto" w:fill="auto"/>
            <w:noWrap/>
            <w:vAlign w:val="bottom"/>
            <w:hideMark/>
          </w:tcPr>
          <w:p w14:paraId="1B81FF5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2.39</w:t>
            </w:r>
          </w:p>
        </w:tc>
        <w:tc>
          <w:tcPr>
            <w:tcW w:w="1418" w:type="dxa"/>
            <w:tcBorders>
              <w:top w:val="nil"/>
              <w:left w:val="nil"/>
              <w:bottom w:val="single" w:sz="4" w:space="0" w:color="000000"/>
              <w:right w:val="single" w:sz="4" w:space="0" w:color="000000"/>
            </w:tcBorders>
            <w:shd w:val="clear" w:color="auto" w:fill="auto"/>
            <w:noWrap/>
            <w:vAlign w:val="bottom"/>
            <w:hideMark/>
          </w:tcPr>
          <w:p w14:paraId="652CED3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77.15</w:t>
            </w:r>
          </w:p>
        </w:tc>
      </w:tr>
      <w:tr w:rsidR="00A0308E" w:rsidRPr="003B10E2" w14:paraId="06F8CD84"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36763FB"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Sichuan Hongda,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30733D2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1 393.44</w:t>
            </w:r>
          </w:p>
        </w:tc>
        <w:tc>
          <w:tcPr>
            <w:tcW w:w="957" w:type="dxa"/>
            <w:tcBorders>
              <w:top w:val="nil"/>
              <w:left w:val="nil"/>
              <w:bottom w:val="single" w:sz="4" w:space="0" w:color="000000"/>
              <w:right w:val="single" w:sz="4" w:space="0" w:color="000000"/>
            </w:tcBorders>
            <w:shd w:val="clear" w:color="auto" w:fill="auto"/>
            <w:noWrap/>
            <w:vAlign w:val="bottom"/>
            <w:hideMark/>
          </w:tcPr>
          <w:p w14:paraId="4FFE822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4.90</w:t>
            </w:r>
          </w:p>
        </w:tc>
        <w:tc>
          <w:tcPr>
            <w:tcW w:w="1418" w:type="dxa"/>
            <w:tcBorders>
              <w:top w:val="nil"/>
              <w:left w:val="nil"/>
              <w:bottom w:val="single" w:sz="4" w:space="0" w:color="000000"/>
              <w:right w:val="single" w:sz="4" w:space="0" w:color="000000"/>
            </w:tcBorders>
            <w:shd w:val="clear" w:color="auto" w:fill="auto"/>
            <w:noWrap/>
            <w:vAlign w:val="bottom"/>
            <w:hideMark/>
          </w:tcPr>
          <w:p w14:paraId="71D4ACD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400.22</w:t>
            </w:r>
          </w:p>
        </w:tc>
      </w:tr>
      <w:tr w:rsidR="00A0308E" w:rsidRPr="003B10E2" w14:paraId="38F4C204"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1F1070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Sichuan Huati Lighting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6A6D18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319.58</w:t>
            </w:r>
          </w:p>
        </w:tc>
        <w:tc>
          <w:tcPr>
            <w:tcW w:w="957" w:type="dxa"/>
            <w:tcBorders>
              <w:top w:val="nil"/>
              <w:left w:val="nil"/>
              <w:bottom w:val="single" w:sz="4" w:space="0" w:color="000000"/>
              <w:right w:val="single" w:sz="4" w:space="0" w:color="000000"/>
            </w:tcBorders>
            <w:shd w:val="clear" w:color="auto" w:fill="auto"/>
            <w:noWrap/>
            <w:vAlign w:val="bottom"/>
            <w:hideMark/>
          </w:tcPr>
          <w:p w14:paraId="28C2422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16.08</w:t>
            </w:r>
          </w:p>
        </w:tc>
        <w:tc>
          <w:tcPr>
            <w:tcW w:w="1418" w:type="dxa"/>
            <w:tcBorders>
              <w:top w:val="nil"/>
              <w:left w:val="nil"/>
              <w:bottom w:val="single" w:sz="4" w:space="0" w:color="000000"/>
              <w:right w:val="single" w:sz="4" w:space="0" w:color="000000"/>
            </w:tcBorders>
            <w:shd w:val="clear" w:color="auto" w:fill="auto"/>
            <w:noWrap/>
            <w:vAlign w:val="bottom"/>
            <w:hideMark/>
          </w:tcPr>
          <w:p w14:paraId="3F6FA40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474.63</w:t>
            </w:r>
          </w:p>
        </w:tc>
      </w:tr>
      <w:tr w:rsidR="00A0308E" w:rsidRPr="003B10E2" w14:paraId="100F144B"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0C3D7A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Sichuan Huiyu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4346D4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935.47</w:t>
            </w:r>
          </w:p>
        </w:tc>
        <w:tc>
          <w:tcPr>
            <w:tcW w:w="957" w:type="dxa"/>
            <w:tcBorders>
              <w:top w:val="nil"/>
              <w:left w:val="nil"/>
              <w:bottom w:val="single" w:sz="4" w:space="0" w:color="000000"/>
              <w:right w:val="single" w:sz="4" w:space="0" w:color="000000"/>
            </w:tcBorders>
            <w:shd w:val="clear" w:color="auto" w:fill="auto"/>
            <w:noWrap/>
            <w:vAlign w:val="bottom"/>
            <w:hideMark/>
          </w:tcPr>
          <w:p w14:paraId="3A51B15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15.78</w:t>
            </w:r>
          </w:p>
        </w:tc>
        <w:tc>
          <w:tcPr>
            <w:tcW w:w="1418" w:type="dxa"/>
            <w:tcBorders>
              <w:top w:val="nil"/>
              <w:left w:val="nil"/>
              <w:bottom w:val="single" w:sz="4" w:space="0" w:color="000000"/>
              <w:right w:val="single" w:sz="4" w:space="0" w:color="000000"/>
            </w:tcBorders>
            <w:shd w:val="clear" w:color="auto" w:fill="auto"/>
            <w:noWrap/>
            <w:vAlign w:val="bottom"/>
            <w:hideMark/>
          </w:tcPr>
          <w:p w14:paraId="6B0DEB7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8.92</w:t>
            </w:r>
          </w:p>
        </w:tc>
      </w:tr>
      <w:tr w:rsidR="00A0308E" w:rsidRPr="003B10E2" w14:paraId="724693A3"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D8A2FA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Sichuan Langsha 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951F7A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225.58</w:t>
            </w:r>
          </w:p>
        </w:tc>
        <w:tc>
          <w:tcPr>
            <w:tcW w:w="957" w:type="dxa"/>
            <w:tcBorders>
              <w:top w:val="nil"/>
              <w:left w:val="nil"/>
              <w:bottom w:val="single" w:sz="4" w:space="0" w:color="000000"/>
              <w:right w:val="single" w:sz="4" w:space="0" w:color="000000"/>
            </w:tcBorders>
            <w:shd w:val="clear" w:color="auto" w:fill="auto"/>
            <w:noWrap/>
            <w:vAlign w:val="bottom"/>
            <w:hideMark/>
          </w:tcPr>
          <w:p w14:paraId="4897669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16.58</w:t>
            </w:r>
          </w:p>
        </w:tc>
        <w:tc>
          <w:tcPr>
            <w:tcW w:w="1418" w:type="dxa"/>
            <w:tcBorders>
              <w:top w:val="nil"/>
              <w:left w:val="nil"/>
              <w:bottom w:val="single" w:sz="4" w:space="0" w:color="000000"/>
              <w:right w:val="single" w:sz="4" w:space="0" w:color="000000"/>
            </w:tcBorders>
            <w:shd w:val="clear" w:color="auto" w:fill="auto"/>
            <w:noWrap/>
            <w:vAlign w:val="bottom"/>
            <w:hideMark/>
          </w:tcPr>
          <w:p w14:paraId="73467D6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51.77</w:t>
            </w:r>
          </w:p>
        </w:tc>
      </w:tr>
      <w:tr w:rsidR="00A0308E" w:rsidRPr="003B10E2" w14:paraId="7D25C240"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89ADAB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Sichuan Languang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7C553C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170.85</w:t>
            </w:r>
          </w:p>
        </w:tc>
        <w:tc>
          <w:tcPr>
            <w:tcW w:w="957" w:type="dxa"/>
            <w:tcBorders>
              <w:top w:val="nil"/>
              <w:left w:val="nil"/>
              <w:bottom w:val="single" w:sz="4" w:space="0" w:color="000000"/>
              <w:right w:val="single" w:sz="4" w:space="0" w:color="000000"/>
            </w:tcBorders>
            <w:shd w:val="clear" w:color="auto" w:fill="auto"/>
            <w:noWrap/>
            <w:vAlign w:val="bottom"/>
            <w:hideMark/>
          </w:tcPr>
          <w:p w14:paraId="382AF29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0.40</w:t>
            </w:r>
          </w:p>
        </w:tc>
        <w:tc>
          <w:tcPr>
            <w:tcW w:w="1418" w:type="dxa"/>
            <w:tcBorders>
              <w:top w:val="nil"/>
              <w:left w:val="nil"/>
              <w:bottom w:val="single" w:sz="4" w:space="0" w:color="000000"/>
              <w:right w:val="single" w:sz="4" w:space="0" w:color="000000"/>
            </w:tcBorders>
            <w:shd w:val="clear" w:color="auto" w:fill="auto"/>
            <w:noWrap/>
            <w:vAlign w:val="bottom"/>
            <w:hideMark/>
          </w:tcPr>
          <w:p w14:paraId="62A8B49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0.00</w:t>
            </w:r>
          </w:p>
        </w:tc>
      </w:tr>
      <w:tr w:rsidR="00A0308E" w:rsidRPr="003B10E2" w14:paraId="4378E2DB"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C99FB9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Sichuan Mingxing Electric 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A5506A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520.19</w:t>
            </w:r>
          </w:p>
        </w:tc>
        <w:tc>
          <w:tcPr>
            <w:tcW w:w="957" w:type="dxa"/>
            <w:tcBorders>
              <w:top w:val="nil"/>
              <w:left w:val="nil"/>
              <w:bottom w:val="single" w:sz="4" w:space="0" w:color="000000"/>
              <w:right w:val="single" w:sz="4" w:space="0" w:color="000000"/>
            </w:tcBorders>
            <w:shd w:val="clear" w:color="auto" w:fill="auto"/>
            <w:noWrap/>
            <w:vAlign w:val="bottom"/>
            <w:hideMark/>
          </w:tcPr>
          <w:p w14:paraId="1AECFCC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8.82</w:t>
            </w:r>
          </w:p>
        </w:tc>
        <w:tc>
          <w:tcPr>
            <w:tcW w:w="1418" w:type="dxa"/>
            <w:tcBorders>
              <w:top w:val="nil"/>
              <w:left w:val="nil"/>
              <w:bottom w:val="single" w:sz="4" w:space="0" w:color="000000"/>
              <w:right w:val="single" w:sz="4" w:space="0" w:color="000000"/>
            </w:tcBorders>
            <w:shd w:val="clear" w:color="auto" w:fill="auto"/>
            <w:noWrap/>
            <w:vAlign w:val="bottom"/>
            <w:hideMark/>
          </w:tcPr>
          <w:p w14:paraId="10A9218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55.72</w:t>
            </w:r>
          </w:p>
        </w:tc>
      </w:tr>
      <w:tr w:rsidR="00A0308E" w:rsidRPr="003B10E2" w14:paraId="4C59654B"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FA3D41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Sichuan Minjiang Hydropower,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B0C126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3 397.73</w:t>
            </w:r>
          </w:p>
        </w:tc>
        <w:tc>
          <w:tcPr>
            <w:tcW w:w="957" w:type="dxa"/>
            <w:tcBorders>
              <w:top w:val="nil"/>
              <w:left w:val="nil"/>
              <w:bottom w:val="single" w:sz="4" w:space="0" w:color="000000"/>
              <w:right w:val="single" w:sz="4" w:space="0" w:color="000000"/>
            </w:tcBorders>
            <w:shd w:val="clear" w:color="auto" w:fill="auto"/>
            <w:noWrap/>
            <w:vAlign w:val="bottom"/>
            <w:hideMark/>
          </w:tcPr>
          <w:p w14:paraId="3929EA8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20.31</w:t>
            </w:r>
          </w:p>
        </w:tc>
        <w:tc>
          <w:tcPr>
            <w:tcW w:w="1418" w:type="dxa"/>
            <w:tcBorders>
              <w:top w:val="nil"/>
              <w:left w:val="nil"/>
              <w:bottom w:val="single" w:sz="4" w:space="0" w:color="000000"/>
              <w:right w:val="single" w:sz="4" w:space="0" w:color="000000"/>
            </w:tcBorders>
            <w:shd w:val="clear" w:color="auto" w:fill="auto"/>
            <w:noWrap/>
            <w:vAlign w:val="bottom"/>
            <w:hideMark/>
          </w:tcPr>
          <w:p w14:paraId="18172E5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328.27</w:t>
            </w:r>
          </w:p>
        </w:tc>
      </w:tr>
      <w:tr w:rsidR="00A0308E" w:rsidRPr="003B10E2" w14:paraId="4074D4A9"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C8FD61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Sichuan Road &amp; Bridge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5154D7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9 823.26</w:t>
            </w:r>
          </w:p>
        </w:tc>
        <w:tc>
          <w:tcPr>
            <w:tcW w:w="957" w:type="dxa"/>
            <w:tcBorders>
              <w:top w:val="nil"/>
              <w:left w:val="nil"/>
              <w:bottom w:val="single" w:sz="4" w:space="0" w:color="000000"/>
              <w:right w:val="single" w:sz="4" w:space="0" w:color="000000"/>
            </w:tcBorders>
            <w:shd w:val="clear" w:color="auto" w:fill="auto"/>
            <w:noWrap/>
            <w:vAlign w:val="bottom"/>
            <w:hideMark/>
          </w:tcPr>
          <w:p w14:paraId="2D4A3DB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14.70</w:t>
            </w:r>
          </w:p>
        </w:tc>
        <w:tc>
          <w:tcPr>
            <w:tcW w:w="1418" w:type="dxa"/>
            <w:tcBorders>
              <w:top w:val="nil"/>
              <w:left w:val="nil"/>
              <w:bottom w:val="single" w:sz="4" w:space="0" w:color="000000"/>
              <w:right w:val="single" w:sz="4" w:space="0" w:color="000000"/>
            </w:tcBorders>
            <w:shd w:val="clear" w:color="auto" w:fill="auto"/>
            <w:noWrap/>
            <w:vAlign w:val="bottom"/>
            <w:hideMark/>
          </w:tcPr>
          <w:p w14:paraId="142DE9F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160.49</w:t>
            </w:r>
          </w:p>
        </w:tc>
      </w:tr>
      <w:tr w:rsidR="00A0308E" w:rsidRPr="003B10E2" w14:paraId="40207478"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D0F38E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Sichuan Star Cable,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C05CF4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426.21</w:t>
            </w:r>
          </w:p>
        </w:tc>
        <w:tc>
          <w:tcPr>
            <w:tcW w:w="957" w:type="dxa"/>
            <w:tcBorders>
              <w:top w:val="nil"/>
              <w:left w:val="nil"/>
              <w:bottom w:val="single" w:sz="4" w:space="0" w:color="000000"/>
              <w:right w:val="single" w:sz="4" w:space="0" w:color="000000"/>
            </w:tcBorders>
            <w:shd w:val="clear" w:color="auto" w:fill="auto"/>
            <w:noWrap/>
            <w:vAlign w:val="bottom"/>
            <w:hideMark/>
          </w:tcPr>
          <w:p w14:paraId="75EDB1D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4.90</w:t>
            </w:r>
          </w:p>
        </w:tc>
        <w:tc>
          <w:tcPr>
            <w:tcW w:w="1418" w:type="dxa"/>
            <w:tcBorders>
              <w:top w:val="nil"/>
              <w:left w:val="nil"/>
              <w:bottom w:val="single" w:sz="4" w:space="0" w:color="000000"/>
              <w:right w:val="single" w:sz="4" w:space="0" w:color="000000"/>
            </w:tcBorders>
            <w:shd w:val="clear" w:color="auto" w:fill="auto"/>
            <w:noWrap/>
            <w:vAlign w:val="bottom"/>
            <w:hideMark/>
          </w:tcPr>
          <w:p w14:paraId="3ACC067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153.25</w:t>
            </w:r>
          </w:p>
        </w:tc>
      </w:tr>
      <w:tr w:rsidR="00A0308E" w:rsidRPr="003B10E2" w14:paraId="64B8FD47"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82101C0"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Sichuan Swellfun,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654CFAA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4 243.63</w:t>
            </w:r>
          </w:p>
        </w:tc>
        <w:tc>
          <w:tcPr>
            <w:tcW w:w="957" w:type="dxa"/>
            <w:tcBorders>
              <w:top w:val="nil"/>
              <w:left w:val="nil"/>
              <w:bottom w:val="single" w:sz="4" w:space="0" w:color="000000"/>
              <w:right w:val="single" w:sz="4" w:space="0" w:color="000000"/>
            </w:tcBorders>
            <w:shd w:val="clear" w:color="auto" w:fill="auto"/>
            <w:noWrap/>
            <w:vAlign w:val="bottom"/>
            <w:hideMark/>
          </w:tcPr>
          <w:p w14:paraId="553841E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62.09</w:t>
            </w:r>
          </w:p>
        </w:tc>
        <w:tc>
          <w:tcPr>
            <w:tcW w:w="1418" w:type="dxa"/>
            <w:tcBorders>
              <w:top w:val="nil"/>
              <w:left w:val="nil"/>
              <w:bottom w:val="single" w:sz="4" w:space="0" w:color="000000"/>
              <w:right w:val="single" w:sz="4" w:space="0" w:color="000000"/>
            </w:tcBorders>
            <w:shd w:val="clear" w:color="auto" w:fill="auto"/>
            <w:noWrap/>
            <w:vAlign w:val="bottom"/>
            <w:hideMark/>
          </w:tcPr>
          <w:p w14:paraId="6A44994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317.01</w:t>
            </w:r>
          </w:p>
        </w:tc>
      </w:tr>
      <w:tr w:rsidR="00A0308E" w:rsidRPr="003B10E2" w14:paraId="38A4B0A5"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7D9676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Sichuan Teway Food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A5FE53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1 600.08</w:t>
            </w:r>
          </w:p>
        </w:tc>
        <w:tc>
          <w:tcPr>
            <w:tcW w:w="957" w:type="dxa"/>
            <w:tcBorders>
              <w:top w:val="nil"/>
              <w:left w:val="nil"/>
              <w:bottom w:val="single" w:sz="4" w:space="0" w:color="000000"/>
              <w:right w:val="single" w:sz="4" w:space="0" w:color="000000"/>
            </w:tcBorders>
            <w:shd w:val="clear" w:color="auto" w:fill="auto"/>
            <w:noWrap/>
            <w:vAlign w:val="bottom"/>
            <w:hideMark/>
          </w:tcPr>
          <w:p w14:paraId="2BE9DEF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15.16</w:t>
            </w:r>
          </w:p>
        </w:tc>
        <w:tc>
          <w:tcPr>
            <w:tcW w:w="1418" w:type="dxa"/>
            <w:tcBorders>
              <w:top w:val="nil"/>
              <w:left w:val="nil"/>
              <w:bottom w:val="single" w:sz="4" w:space="0" w:color="000000"/>
              <w:right w:val="single" w:sz="4" w:space="0" w:color="000000"/>
            </w:tcBorders>
            <w:shd w:val="clear" w:color="auto" w:fill="auto"/>
            <w:noWrap/>
            <w:vAlign w:val="bottom"/>
            <w:hideMark/>
          </w:tcPr>
          <w:p w14:paraId="461BEEC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60.24</w:t>
            </w:r>
          </w:p>
        </w:tc>
      </w:tr>
      <w:tr w:rsidR="00A0308E" w:rsidRPr="003B10E2" w14:paraId="13475E47"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1198E0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Sichuan Tianwei Electronic,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C6B2F9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372.71</w:t>
            </w:r>
          </w:p>
        </w:tc>
        <w:tc>
          <w:tcPr>
            <w:tcW w:w="957" w:type="dxa"/>
            <w:tcBorders>
              <w:top w:val="nil"/>
              <w:left w:val="nil"/>
              <w:bottom w:val="single" w:sz="4" w:space="0" w:color="000000"/>
              <w:right w:val="single" w:sz="4" w:space="0" w:color="000000"/>
            </w:tcBorders>
            <w:shd w:val="clear" w:color="auto" w:fill="auto"/>
            <w:noWrap/>
            <w:vAlign w:val="bottom"/>
            <w:hideMark/>
          </w:tcPr>
          <w:p w14:paraId="670E57E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33.29</w:t>
            </w:r>
          </w:p>
        </w:tc>
        <w:tc>
          <w:tcPr>
            <w:tcW w:w="1418" w:type="dxa"/>
            <w:tcBorders>
              <w:top w:val="nil"/>
              <w:left w:val="nil"/>
              <w:bottom w:val="single" w:sz="4" w:space="0" w:color="000000"/>
              <w:right w:val="single" w:sz="4" w:space="0" w:color="000000"/>
            </w:tcBorders>
            <w:shd w:val="clear" w:color="auto" w:fill="auto"/>
            <w:noWrap/>
            <w:vAlign w:val="bottom"/>
            <w:hideMark/>
          </w:tcPr>
          <w:p w14:paraId="2C4FFA7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26.30</w:t>
            </w:r>
          </w:p>
        </w:tc>
      </w:tr>
      <w:tr w:rsidR="00A0308E" w:rsidRPr="003B10E2" w14:paraId="2C345AC6"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3F8772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Sichuan Western Resources 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DFEDC5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71.32</w:t>
            </w:r>
          </w:p>
        </w:tc>
        <w:tc>
          <w:tcPr>
            <w:tcW w:w="957" w:type="dxa"/>
            <w:tcBorders>
              <w:top w:val="nil"/>
              <w:left w:val="nil"/>
              <w:bottom w:val="single" w:sz="4" w:space="0" w:color="000000"/>
              <w:right w:val="single" w:sz="4" w:space="0" w:color="000000"/>
            </w:tcBorders>
            <w:shd w:val="clear" w:color="auto" w:fill="auto"/>
            <w:noWrap/>
            <w:vAlign w:val="bottom"/>
            <w:hideMark/>
          </w:tcPr>
          <w:p w14:paraId="1557EE0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0.74</w:t>
            </w:r>
          </w:p>
        </w:tc>
        <w:tc>
          <w:tcPr>
            <w:tcW w:w="1418" w:type="dxa"/>
            <w:tcBorders>
              <w:top w:val="nil"/>
              <w:left w:val="nil"/>
              <w:bottom w:val="single" w:sz="4" w:space="0" w:color="000000"/>
              <w:right w:val="single" w:sz="4" w:space="0" w:color="000000"/>
            </w:tcBorders>
            <w:shd w:val="clear" w:color="auto" w:fill="auto"/>
            <w:noWrap/>
            <w:vAlign w:val="bottom"/>
            <w:hideMark/>
          </w:tcPr>
          <w:p w14:paraId="6952E55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0.00</w:t>
            </w:r>
          </w:p>
        </w:tc>
      </w:tr>
      <w:tr w:rsidR="00A0308E" w:rsidRPr="003B10E2" w14:paraId="3D6A626D"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F8B2B8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Sichuan Xichang Electric 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912C75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431.12</w:t>
            </w:r>
          </w:p>
        </w:tc>
        <w:tc>
          <w:tcPr>
            <w:tcW w:w="957" w:type="dxa"/>
            <w:tcBorders>
              <w:top w:val="nil"/>
              <w:left w:val="nil"/>
              <w:bottom w:val="single" w:sz="4" w:space="0" w:color="000000"/>
              <w:right w:val="single" w:sz="4" w:space="0" w:color="000000"/>
            </w:tcBorders>
            <w:shd w:val="clear" w:color="auto" w:fill="auto"/>
            <w:noWrap/>
            <w:vAlign w:val="bottom"/>
            <w:hideMark/>
          </w:tcPr>
          <w:p w14:paraId="70755B7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8.45</w:t>
            </w:r>
          </w:p>
        </w:tc>
        <w:tc>
          <w:tcPr>
            <w:tcW w:w="1418" w:type="dxa"/>
            <w:tcBorders>
              <w:top w:val="nil"/>
              <w:left w:val="nil"/>
              <w:bottom w:val="single" w:sz="4" w:space="0" w:color="000000"/>
              <w:right w:val="single" w:sz="4" w:space="0" w:color="000000"/>
            </w:tcBorders>
            <w:shd w:val="clear" w:color="auto" w:fill="auto"/>
            <w:noWrap/>
            <w:vAlign w:val="bottom"/>
            <w:hideMark/>
          </w:tcPr>
          <w:p w14:paraId="6142094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62.59</w:t>
            </w:r>
          </w:p>
        </w:tc>
      </w:tr>
      <w:tr w:rsidR="00A0308E" w:rsidRPr="003B10E2" w14:paraId="6B55891C"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54EB894"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Sichuan Zhenjing,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280BDC7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2 239.55</w:t>
            </w:r>
          </w:p>
        </w:tc>
        <w:tc>
          <w:tcPr>
            <w:tcW w:w="957" w:type="dxa"/>
            <w:tcBorders>
              <w:top w:val="nil"/>
              <w:left w:val="nil"/>
              <w:bottom w:val="single" w:sz="4" w:space="0" w:color="000000"/>
              <w:right w:val="single" w:sz="4" w:space="0" w:color="000000"/>
            </w:tcBorders>
            <w:shd w:val="clear" w:color="auto" w:fill="auto"/>
            <w:noWrap/>
            <w:vAlign w:val="bottom"/>
            <w:hideMark/>
          </w:tcPr>
          <w:p w14:paraId="6A15546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31.62</w:t>
            </w:r>
          </w:p>
        </w:tc>
        <w:tc>
          <w:tcPr>
            <w:tcW w:w="1418" w:type="dxa"/>
            <w:tcBorders>
              <w:top w:val="nil"/>
              <w:left w:val="nil"/>
              <w:bottom w:val="single" w:sz="4" w:space="0" w:color="000000"/>
              <w:right w:val="single" w:sz="4" w:space="0" w:color="000000"/>
            </w:tcBorders>
            <w:shd w:val="clear" w:color="auto" w:fill="auto"/>
            <w:noWrap/>
            <w:vAlign w:val="bottom"/>
            <w:hideMark/>
          </w:tcPr>
          <w:p w14:paraId="4F542D2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456.32</w:t>
            </w:r>
          </w:p>
        </w:tc>
      </w:tr>
      <w:tr w:rsidR="00A0308E" w:rsidRPr="003B10E2" w14:paraId="281EC99A"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B79E3BE"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Siglent Technologies,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1E22D18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726.84</w:t>
            </w:r>
          </w:p>
        </w:tc>
        <w:tc>
          <w:tcPr>
            <w:tcW w:w="957" w:type="dxa"/>
            <w:tcBorders>
              <w:top w:val="nil"/>
              <w:left w:val="nil"/>
              <w:bottom w:val="single" w:sz="4" w:space="0" w:color="000000"/>
              <w:right w:val="single" w:sz="4" w:space="0" w:color="000000"/>
            </w:tcBorders>
            <w:shd w:val="clear" w:color="auto" w:fill="auto"/>
            <w:noWrap/>
            <w:vAlign w:val="bottom"/>
            <w:hideMark/>
          </w:tcPr>
          <w:p w14:paraId="38CC27C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48.69</w:t>
            </w:r>
          </w:p>
        </w:tc>
        <w:tc>
          <w:tcPr>
            <w:tcW w:w="1418" w:type="dxa"/>
            <w:tcBorders>
              <w:top w:val="nil"/>
              <w:left w:val="nil"/>
              <w:bottom w:val="single" w:sz="4" w:space="0" w:color="000000"/>
              <w:right w:val="single" w:sz="4" w:space="0" w:color="000000"/>
            </w:tcBorders>
            <w:shd w:val="clear" w:color="auto" w:fill="auto"/>
            <w:noWrap/>
            <w:vAlign w:val="bottom"/>
            <w:hideMark/>
          </w:tcPr>
          <w:p w14:paraId="0B1E653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69.66</w:t>
            </w:r>
          </w:p>
        </w:tc>
      </w:tr>
      <w:tr w:rsidR="00A0308E" w:rsidRPr="003B10E2" w14:paraId="62199FA9"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028D6C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Silvery Dragon Prestressed Materials Tianjin,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9C3CB0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527.28</w:t>
            </w:r>
          </w:p>
        </w:tc>
        <w:tc>
          <w:tcPr>
            <w:tcW w:w="957" w:type="dxa"/>
            <w:tcBorders>
              <w:top w:val="nil"/>
              <w:left w:val="nil"/>
              <w:bottom w:val="single" w:sz="4" w:space="0" w:color="000000"/>
              <w:right w:val="single" w:sz="4" w:space="0" w:color="000000"/>
            </w:tcBorders>
            <w:shd w:val="clear" w:color="auto" w:fill="auto"/>
            <w:noWrap/>
            <w:vAlign w:val="bottom"/>
            <w:hideMark/>
          </w:tcPr>
          <w:p w14:paraId="6751DE9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4.48</w:t>
            </w:r>
          </w:p>
        </w:tc>
        <w:tc>
          <w:tcPr>
            <w:tcW w:w="1418" w:type="dxa"/>
            <w:tcBorders>
              <w:top w:val="nil"/>
              <w:left w:val="nil"/>
              <w:bottom w:val="single" w:sz="4" w:space="0" w:color="000000"/>
              <w:right w:val="single" w:sz="4" w:space="0" w:color="000000"/>
            </w:tcBorders>
            <w:shd w:val="clear" w:color="auto" w:fill="auto"/>
            <w:noWrap/>
            <w:vAlign w:val="bottom"/>
            <w:hideMark/>
          </w:tcPr>
          <w:p w14:paraId="4AD4D5C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22.05</w:t>
            </w:r>
          </w:p>
        </w:tc>
      </w:tr>
      <w:tr w:rsidR="00A0308E" w:rsidRPr="003B10E2" w14:paraId="309F3F2C"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C0EFFF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Sino Medical Sciences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67EA45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572.07</w:t>
            </w:r>
          </w:p>
        </w:tc>
        <w:tc>
          <w:tcPr>
            <w:tcW w:w="957" w:type="dxa"/>
            <w:tcBorders>
              <w:top w:val="nil"/>
              <w:left w:val="nil"/>
              <w:bottom w:val="single" w:sz="4" w:space="0" w:color="000000"/>
              <w:right w:val="single" w:sz="4" w:space="0" w:color="000000"/>
            </w:tcBorders>
            <w:shd w:val="clear" w:color="auto" w:fill="auto"/>
            <w:noWrap/>
            <w:vAlign w:val="bottom"/>
            <w:hideMark/>
          </w:tcPr>
          <w:p w14:paraId="3372550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9.97</w:t>
            </w:r>
          </w:p>
        </w:tc>
        <w:tc>
          <w:tcPr>
            <w:tcW w:w="1418" w:type="dxa"/>
            <w:tcBorders>
              <w:top w:val="nil"/>
              <w:left w:val="nil"/>
              <w:bottom w:val="single" w:sz="4" w:space="0" w:color="000000"/>
              <w:right w:val="single" w:sz="4" w:space="0" w:color="000000"/>
            </w:tcBorders>
            <w:shd w:val="clear" w:color="auto" w:fill="auto"/>
            <w:noWrap/>
            <w:vAlign w:val="bottom"/>
            <w:hideMark/>
          </w:tcPr>
          <w:p w14:paraId="4434975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124.14</w:t>
            </w:r>
          </w:p>
        </w:tc>
      </w:tr>
      <w:tr w:rsidR="00A0308E" w:rsidRPr="003B10E2" w14:paraId="35EEFDCF"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8474EE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Sino-Agri Leading Biosciences,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2AADE8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515.64</w:t>
            </w:r>
          </w:p>
        </w:tc>
        <w:tc>
          <w:tcPr>
            <w:tcW w:w="957" w:type="dxa"/>
            <w:tcBorders>
              <w:top w:val="nil"/>
              <w:left w:val="nil"/>
              <w:bottom w:val="single" w:sz="4" w:space="0" w:color="000000"/>
              <w:right w:val="single" w:sz="4" w:space="0" w:color="000000"/>
            </w:tcBorders>
            <w:shd w:val="clear" w:color="auto" w:fill="auto"/>
            <w:noWrap/>
            <w:vAlign w:val="bottom"/>
            <w:hideMark/>
          </w:tcPr>
          <w:p w14:paraId="4028402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19.19</w:t>
            </w:r>
          </w:p>
        </w:tc>
        <w:tc>
          <w:tcPr>
            <w:tcW w:w="1418" w:type="dxa"/>
            <w:tcBorders>
              <w:top w:val="nil"/>
              <w:left w:val="nil"/>
              <w:bottom w:val="single" w:sz="4" w:space="0" w:color="000000"/>
              <w:right w:val="single" w:sz="4" w:space="0" w:color="000000"/>
            </w:tcBorders>
            <w:shd w:val="clear" w:color="auto" w:fill="auto"/>
            <w:noWrap/>
            <w:vAlign w:val="bottom"/>
            <w:hideMark/>
          </w:tcPr>
          <w:p w14:paraId="6332FBB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29.40</w:t>
            </w:r>
          </w:p>
        </w:tc>
      </w:tr>
      <w:tr w:rsidR="00A0308E" w:rsidRPr="003B10E2" w14:paraId="20CCEE26"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C8BCAB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Sino-Platinum Metals,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9ED74A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1 250.07</w:t>
            </w:r>
          </w:p>
        </w:tc>
        <w:tc>
          <w:tcPr>
            <w:tcW w:w="957" w:type="dxa"/>
            <w:tcBorders>
              <w:top w:val="nil"/>
              <w:left w:val="nil"/>
              <w:bottom w:val="single" w:sz="4" w:space="0" w:color="000000"/>
              <w:right w:val="single" w:sz="4" w:space="0" w:color="000000"/>
            </w:tcBorders>
            <w:shd w:val="clear" w:color="auto" w:fill="auto"/>
            <w:noWrap/>
            <w:vAlign w:val="bottom"/>
            <w:hideMark/>
          </w:tcPr>
          <w:p w14:paraId="75A0E2C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15.11</w:t>
            </w:r>
          </w:p>
        </w:tc>
        <w:tc>
          <w:tcPr>
            <w:tcW w:w="1418" w:type="dxa"/>
            <w:tcBorders>
              <w:top w:val="nil"/>
              <w:left w:val="nil"/>
              <w:bottom w:val="single" w:sz="4" w:space="0" w:color="000000"/>
              <w:right w:val="single" w:sz="4" w:space="0" w:color="000000"/>
            </w:tcBorders>
            <w:shd w:val="clear" w:color="auto" w:fill="auto"/>
            <w:noWrap/>
            <w:vAlign w:val="bottom"/>
            <w:hideMark/>
          </w:tcPr>
          <w:p w14:paraId="38293B1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42.73</w:t>
            </w:r>
          </w:p>
        </w:tc>
      </w:tr>
      <w:tr w:rsidR="00A0308E" w:rsidRPr="003B10E2" w14:paraId="40421C90"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0D8E6E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Sinocat Environmental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C1EB6C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430.81</w:t>
            </w:r>
          </w:p>
        </w:tc>
        <w:tc>
          <w:tcPr>
            <w:tcW w:w="957" w:type="dxa"/>
            <w:tcBorders>
              <w:top w:val="nil"/>
              <w:left w:val="nil"/>
              <w:bottom w:val="single" w:sz="4" w:space="0" w:color="000000"/>
              <w:right w:val="single" w:sz="4" w:space="0" w:color="000000"/>
            </w:tcBorders>
            <w:shd w:val="clear" w:color="auto" w:fill="auto"/>
            <w:noWrap/>
            <w:vAlign w:val="bottom"/>
            <w:hideMark/>
          </w:tcPr>
          <w:p w14:paraId="5156FD8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35.78</w:t>
            </w:r>
          </w:p>
        </w:tc>
        <w:tc>
          <w:tcPr>
            <w:tcW w:w="1418" w:type="dxa"/>
            <w:tcBorders>
              <w:top w:val="nil"/>
              <w:left w:val="nil"/>
              <w:bottom w:val="single" w:sz="4" w:space="0" w:color="000000"/>
              <w:right w:val="single" w:sz="4" w:space="0" w:color="000000"/>
            </w:tcBorders>
            <w:shd w:val="clear" w:color="auto" w:fill="auto"/>
            <w:noWrap/>
            <w:vAlign w:val="bottom"/>
            <w:hideMark/>
          </w:tcPr>
          <w:p w14:paraId="1149334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15.65</w:t>
            </w:r>
          </w:p>
        </w:tc>
      </w:tr>
      <w:tr w:rsidR="00A0308E" w:rsidRPr="003B10E2" w14:paraId="7570A184"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34EA95D"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Sinocelltech Group,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3BC4219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3 774.88</w:t>
            </w:r>
          </w:p>
        </w:tc>
        <w:tc>
          <w:tcPr>
            <w:tcW w:w="957" w:type="dxa"/>
            <w:tcBorders>
              <w:top w:val="nil"/>
              <w:left w:val="nil"/>
              <w:bottom w:val="single" w:sz="4" w:space="0" w:color="000000"/>
              <w:right w:val="single" w:sz="4" w:space="0" w:color="000000"/>
            </w:tcBorders>
            <w:shd w:val="clear" w:color="auto" w:fill="auto"/>
            <w:noWrap/>
            <w:vAlign w:val="bottom"/>
            <w:hideMark/>
          </w:tcPr>
          <w:p w14:paraId="6E49584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61.96</w:t>
            </w:r>
          </w:p>
        </w:tc>
        <w:tc>
          <w:tcPr>
            <w:tcW w:w="1418" w:type="dxa"/>
            <w:tcBorders>
              <w:top w:val="nil"/>
              <w:left w:val="nil"/>
              <w:bottom w:val="single" w:sz="4" w:space="0" w:color="000000"/>
              <w:right w:val="single" w:sz="4" w:space="0" w:color="000000"/>
            </w:tcBorders>
            <w:shd w:val="clear" w:color="auto" w:fill="auto"/>
            <w:noWrap/>
            <w:vAlign w:val="bottom"/>
            <w:hideMark/>
          </w:tcPr>
          <w:p w14:paraId="0ECD4F8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86.21</w:t>
            </w:r>
          </w:p>
        </w:tc>
      </w:tr>
      <w:tr w:rsidR="00A0308E" w:rsidRPr="003B10E2" w14:paraId="4F843394"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CF13CFC"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Sinochem International,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4DBD8F7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2 140.00</w:t>
            </w:r>
          </w:p>
        </w:tc>
        <w:tc>
          <w:tcPr>
            <w:tcW w:w="957" w:type="dxa"/>
            <w:tcBorders>
              <w:top w:val="nil"/>
              <w:left w:val="nil"/>
              <w:bottom w:val="single" w:sz="4" w:space="0" w:color="000000"/>
              <w:right w:val="single" w:sz="4" w:space="0" w:color="000000"/>
            </w:tcBorders>
            <w:shd w:val="clear" w:color="auto" w:fill="auto"/>
            <w:noWrap/>
            <w:vAlign w:val="bottom"/>
            <w:hideMark/>
          </w:tcPr>
          <w:p w14:paraId="7C350B0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5.53</w:t>
            </w:r>
          </w:p>
        </w:tc>
        <w:tc>
          <w:tcPr>
            <w:tcW w:w="1418" w:type="dxa"/>
            <w:tcBorders>
              <w:top w:val="nil"/>
              <w:left w:val="nil"/>
              <w:bottom w:val="single" w:sz="4" w:space="0" w:color="000000"/>
              <w:right w:val="single" w:sz="4" w:space="0" w:color="000000"/>
            </w:tcBorders>
            <w:shd w:val="clear" w:color="auto" w:fill="auto"/>
            <w:noWrap/>
            <w:vAlign w:val="bottom"/>
            <w:hideMark/>
          </w:tcPr>
          <w:p w14:paraId="19F462E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56.56</w:t>
            </w:r>
          </w:p>
        </w:tc>
      </w:tr>
      <w:tr w:rsidR="00A0308E" w:rsidRPr="003B10E2" w14:paraId="77B4C7B7"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DBB9CEB"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Sinolink Securities,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417FA94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3 699.24</w:t>
            </w:r>
          </w:p>
        </w:tc>
        <w:tc>
          <w:tcPr>
            <w:tcW w:w="957" w:type="dxa"/>
            <w:tcBorders>
              <w:top w:val="nil"/>
              <w:left w:val="nil"/>
              <w:bottom w:val="single" w:sz="4" w:space="0" w:color="000000"/>
              <w:right w:val="single" w:sz="4" w:space="0" w:color="000000"/>
            </w:tcBorders>
            <w:shd w:val="clear" w:color="auto" w:fill="auto"/>
            <w:noWrap/>
            <w:vAlign w:val="bottom"/>
            <w:hideMark/>
          </w:tcPr>
          <w:p w14:paraId="598DF4B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8.74</w:t>
            </w:r>
          </w:p>
        </w:tc>
        <w:tc>
          <w:tcPr>
            <w:tcW w:w="1418" w:type="dxa"/>
            <w:tcBorders>
              <w:top w:val="nil"/>
              <w:left w:val="nil"/>
              <w:bottom w:val="single" w:sz="4" w:space="0" w:color="000000"/>
              <w:right w:val="single" w:sz="4" w:space="0" w:color="000000"/>
            </w:tcBorders>
            <w:shd w:val="clear" w:color="auto" w:fill="auto"/>
            <w:noWrap/>
            <w:vAlign w:val="bottom"/>
            <w:hideMark/>
          </w:tcPr>
          <w:p w14:paraId="35F0F35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109.66</w:t>
            </w:r>
          </w:p>
        </w:tc>
      </w:tr>
      <w:tr w:rsidR="00A0308E" w:rsidRPr="003B10E2" w14:paraId="59D84741"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D5EB9A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Sinoma Energy Conservation,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60442F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661.29</w:t>
            </w:r>
          </w:p>
        </w:tc>
        <w:tc>
          <w:tcPr>
            <w:tcW w:w="957" w:type="dxa"/>
            <w:tcBorders>
              <w:top w:val="nil"/>
              <w:left w:val="nil"/>
              <w:bottom w:val="single" w:sz="4" w:space="0" w:color="000000"/>
              <w:right w:val="single" w:sz="4" w:space="0" w:color="000000"/>
            </w:tcBorders>
            <w:shd w:val="clear" w:color="auto" w:fill="auto"/>
            <w:noWrap/>
            <w:vAlign w:val="bottom"/>
            <w:hideMark/>
          </w:tcPr>
          <w:p w14:paraId="4C89996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7.74</w:t>
            </w:r>
          </w:p>
        </w:tc>
        <w:tc>
          <w:tcPr>
            <w:tcW w:w="1418" w:type="dxa"/>
            <w:tcBorders>
              <w:top w:val="nil"/>
              <w:left w:val="nil"/>
              <w:bottom w:val="single" w:sz="4" w:space="0" w:color="000000"/>
              <w:right w:val="single" w:sz="4" w:space="0" w:color="000000"/>
            </w:tcBorders>
            <w:shd w:val="clear" w:color="auto" w:fill="auto"/>
            <w:noWrap/>
            <w:vAlign w:val="bottom"/>
            <w:hideMark/>
          </w:tcPr>
          <w:p w14:paraId="55CDF90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53.90</w:t>
            </w:r>
          </w:p>
        </w:tc>
      </w:tr>
      <w:tr w:rsidR="00A0308E" w:rsidRPr="003B10E2" w14:paraId="78F25297"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932792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Sinoma International Engineering,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05EC6A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3 670.78</w:t>
            </w:r>
          </w:p>
        </w:tc>
        <w:tc>
          <w:tcPr>
            <w:tcW w:w="957" w:type="dxa"/>
            <w:tcBorders>
              <w:top w:val="nil"/>
              <w:left w:val="nil"/>
              <w:bottom w:val="single" w:sz="4" w:space="0" w:color="000000"/>
              <w:right w:val="single" w:sz="4" w:space="0" w:color="000000"/>
            </w:tcBorders>
            <w:shd w:val="clear" w:color="auto" w:fill="auto"/>
            <w:noWrap/>
            <w:vAlign w:val="bottom"/>
            <w:hideMark/>
          </w:tcPr>
          <w:p w14:paraId="4EF6D2D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11.82</w:t>
            </w:r>
          </w:p>
        </w:tc>
        <w:tc>
          <w:tcPr>
            <w:tcW w:w="1418" w:type="dxa"/>
            <w:tcBorders>
              <w:top w:val="nil"/>
              <w:left w:val="nil"/>
              <w:bottom w:val="single" w:sz="4" w:space="0" w:color="000000"/>
              <w:right w:val="single" w:sz="4" w:space="0" w:color="000000"/>
            </w:tcBorders>
            <w:shd w:val="clear" w:color="auto" w:fill="auto"/>
            <w:noWrap/>
            <w:vAlign w:val="bottom"/>
            <w:hideMark/>
          </w:tcPr>
          <w:p w14:paraId="6E02B54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206.91</w:t>
            </w:r>
          </w:p>
        </w:tc>
      </w:tr>
      <w:tr w:rsidR="00A0308E" w:rsidRPr="003B10E2" w14:paraId="5A907858"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357625F"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Sinomach Automobile,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4A657F3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2 138.78</w:t>
            </w:r>
          </w:p>
        </w:tc>
        <w:tc>
          <w:tcPr>
            <w:tcW w:w="957" w:type="dxa"/>
            <w:tcBorders>
              <w:top w:val="nil"/>
              <w:left w:val="nil"/>
              <w:bottom w:val="single" w:sz="4" w:space="0" w:color="000000"/>
              <w:right w:val="single" w:sz="4" w:space="0" w:color="000000"/>
            </w:tcBorders>
            <w:shd w:val="clear" w:color="auto" w:fill="auto"/>
            <w:noWrap/>
            <w:vAlign w:val="bottom"/>
            <w:hideMark/>
          </w:tcPr>
          <w:p w14:paraId="32CD933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10.49</w:t>
            </w:r>
          </w:p>
        </w:tc>
        <w:tc>
          <w:tcPr>
            <w:tcW w:w="1418" w:type="dxa"/>
            <w:tcBorders>
              <w:top w:val="nil"/>
              <w:left w:val="nil"/>
              <w:bottom w:val="single" w:sz="4" w:space="0" w:color="000000"/>
              <w:right w:val="single" w:sz="4" w:space="0" w:color="000000"/>
            </w:tcBorders>
            <w:shd w:val="clear" w:color="auto" w:fill="auto"/>
            <w:noWrap/>
            <w:vAlign w:val="bottom"/>
            <w:hideMark/>
          </w:tcPr>
          <w:p w14:paraId="13951D4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234.79</w:t>
            </w:r>
          </w:p>
        </w:tc>
      </w:tr>
      <w:tr w:rsidR="00A0308E" w:rsidRPr="003B10E2" w14:paraId="2894956F"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3659C1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Sinomach General Machinery Science &amp;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C22DDB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268.44</w:t>
            </w:r>
          </w:p>
        </w:tc>
        <w:tc>
          <w:tcPr>
            <w:tcW w:w="957" w:type="dxa"/>
            <w:tcBorders>
              <w:top w:val="nil"/>
              <w:left w:val="nil"/>
              <w:bottom w:val="single" w:sz="4" w:space="0" w:color="000000"/>
              <w:right w:val="single" w:sz="4" w:space="0" w:color="000000"/>
            </w:tcBorders>
            <w:shd w:val="clear" w:color="auto" w:fill="auto"/>
            <w:noWrap/>
            <w:vAlign w:val="bottom"/>
            <w:hideMark/>
          </w:tcPr>
          <w:p w14:paraId="009FFBD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13.10</w:t>
            </w:r>
          </w:p>
        </w:tc>
        <w:tc>
          <w:tcPr>
            <w:tcW w:w="1418" w:type="dxa"/>
            <w:tcBorders>
              <w:top w:val="nil"/>
              <w:left w:val="nil"/>
              <w:bottom w:val="single" w:sz="4" w:space="0" w:color="000000"/>
              <w:right w:val="single" w:sz="4" w:space="0" w:color="000000"/>
            </w:tcBorders>
            <w:shd w:val="clear" w:color="auto" w:fill="auto"/>
            <w:noWrap/>
            <w:vAlign w:val="bottom"/>
            <w:hideMark/>
          </w:tcPr>
          <w:p w14:paraId="148E0CF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12.80</w:t>
            </w:r>
          </w:p>
        </w:tc>
      </w:tr>
      <w:tr w:rsidR="00A0308E" w:rsidRPr="003B10E2" w14:paraId="66693C8D"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73594A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Sinomach Heavy Equipment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D94E49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3 180.00</w:t>
            </w:r>
          </w:p>
        </w:tc>
        <w:tc>
          <w:tcPr>
            <w:tcW w:w="957" w:type="dxa"/>
            <w:tcBorders>
              <w:top w:val="nil"/>
              <w:left w:val="nil"/>
              <w:bottom w:val="single" w:sz="4" w:space="0" w:color="000000"/>
              <w:right w:val="single" w:sz="4" w:space="0" w:color="000000"/>
            </w:tcBorders>
            <w:shd w:val="clear" w:color="auto" w:fill="auto"/>
            <w:noWrap/>
            <w:vAlign w:val="bottom"/>
            <w:hideMark/>
          </w:tcPr>
          <w:p w14:paraId="2413024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3.15</w:t>
            </w:r>
          </w:p>
        </w:tc>
        <w:tc>
          <w:tcPr>
            <w:tcW w:w="1418" w:type="dxa"/>
            <w:tcBorders>
              <w:top w:val="nil"/>
              <w:left w:val="nil"/>
              <w:bottom w:val="single" w:sz="4" w:space="0" w:color="000000"/>
              <w:right w:val="single" w:sz="4" w:space="0" w:color="000000"/>
            </w:tcBorders>
            <w:shd w:val="clear" w:color="auto" w:fill="auto"/>
            <w:noWrap/>
            <w:vAlign w:val="bottom"/>
            <w:hideMark/>
          </w:tcPr>
          <w:p w14:paraId="084BFE5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29.98</w:t>
            </w:r>
          </w:p>
        </w:tc>
      </w:tr>
      <w:tr w:rsidR="00A0308E" w:rsidRPr="003B10E2" w14:paraId="227FB0B0"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E44CB1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Sinopec Oilfield Service Corporation,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030BB8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3 760.04</w:t>
            </w:r>
          </w:p>
        </w:tc>
        <w:tc>
          <w:tcPr>
            <w:tcW w:w="957" w:type="dxa"/>
            <w:tcBorders>
              <w:top w:val="nil"/>
              <w:left w:val="nil"/>
              <w:bottom w:val="single" w:sz="4" w:space="0" w:color="000000"/>
              <w:right w:val="single" w:sz="4" w:space="0" w:color="000000"/>
            </w:tcBorders>
            <w:shd w:val="clear" w:color="auto" w:fill="auto"/>
            <w:noWrap/>
            <w:vAlign w:val="bottom"/>
            <w:hideMark/>
          </w:tcPr>
          <w:p w14:paraId="4895FE8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1.98</w:t>
            </w:r>
          </w:p>
        </w:tc>
        <w:tc>
          <w:tcPr>
            <w:tcW w:w="1418" w:type="dxa"/>
            <w:tcBorders>
              <w:top w:val="nil"/>
              <w:left w:val="nil"/>
              <w:bottom w:val="single" w:sz="4" w:space="0" w:color="000000"/>
              <w:right w:val="single" w:sz="4" w:space="0" w:color="000000"/>
            </w:tcBorders>
            <w:shd w:val="clear" w:color="auto" w:fill="auto"/>
            <w:noWrap/>
            <w:vAlign w:val="bottom"/>
            <w:hideMark/>
          </w:tcPr>
          <w:p w14:paraId="3D5289D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101.67</w:t>
            </w:r>
          </w:p>
        </w:tc>
      </w:tr>
      <w:tr w:rsidR="00A0308E" w:rsidRPr="003B10E2" w14:paraId="55F7E8E7"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7AA1BC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Sinopec Shanghai Petrochemical Company,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3F8012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3 189.79</w:t>
            </w:r>
          </w:p>
        </w:tc>
        <w:tc>
          <w:tcPr>
            <w:tcW w:w="957" w:type="dxa"/>
            <w:tcBorders>
              <w:top w:val="nil"/>
              <w:left w:val="nil"/>
              <w:bottom w:val="single" w:sz="4" w:space="0" w:color="000000"/>
              <w:right w:val="single" w:sz="4" w:space="0" w:color="000000"/>
            </w:tcBorders>
            <w:shd w:val="clear" w:color="auto" w:fill="auto"/>
            <w:noWrap/>
            <w:vAlign w:val="bottom"/>
            <w:hideMark/>
          </w:tcPr>
          <w:p w14:paraId="0C50EB9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3.11</w:t>
            </w:r>
          </w:p>
        </w:tc>
        <w:tc>
          <w:tcPr>
            <w:tcW w:w="1418" w:type="dxa"/>
            <w:tcBorders>
              <w:top w:val="nil"/>
              <w:left w:val="nil"/>
              <w:bottom w:val="single" w:sz="4" w:space="0" w:color="000000"/>
              <w:right w:val="single" w:sz="4" w:space="0" w:color="000000"/>
            </w:tcBorders>
            <w:shd w:val="clear" w:color="auto" w:fill="auto"/>
            <w:noWrap/>
            <w:vAlign w:val="bottom"/>
            <w:hideMark/>
          </w:tcPr>
          <w:p w14:paraId="1769EEB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52.72</w:t>
            </w:r>
          </w:p>
        </w:tc>
      </w:tr>
      <w:tr w:rsidR="00A0308E" w:rsidRPr="003B10E2" w14:paraId="796B063F"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2AEBA84"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Sinopec,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2436103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87 861.53</w:t>
            </w:r>
          </w:p>
        </w:tc>
        <w:tc>
          <w:tcPr>
            <w:tcW w:w="957" w:type="dxa"/>
            <w:tcBorders>
              <w:top w:val="nil"/>
              <w:left w:val="nil"/>
              <w:bottom w:val="single" w:sz="4" w:space="0" w:color="000000"/>
              <w:right w:val="single" w:sz="4" w:space="0" w:color="000000"/>
            </w:tcBorders>
            <w:shd w:val="clear" w:color="auto" w:fill="auto"/>
            <w:noWrap/>
            <w:vAlign w:val="bottom"/>
            <w:hideMark/>
          </w:tcPr>
          <w:p w14:paraId="491861D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6.57</w:t>
            </w:r>
          </w:p>
        </w:tc>
        <w:tc>
          <w:tcPr>
            <w:tcW w:w="1418" w:type="dxa"/>
            <w:tcBorders>
              <w:top w:val="nil"/>
              <w:left w:val="nil"/>
              <w:bottom w:val="single" w:sz="4" w:space="0" w:color="000000"/>
              <w:right w:val="single" w:sz="4" w:space="0" w:color="000000"/>
            </w:tcBorders>
            <w:shd w:val="clear" w:color="auto" w:fill="auto"/>
            <w:noWrap/>
            <w:vAlign w:val="bottom"/>
            <w:hideMark/>
          </w:tcPr>
          <w:p w14:paraId="476E9C3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962.02</w:t>
            </w:r>
          </w:p>
        </w:tc>
      </w:tr>
      <w:tr w:rsidR="00A0308E" w:rsidRPr="003B10E2" w14:paraId="52093D1F"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9DBA82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Sinopep-Allsino Bio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ACED76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1 150.43</w:t>
            </w:r>
          </w:p>
        </w:tc>
        <w:tc>
          <w:tcPr>
            <w:tcW w:w="957" w:type="dxa"/>
            <w:tcBorders>
              <w:top w:val="nil"/>
              <w:left w:val="nil"/>
              <w:bottom w:val="single" w:sz="4" w:space="0" w:color="000000"/>
              <w:right w:val="single" w:sz="4" w:space="0" w:color="000000"/>
            </w:tcBorders>
            <w:shd w:val="clear" w:color="auto" w:fill="auto"/>
            <w:noWrap/>
            <w:vAlign w:val="bottom"/>
            <w:hideMark/>
          </w:tcPr>
          <w:p w14:paraId="0C297DB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38.56</w:t>
            </w:r>
          </w:p>
        </w:tc>
        <w:tc>
          <w:tcPr>
            <w:tcW w:w="1418" w:type="dxa"/>
            <w:tcBorders>
              <w:top w:val="nil"/>
              <w:left w:val="nil"/>
              <w:bottom w:val="single" w:sz="4" w:space="0" w:color="000000"/>
              <w:right w:val="single" w:sz="4" w:space="0" w:color="000000"/>
            </w:tcBorders>
            <w:shd w:val="clear" w:color="auto" w:fill="auto"/>
            <w:noWrap/>
            <w:vAlign w:val="bottom"/>
            <w:hideMark/>
          </w:tcPr>
          <w:p w14:paraId="2EC8379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325.27</w:t>
            </w:r>
          </w:p>
        </w:tc>
      </w:tr>
      <w:tr w:rsidR="00A0308E" w:rsidRPr="003B10E2" w14:paraId="6DF1506E"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77AC0FA"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Sinosoft,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4B4A142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3 277.24</w:t>
            </w:r>
          </w:p>
        </w:tc>
        <w:tc>
          <w:tcPr>
            <w:tcW w:w="957" w:type="dxa"/>
            <w:tcBorders>
              <w:top w:val="nil"/>
              <w:left w:val="nil"/>
              <w:bottom w:val="single" w:sz="4" w:space="0" w:color="000000"/>
              <w:right w:val="single" w:sz="4" w:space="0" w:color="000000"/>
            </w:tcBorders>
            <w:shd w:val="clear" w:color="auto" w:fill="auto"/>
            <w:noWrap/>
            <w:vAlign w:val="bottom"/>
            <w:hideMark/>
          </w:tcPr>
          <w:p w14:paraId="73F50EF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39.45</w:t>
            </w:r>
          </w:p>
        </w:tc>
        <w:tc>
          <w:tcPr>
            <w:tcW w:w="1418" w:type="dxa"/>
            <w:tcBorders>
              <w:top w:val="nil"/>
              <w:left w:val="nil"/>
              <w:bottom w:val="single" w:sz="4" w:space="0" w:color="000000"/>
              <w:right w:val="single" w:sz="4" w:space="0" w:color="000000"/>
            </w:tcBorders>
            <w:shd w:val="clear" w:color="auto" w:fill="auto"/>
            <w:noWrap/>
            <w:vAlign w:val="bottom"/>
            <w:hideMark/>
          </w:tcPr>
          <w:p w14:paraId="1B4CD76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275.76</w:t>
            </w:r>
          </w:p>
        </w:tc>
      </w:tr>
      <w:tr w:rsidR="00A0308E" w:rsidRPr="003B10E2" w14:paraId="071B675C"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DA7720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Sinosteel Luonai Materials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BCDC63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2039FFC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5.98</w:t>
            </w:r>
          </w:p>
        </w:tc>
        <w:tc>
          <w:tcPr>
            <w:tcW w:w="1418" w:type="dxa"/>
            <w:tcBorders>
              <w:top w:val="nil"/>
              <w:left w:val="nil"/>
              <w:bottom w:val="single" w:sz="4" w:space="0" w:color="000000"/>
              <w:right w:val="single" w:sz="4" w:space="0" w:color="000000"/>
            </w:tcBorders>
            <w:shd w:val="clear" w:color="auto" w:fill="auto"/>
            <w:noWrap/>
            <w:vAlign w:val="bottom"/>
            <w:hideMark/>
          </w:tcPr>
          <w:p w14:paraId="6C15459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17.45</w:t>
            </w:r>
          </w:p>
        </w:tc>
      </w:tr>
      <w:tr w:rsidR="00A0308E" w:rsidRPr="003B10E2" w14:paraId="34F3EDE9" w14:textId="77777777" w:rsidTr="00A0308E">
        <w:trPr>
          <w:trHeight w:val="300"/>
        </w:trPr>
        <w:tc>
          <w:tcPr>
            <w:tcW w:w="4815" w:type="dxa"/>
            <w:tcBorders>
              <w:top w:val="nil"/>
              <w:left w:val="single" w:sz="4" w:space="0" w:color="000000"/>
              <w:bottom w:val="single" w:sz="4" w:space="0" w:color="auto"/>
              <w:right w:val="single" w:sz="4" w:space="0" w:color="000000"/>
            </w:tcBorders>
            <w:shd w:val="clear" w:color="auto" w:fill="auto"/>
            <w:noWrap/>
            <w:vAlign w:val="bottom"/>
            <w:hideMark/>
          </w:tcPr>
          <w:p w14:paraId="4158DC36"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Sinotherapeutics, акция об.</w:t>
            </w:r>
          </w:p>
        </w:tc>
        <w:tc>
          <w:tcPr>
            <w:tcW w:w="1736" w:type="dxa"/>
            <w:tcBorders>
              <w:top w:val="nil"/>
              <w:left w:val="nil"/>
              <w:bottom w:val="single" w:sz="4" w:space="0" w:color="auto"/>
              <w:right w:val="single" w:sz="4" w:space="0" w:color="000000"/>
            </w:tcBorders>
            <w:shd w:val="clear" w:color="auto" w:fill="auto"/>
            <w:noWrap/>
            <w:vAlign w:val="bottom"/>
            <w:hideMark/>
          </w:tcPr>
          <w:p w14:paraId="0904C868"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nil"/>
              <w:left w:val="nil"/>
              <w:bottom w:val="single" w:sz="4" w:space="0" w:color="auto"/>
              <w:right w:val="single" w:sz="4" w:space="0" w:color="000000"/>
            </w:tcBorders>
            <w:shd w:val="clear" w:color="auto" w:fill="auto"/>
            <w:noWrap/>
            <w:vAlign w:val="bottom"/>
            <w:hideMark/>
          </w:tcPr>
          <w:p w14:paraId="1788E78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12.85</w:t>
            </w:r>
          </w:p>
        </w:tc>
        <w:tc>
          <w:tcPr>
            <w:tcW w:w="1418" w:type="dxa"/>
            <w:tcBorders>
              <w:top w:val="nil"/>
              <w:left w:val="nil"/>
              <w:bottom w:val="single" w:sz="4" w:space="0" w:color="auto"/>
              <w:right w:val="single" w:sz="4" w:space="0" w:color="000000"/>
            </w:tcBorders>
            <w:shd w:val="clear" w:color="auto" w:fill="auto"/>
            <w:noWrap/>
            <w:vAlign w:val="bottom"/>
            <w:hideMark/>
          </w:tcPr>
          <w:p w14:paraId="7A26937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26.69</w:t>
            </w:r>
          </w:p>
        </w:tc>
      </w:tr>
      <w:tr w:rsidR="00A0308E" w:rsidRPr="003B10E2" w14:paraId="264A5D30"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FAC79C"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Sinotrans,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8557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3 493.89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84372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4F3D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233.99</w:t>
            </w:r>
          </w:p>
        </w:tc>
      </w:tr>
      <w:tr w:rsidR="00A0308E" w:rsidRPr="003B10E2" w14:paraId="4EBCDF67" w14:textId="77777777" w:rsidTr="00A0308E">
        <w:trPr>
          <w:trHeight w:val="300"/>
        </w:trPr>
        <w:tc>
          <w:tcPr>
            <w:tcW w:w="481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DE5C020"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Skshu Paint, акция об.</w:t>
            </w:r>
          </w:p>
        </w:tc>
        <w:tc>
          <w:tcPr>
            <w:tcW w:w="1736" w:type="dxa"/>
            <w:tcBorders>
              <w:top w:val="single" w:sz="4" w:space="0" w:color="auto"/>
              <w:left w:val="nil"/>
              <w:bottom w:val="single" w:sz="4" w:space="0" w:color="000000"/>
              <w:right w:val="single" w:sz="4" w:space="0" w:color="000000"/>
            </w:tcBorders>
            <w:shd w:val="clear" w:color="auto" w:fill="auto"/>
            <w:noWrap/>
            <w:vAlign w:val="bottom"/>
            <w:hideMark/>
          </w:tcPr>
          <w:p w14:paraId="42083C4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5 162.29</w:t>
            </w:r>
          </w:p>
        </w:tc>
        <w:tc>
          <w:tcPr>
            <w:tcW w:w="957" w:type="dxa"/>
            <w:tcBorders>
              <w:top w:val="single" w:sz="4" w:space="0" w:color="auto"/>
              <w:left w:val="nil"/>
              <w:bottom w:val="single" w:sz="4" w:space="0" w:color="000000"/>
              <w:right w:val="single" w:sz="4" w:space="0" w:color="000000"/>
            </w:tcBorders>
            <w:shd w:val="clear" w:color="auto" w:fill="auto"/>
            <w:noWrap/>
            <w:vAlign w:val="bottom"/>
            <w:hideMark/>
          </w:tcPr>
          <w:p w14:paraId="50FC5F0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97.99</w:t>
            </w:r>
          </w:p>
        </w:tc>
        <w:tc>
          <w:tcPr>
            <w:tcW w:w="1418" w:type="dxa"/>
            <w:tcBorders>
              <w:top w:val="single" w:sz="4" w:space="0" w:color="auto"/>
              <w:left w:val="nil"/>
              <w:bottom w:val="single" w:sz="4" w:space="0" w:color="000000"/>
              <w:right w:val="single" w:sz="4" w:space="0" w:color="000000"/>
            </w:tcBorders>
            <w:shd w:val="clear" w:color="auto" w:fill="auto"/>
            <w:noWrap/>
            <w:vAlign w:val="bottom"/>
            <w:hideMark/>
          </w:tcPr>
          <w:p w14:paraId="7CD6927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150.43</w:t>
            </w:r>
          </w:p>
        </w:tc>
      </w:tr>
      <w:tr w:rsidR="00A0308E" w:rsidRPr="003B10E2" w14:paraId="6FF9F632"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ED3510E"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Skyverse Technology,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4BD9495F"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69E09FB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82.39</w:t>
            </w:r>
          </w:p>
        </w:tc>
        <w:tc>
          <w:tcPr>
            <w:tcW w:w="1418" w:type="dxa"/>
            <w:tcBorders>
              <w:top w:val="nil"/>
              <w:left w:val="nil"/>
              <w:bottom w:val="single" w:sz="4" w:space="0" w:color="000000"/>
              <w:right w:val="single" w:sz="4" w:space="0" w:color="000000"/>
            </w:tcBorders>
            <w:shd w:val="clear" w:color="auto" w:fill="auto"/>
            <w:noWrap/>
            <w:vAlign w:val="bottom"/>
            <w:hideMark/>
          </w:tcPr>
          <w:p w14:paraId="695B55D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345.97</w:t>
            </w:r>
          </w:p>
        </w:tc>
      </w:tr>
      <w:tr w:rsidR="00A0308E" w:rsidRPr="003B10E2" w14:paraId="78793F79"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366C01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Smarter Microelectronics Guangzhou,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7E524B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2CBEC7A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24.20</w:t>
            </w:r>
          </w:p>
        </w:tc>
        <w:tc>
          <w:tcPr>
            <w:tcW w:w="1418" w:type="dxa"/>
            <w:tcBorders>
              <w:top w:val="nil"/>
              <w:left w:val="nil"/>
              <w:bottom w:val="single" w:sz="4" w:space="0" w:color="000000"/>
              <w:right w:val="single" w:sz="4" w:space="0" w:color="000000"/>
            </w:tcBorders>
            <w:shd w:val="clear" w:color="auto" w:fill="auto"/>
            <w:noWrap/>
            <w:vAlign w:val="bottom"/>
            <w:hideMark/>
          </w:tcPr>
          <w:p w14:paraId="2DFDB0E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168.13</w:t>
            </w:r>
          </w:p>
        </w:tc>
      </w:tr>
      <w:tr w:rsidR="00A0308E" w:rsidRPr="003B10E2" w14:paraId="52393B87"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E84FAD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Smartsens Technology Shanghai,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E97197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75B9AA0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57.60</w:t>
            </w:r>
          </w:p>
        </w:tc>
        <w:tc>
          <w:tcPr>
            <w:tcW w:w="1418" w:type="dxa"/>
            <w:tcBorders>
              <w:top w:val="nil"/>
              <w:left w:val="nil"/>
              <w:bottom w:val="single" w:sz="4" w:space="0" w:color="000000"/>
              <w:right w:val="single" w:sz="4" w:space="0" w:color="000000"/>
            </w:tcBorders>
            <w:shd w:val="clear" w:color="auto" w:fill="auto"/>
            <w:noWrap/>
            <w:vAlign w:val="bottom"/>
            <w:hideMark/>
          </w:tcPr>
          <w:p w14:paraId="6EBC8B4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56.29</w:t>
            </w:r>
          </w:p>
        </w:tc>
      </w:tr>
      <w:tr w:rsidR="00A0308E" w:rsidRPr="003B10E2" w14:paraId="7819CBF1"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8AD7E2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Sobute New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2CED09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811.74</w:t>
            </w:r>
          </w:p>
        </w:tc>
        <w:tc>
          <w:tcPr>
            <w:tcW w:w="957" w:type="dxa"/>
            <w:tcBorders>
              <w:top w:val="nil"/>
              <w:left w:val="nil"/>
              <w:bottom w:val="single" w:sz="4" w:space="0" w:color="000000"/>
              <w:right w:val="single" w:sz="4" w:space="0" w:color="000000"/>
            </w:tcBorders>
            <w:shd w:val="clear" w:color="auto" w:fill="auto"/>
            <w:noWrap/>
            <w:vAlign w:val="bottom"/>
            <w:hideMark/>
          </w:tcPr>
          <w:p w14:paraId="432583C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13.80</w:t>
            </w:r>
          </w:p>
        </w:tc>
        <w:tc>
          <w:tcPr>
            <w:tcW w:w="1418" w:type="dxa"/>
            <w:tcBorders>
              <w:top w:val="nil"/>
              <w:left w:val="nil"/>
              <w:bottom w:val="single" w:sz="4" w:space="0" w:color="000000"/>
              <w:right w:val="single" w:sz="4" w:space="0" w:color="000000"/>
            </w:tcBorders>
            <w:shd w:val="clear" w:color="auto" w:fill="auto"/>
            <w:noWrap/>
            <w:vAlign w:val="bottom"/>
            <w:hideMark/>
          </w:tcPr>
          <w:p w14:paraId="113D4F5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57.28</w:t>
            </w:r>
          </w:p>
        </w:tc>
      </w:tr>
      <w:tr w:rsidR="00A0308E" w:rsidRPr="003B10E2" w14:paraId="783A8FBD"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0B1C8C0"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Solareast Holdings,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0F6F2C5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652.98</w:t>
            </w:r>
          </w:p>
        </w:tc>
        <w:tc>
          <w:tcPr>
            <w:tcW w:w="957" w:type="dxa"/>
            <w:tcBorders>
              <w:top w:val="nil"/>
              <w:left w:val="nil"/>
              <w:bottom w:val="single" w:sz="4" w:space="0" w:color="000000"/>
              <w:right w:val="single" w:sz="4" w:space="0" w:color="000000"/>
            </w:tcBorders>
            <w:shd w:val="clear" w:color="auto" w:fill="auto"/>
            <w:noWrap/>
            <w:vAlign w:val="bottom"/>
            <w:hideMark/>
          </w:tcPr>
          <w:p w14:paraId="3703EC9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5.67</w:t>
            </w:r>
          </w:p>
        </w:tc>
        <w:tc>
          <w:tcPr>
            <w:tcW w:w="1418" w:type="dxa"/>
            <w:tcBorders>
              <w:top w:val="nil"/>
              <w:left w:val="nil"/>
              <w:bottom w:val="single" w:sz="4" w:space="0" w:color="000000"/>
              <w:right w:val="single" w:sz="4" w:space="0" w:color="000000"/>
            </w:tcBorders>
            <w:shd w:val="clear" w:color="auto" w:fill="auto"/>
            <w:noWrap/>
            <w:vAlign w:val="bottom"/>
            <w:hideMark/>
          </w:tcPr>
          <w:p w14:paraId="2C98AD3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33.55</w:t>
            </w:r>
          </w:p>
        </w:tc>
      </w:tr>
      <w:tr w:rsidR="00A0308E" w:rsidRPr="003B10E2" w14:paraId="016C0DF3"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9A947A8"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Sonavox,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6E2EFDE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1 156.53</w:t>
            </w:r>
          </w:p>
        </w:tc>
        <w:tc>
          <w:tcPr>
            <w:tcW w:w="957" w:type="dxa"/>
            <w:tcBorders>
              <w:top w:val="nil"/>
              <w:left w:val="nil"/>
              <w:bottom w:val="single" w:sz="4" w:space="0" w:color="000000"/>
              <w:right w:val="single" w:sz="4" w:space="0" w:color="000000"/>
            </w:tcBorders>
            <w:shd w:val="clear" w:color="auto" w:fill="auto"/>
            <w:noWrap/>
            <w:vAlign w:val="bottom"/>
            <w:hideMark/>
          </w:tcPr>
          <w:p w14:paraId="1BD05DB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51.65</w:t>
            </w:r>
          </w:p>
        </w:tc>
        <w:tc>
          <w:tcPr>
            <w:tcW w:w="1418" w:type="dxa"/>
            <w:tcBorders>
              <w:top w:val="nil"/>
              <w:left w:val="nil"/>
              <w:bottom w:val="single" w:sz="4" w:space="0" w:color="000000"/>
              <w:right w:val="single" w:sz="4" w:space="0" w:color="000000"/>
            </w:tcBorders>
            <w:shd w:val="clear" w:color="auto" w:fill="auto"/>
            <w:noWrap/>
            <w:vAlign w:val="bottom"/>
            <w:hideMark/>
          </w:tcPr>
          <w:p w14:paraId="23A80F9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242.95</w:t>
            </w:r>
          </w:p>
        </w:tc>
      </w:tr>
      <w:tr w:rsidR="00A0308E" w:rsidRPr="003B10E2" w14:paraId="0CD61607"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95FC5D2"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Soochow securities,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5A34D90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5 038.69</w:t>
            </w:r>
          </w:p>
        </w:tc>
        <w:tc>
          <w:tcPr>
            <w:tcW w:w="957" w:type="dxa"/>
            <w:tcBorders>
              <w:top w:val="nil"/>
              <w:left w:val="nil"/>
              <w:bottom w:val="single" w:sz="4" w:space="0" w:color="000000"/>
              <w:right w:val="single" w:sz="4" w:space="0" w:color="000000"/>
            </w:tcBorders>
            <w:shd w:val="clear" w:color="auto" w:fill="auto"/>
            <w:noWrap/>
            <w:vAlign w:val="bottom"/>
            <w:hideMark/>
          </w:tcPr>
          <w:p w14:paraId="3876379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7.19</w:t>
            </w:r>
          </w:p>
        </w:tc>
        <w:tc>
          <w:tcPr>
            <w:tcW w:w="1418" w:type="dxa"/>
            <w:tcBorders>
              <w:top w:val="nil"/>
              <w:left w:val="nil"/>
              <w:bottom w:val="single" w:sz="4" w:space="0" w:color="000000"/>
              <w:right w:val="single" w:sz="4" w:space="0" w:color="000000"/>
            </w:tcBorders>
            <w:shd w:val="clear" w:color="auto" w:fill="auto"/>
            <w:noWrap/>
            <w:vAlign w:val="bottom"/>
            <w:hideMark/>
          </w:tcPr>
          <w:p w14:paraId="2A40A3B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147.80</w:t>
            </w:r>
          </w:p>
        </w:tc>
      </w:tr>
      <w:tr w:rsidR="00A0308E" w:rsidRPr="003B10E2" w14:paraId="64DDD53E"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C17BCE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Southchip Semiconductor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5B6796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445D3B7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44.62</w:t>
            </w:r>
          </w:p>
        </w:tc>
        <w:tc>
          <w:tcPr>
            <w:tcW w:w="1418" w:type="dxa"/>
            <w:tcBorders>
              <w:top w:val="nil"/>
              <w:left w:val="nil"/>
              <w:bottom w:val="single" w:sz="4" w:space="0" w:color="000000"/>
              <w:right w:val="single" w:sz="4" w:space="0" w:color="000000"/>
            </w:tcBorders>
            <w:shd w:val="clear" w:color="auto" w:fill="auto"/>
            <w:noWrap/>
            <w:vAlign w:val="bottom"/>
            <w:hideMark/>
          </w:tcPr>
          <w:p w14:paraId="47BE26A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193.02</w:t>
            </w:r>
          </w:p>
        </w:tc>
      </w:tr>
      <w:tr w:rsidR="00A0308E" w:rsidRPr="003B10E2" w14:paraId="5F9F19FC"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D4AA00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Southern Publishing and Media,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2EA646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3 296.14</w:t>
            </w:r>
          </w:p>
        </w:tc>
        <w:tc>
          <w:tcPr>
            <w:tcW w:w="957" w:type="dxa"/>
            <w:tcBorders>
              <w:top w:val="nil"/>
              <w:left w:val="nil"/>
              <w:bottom w:val="single" w:sz="4" w:space="0" w:color="000000"/>
              <w:right w:val="single" w:sz="4" w:space="0" w:color="000000"/>
            </w:tcBorders>
            <w:shd w:val="clear" w:color="auto" w:fill="auto"/>
            <w:noWrap/>
            <w:vAlign w:val="bottom"/>
            <w:hideMark/>
          </w:tcPr>
          <w:p w14:paraId="151B2CF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26.29</w:t>
            </w:r>
          </w:p>
        </w:tc>
        <w:tc>
          <w:tcPr>
            <w:tcW w:w="1418" w:type="dxa"/>
            <w:tcBorders>
              <w:top w:val="nil"/>
              <w:left w:val="nil"/>
              <w:bottom w:val="single" w:sz="4" w:space="0" w:color="000000"/>
              <w:right w:val="single" w:sz="4" w:space="0" w:color="000000"/>
            </w:tcBorders>
            <w:shd w:val="clear" w:color="auto" w:fill="auto"/>
            <w:noWrap/>
            <w:vAlign w:val="bottom"/>
            <w:hideMark/>
          </w:tcPr>
          <w:p w14:paraId="4E99069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1 590.87</w:t>
            </w:r>
          </w:p>
        </w:tc>
      </w:tr>
      <w:tr w:rsidR="00A0308E" w:rsidRPr="003B10E2" w14:paraId="4C5E6E39"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5B4C2C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SPIC Yuanda Environmental-Protection,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2A1D55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621.77</w:t>
            </w:r>
          </w:p>
        </w:tc>
        <w:tc>
          <w:tcPr>
            <w:tcW w:w="957" w:type="dxa"/>
            <w:tcBorders>
              <w:top w:val="nil"/>
              <w:left w:val="nil"/>
              <w:bottom w:val="single" w:sz="4" w:space="0" w:color="000000"/>
              <w:right w:val="single" w:sz="4" w:space="0" w:color="000000"/>
            </w:tcBorders>
            <w:shd w:val="clear" w:color="auto" w:fill="auto"/>
            <w:noWrap/>
            <w:vAlign w:val="bottom"/>
            <w:hideMark/>
          </w:tcPr>
          <w:p w14:paraId="058149B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5.69</w:t>
            </w:r>
          </w:p>
        </w:tc>
        <w:tc>
          <w:tcPr>
            <w:tcW w:w="1418" w:type="dxa"/>
            <w:tcBorders>
              <w:top w:val="nil"/>
              <w:left w:val="nil"/>
              <w:bottom w:val="single" w:sz="4" w:space="0" w:color="000000"/>
              <w:right w:val="single" w:sz="4" w:space="0" w:color="000000"/>
            </w:tcBorders>
            <w:shd w:val="clear" w:color="auto" w:fill="auto"/>
            <w:noWrap/>
            <w:vAlign w:val="bottom"/>
            <w:hideMark/>
          </w:tcPr>
          <w:p w14:paraId="4BF68BC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14.83</w:t>
            </w:r>
          </w:p>
        </w:tc>
      </w:tr>
      <w:tr w:rsidR="00A0308E" w:rsidRPr="003B10E2" w14:paraId="68DCD00D"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DB75B5E"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Spring Airlines,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5E391D1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7 299.12</w:t>
            </w:r>
          </w:p>
        </w:tc>
        <w:tc>
          <w:tcPr>
            <w:tcW w:w="957" w:type="dxa"/>
            <w:tcBorders>
              <w:top w:val="nil"/>
              <w:left w:val="nil"/>
              <w:bottom w:val="single" w:sz="4" w:space="0" w:color="000000"/>
              <w:right w:val="single" w:sz="4" w:space="0" w:color="000000"/>
            </w:tcBorders>
            <w:shd w:val="clear" w:color="auto" w:fill="auto"/>
            <w:noWrap/>
            <w:vAlign w:val="bottom"/>
            <w:hideMark/>
          </w:tcPr>
          <w:p w14:paraId="501E8D9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56.91</w:t>
            </w:r>
          </w:p>
        </w:tc>
        <w:tc>
          <w:tcPr>
            <w:tcW w:w="1418" w:type="dxa"/>
            <w:tcBorders>
              <w:top w:val="nil"/>
              <w:left w:val="nil"/>
              <w:bottom w:val="single" w:sz="4" w:space="0" w:color="000000"/>
              <w:right w:val="single" w:sz="4" w:space="0" w:color="000000"/>
            </w:tcBorders>
            <w:shd w:val="clear" w:color="auto" w:fill="auto"/>
            <w:noWrap/>
            <w:vAlign w:val="bottom"/>
            <w:hideMark/>
          </w:tcPr>
          <w:p w14:paraId="3F2AD29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98.80</w:t>
            </w:r>
          </w:p>
        </w:tc>
      </w:tr>
      <w:tr w:rsidR="00A0308E" w:rsidRPr="003B10E2" w14:paraId="51DE7444"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A26789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Springsnow Food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0ECE19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375.34</w:t>
            </w:r>
          </w:p>
        </w:tc>
        <w:tc>
          <w:tcPr>
            <w:tcW w:w="957" w:type="dxa"/>
            <w:tcBorders>
              <w:top w:val="nil"/>
              <w:left w:val="nil"/>
              <w:bottom w:val="single" w:sz="4" w:space="0" w:color="000000"/>
              <w:right w:val="single" w:sz="4" w:space="0" w:color="000000"/>
            </w:tcBorders>
            <w:shd w:val="clear" w:color="auto" w:fill="auto"/>
            <w:noWrap/>
            <w:vAlign w:val="bottom"/>
            <w:hideMark/>
          </w:tcPr>
          <w:p w14:paraId="0A983D0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13.41</w:t>
            </w:r>
          </w:p>
        </w:tc>
        <w:tc>
          <w:tcPr>
            <w:tcW w:w="1418" w:type="dxa"/>
            <w:tcBorders>
              <w:top w:val="nil"/>
              <w:left w:val="nil"/>
              <w:bottom w:val="single" w:sz="4" w:space="0" w:color="000000"/>
              <w:right w:val="single" w:sz="4" w:space="0" w:color="000000"/>
            </w:tcBorders>
            <w:shd w:val="clear" w:color="auto" w:fill="auto"/>
            <w:noWrap/>
            <w:vAlign w:val="bottom"/>
            <w:hideMark/>
          </w:tcPr>
          <w:p w14:paraId="0D6AB64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11.84</w:t>
            </w:r>
          </w:p>
        </w:tc>
      </w:tr>
      <w:tr w:rsidR="00A0308E" w:rsidRPr="003B10E2" w14:paraId="73218088"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E1F255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Square Technology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BE7CC1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619.27</w:t>
            </w:r>
          </w:p>
        </w:tc>
        <w:tc>
          <w:tcPr>
            <w:tcW w:w="957" w:type="dxa"/>
            <w:tcBorders>
              <w:top w:val="nil"/>
              <w:left w:val="nil"/>
              <w:bottom w:val="single" w:sz="4" w:space="0" w:color="000000"/>
              <w:right w:val="single" w:sz="4" w:space="0" w:color="000000"/>
            </w:tcBorders>
            <w:shd w:val="clear" w:color="auto" w:fill="auto"/>
            <w:noWrap/>
            <w:vAlign w:val="bottom"/>
            <w:hideMark/>
          </w:tcPr>
          <w:p w14:paraId="368CD67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14.30</w:t>
            </w:r>
          </w:p>
        </w:tc>
        <w:tc>
          <w:tcPr>
            <w:tcW w:w="1418" w:type="dxa"/>
            <w:tcBorders>
              <w:top w:val="nil"/>
              <w:left w:val="nil"/>
              <w:bottom w:val="single" w:sz="4" w:space="0" w:color="000000"/>
              <w:right w:val="single" w:sz="4" w:space="0" w:color="000000"/>
            </w:tcBorders>
            <w:shd w:val="clear" w:color="auto" w:fill="auto"/>
            <w:noWrap/>
            <w:vAlign w:val="bottom"/>
            <w:hideMark/>
          </w:tcPr>
          <w:p w14:paraId="540C338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34.60</w:t>
            </w:r>
          </w:p>
        </w:tc>
      </w:tr>
      <w:tr w:rsidR="00A0308E" w:rsidRPr="003B10E2" w14:paraId="410E2895"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74CCDF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Starlake Bioscience Zhaoqing Guangdong,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886D14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582.28</w:t>
            </w:r>
          </w:p>
        </w:tc>
        <w:tc>
          <w:tcPr>
            <w:tcW w:w="957" w:type="dxa"/>
            <w:tcBorders>
              <w:top w:val="nil"/>
              <w:left w:val="nil"/>
              <w:bottom w:val="single" w:sz="4" w:space="0" w:color="000000"/>
              <w:right w:val="single" w:sz="4" w:space="0" w:color="000000"/>
            </w:tcBorders>
            <w:shd w:val="clear" w:color="auto" w:fill="auto"/>
            <w:noWrap/>
            <w:vAlign w:val="bottom"/>
            <w:hideMark/>
          </w:tcPr>
          <w:p w14:paraId="37185CE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5.63</w:t>
            </w:r>
          </w:p>
        </w:tc>
        <w:tc>
          <w:tcPr>
            <w:tcW w:w="1418" w:type="dxa"/>
            <w:tcBorders>
              <w:top w:val="nil"/>
              <w:left w:val="nil"/>
              <w:bottom w:val="single" w:sz="4" w:space="0" w:color="000000"/>
              <w:right w:val="single" w:sz="4" w:space="0" w:color="000000"/>
            </w:tcBorders>
            <w:shd w:val="clear" w:color="auto" w:fill="auto"/>
            <w:noWrap/>
            <w:vAlign w:val="bottom"/>
            <w:hideMark/>
          </w:tcPr>
          <w:p w14:paraId="3CAFD86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62.62</w:t>
            </w:r>
          </w:p>
        </w:tc>
      </w:tr>
      <w:tr w:rsidR="00A0308E" w:rsidRPr="003B10E2" w14:paraId="4CBABF3D"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737C04F"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StarPower Semiconductor,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10D96AE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5 133.34</w:t>
            </w:r>
          </w:p>
        </w:tc>
        <w:tc>
          <w:tcPr>
            <w:tcW w:w="957" w:type="dxa"/>
            <w:tcBorders>
              <w:top w:val="nil"/>
              <w:left w:val="nil"/>
              <w:bottom w:val="single" w:sz="4" w:space="0" w:color="000000"/>
              <w:right w:val="single" w:sz="4" w:space="0" w:color="000000"/>
            </w:tcBorders>
            <w:shd w:val="clear" w:color="auto" w:fill="auto"/>
            <w:noWrap/>
            <w:vAlign w:val="bottom"/>
            <w:hideMark/>
          </w:tcPr>
          <w:p w14:paraId="7FE7998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215.00</w:t>
            </w:r>
          </w:p>
        </w:tc>
        <w:tc>
          <w:tcPr>
            <w:tcW w:w="1418" w:type="dxa"/>
            <w:tcBorders>
              <w:top w:val="nil"/>
              <w:left w:val="nil"/>
              <w:bottom w:val="single" w:sz="4" w:space="0" w:color="000000"/>
              <w:right w:val="single" w:sz="4" w:space="0" w:color="000000"/>
            </w:tcBorders>
            <w:shd w:val="clear" w:color="auto" w:fill="auto"/>
            <w:noWrap/>
            <w:vAlign w:val="bottom"/>
            <w:hideMark/>
          </w:tcPr>
          <w:p w14:paraId="72F8C56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311.85</w:t>
            </w:r>
          </w:p>
        </w:tc>
      </w:tr>
      <w:tr w:rsidR="00A0308E" w:rsidRPr="003B10E2" w14:paraId="47EF058F"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3475C81"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Suli,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53B4966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378.11</w:t>
            </w:r>
          </w:p>
        </w:tc>
        <w:tc>
          <w:tcPr>
            <w:tcW w:w="957" w:type="dxa"/>
            <w:tcBorders>
              <w:top w:val="nil"/>
              <w:left w:val="nil"/>
              <w:bottom w:val="single" w:sz="4" w:space="0" w:color="000000"/>
              <w:right w:val="single" w:sz="4" w:space="0" w:color="000000"/>
            </w:tcBorders>
            <w:shd w:val="clear" w:color="auto" w:fill="auto"/>
            <w:noWrap/>
            <w:vAlign w:val="bottom"/>
            <w:hideMark/>
          </w:tcPr>
          <w:p w14:paraId="51FBE46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15.01</w:t>
            </w:r>
          </w:p>
        </w:tc>
        <w:tc>
          <w:tcPr>
            <w:tcW w:w="1418" w:type="dxa"/>
            <w:tcBorders>
              <w:top w:val="nil"/>
              <w:left w:val="nil"/>
              <w:bottom w:val="single" w:sz="4" w:space="0" w:color="000000"/>
              <w:right w:val="single" w:sz="4" w:space="0" w:color="000000"/>
            </w:tcBorders>
            <w:shd w:val="clear" w:color="auto" w:fill="auto"/>
            <w:noWrap/>
            <w:vAlign w:val="bottom"/>
            <w:hideMark/>
          </w:tcPr>
          <w:p w14:paraId="4777546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6.68</w:t>
            </w:r>
          </w:p>
        </w:tc>
      </w:tr>
      <w:tr w:rsidR="00A0308E" w:rsidRPr="003B10E2" w14:paraId="1D0CC53B"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7B5139E"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Sumec,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38BE77F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1 446.56</w:t>
            </w:r>
          </w:p>
        </w:tc>
        <w:tc>
          <w:tcPr>
            <w:tcW w:w="957" w:type="dxa"/>
            <w:tcBorders>
              <w:top w:val="nil"/>
              <w:left w:val="nil"/>
              <w:bottom w:val="single" w:sz="4" w:space="0" w:color="000000"/>
              <w:right w:val="single" w:sz="4" w:space="0" w:color="000000"/>
            </w:tcBorders>
            <w:shd w:val="clear" w:color="auto" w:fill="auto"/>
            <w:noWrap/>
            <w:vAlign w:val="bottom"/>
            <w:hideMark/>
          </w:tcPr>
          <w:p w14:paraId="7E0D9B0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7.91</w:t>
            </w:r>
          </w:p>
        </w:tc>
        <w:tc>
          <w:tcPr>
            <w:tcW w:w="1418" w:type="dxa"/>
            <w:tcBorders>
              <w:top w:val="nil"/>
              <w:left w:val="nil"/>
              <w:bottom w:val="single" w:sz="4" w:space="0" w:color="000000"/>
              <w:right w:val="single" w:sz="4" w:space="0" w:color="000000"/>
            </w:tcBorders>
            <w:shd w:val="clear" w:color="auto" w:fill="auto"/>
            <w:noWrap/>
            <w:vAlign w:val="bottom"/>
            <w:hideMark/>
          </w:tcPr>
          <w:p w14:paraId="6B00E98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158.77</w:t>
            </w:r>
          </w:p>
        </w:tc>
      </w:tr>
      <w:tr w:rsidR="00A0308E" w:rsidRPr="003B10E2" w14:paraId="2F3A5CC8"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DF7176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Sundy Land Investment,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B4A131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76.89</w:t>
            </w:r>
          </w:p>
        </w:tc>
        <w:tc>
          <w:tcPr>
            <w:tcW w:w="957" w:type="dxa"/>
            <w:tcBorders>
              <w:top w:val="nil"/>
              <w:left w:val="nil"/>
              <w:bottom w:val="single" w:sz="4" w:space="0" w:color="000000"/>
              <w:right w:val="single" w:sz="4" w:space="0" w:color="000000"/>
            </w:tcBorders>
            <w:shd w:val="clear" w:color="auto" w:fill="auto"/>
            <w:noWrap/>
            <w:vAlign w:val="bottom"/>
            <w:hideMark/>
          </w:tcPr>
          <w:p w14:paraId="43CAAA6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0.41</w:t>
            </w:r>
          </w:p>
        </w:tc>
        <w:tc>
          <w:tcPr>
            <w:tcW w:w="1418" w:type="dxa"/>
            <w:tcBorders>
              <w:top w:val="nil"/>
              <w:left w:val="nil"/>
              <w:bottom w:val="single" w:sz="4" w:space="0" w:color="000000"/>
              <w:right w:val="single" w:sz="4" w:space="0" w:color="000000"/>
            </w:tcBorders>
            <w:shd w:val="clear" w:color="auto" w:fill="auto"/>
            <w:noWrap/>
            <w:vAlign w:val="bottom"/>
            <w:hideMark/>
          </w:tcPr>
          <w:p w14:paraId="50F702F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16.16</w:t>
            </w:r>
          </w:p>
        </w:tc>
      </w:tr>
      <w:tr w:rsidR="00A0308E" w:rsidRPr="003B10E2" w14:paraId="41DECAD0"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D06395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Sunny Loan Top,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2D208B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385.94</w:t>
            </w:r>
          </w:p>
        </w:tc>
        <w:tc>
          <w:tcPr>
            <w:tcW w:w="957" w:type="dxa"/>
            <w:tcBorders>
              <w:top w:val="nil"/>
              <w:left w:val="nil"/>
              <w:bottom w:val="single" w:sz="4" w:space="0" w:color="000000"/>
              <w:right w:val="single" w:sz="4" w:space="0" w:color="000000"/>
            </w:tcBorders>
            <w:shd w:val="clear" w:color="auto" w:fill="auto"/>
            <w:noWrap/>
            <w:vAlign w:val="bottom"/>
            <w:hideMark/>
          </w:tcPr>
          <w:p w14:paraId="6EA5D73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6.07</w:t>
            </w:r>
          </w:p>
        </w:tc>
        <w:tc>
          <w:tcPr>
            <w:tcW w:w="1418" w:type="dxa"/>
            <w:tcBorders>
              <w:top w:val="nil"/>
              <w:left w:val="nil"/>
              <w:bottom w:val="single" w:sz="4" w:space="0" w:color="000000"/>
              <w:right w:val="single" w:sz="4" w:space="0" w:color="000000"/>
            </w:tcBorders>
            <w:shd w:val="clear" w:color="auto" w:fill="auto"/>
            <w:noWrap/>
            <w:vAlign w:val="bottom"/>
            <w:hideMark/>
          </w:tcPr>
          <w:p w14:paraId="6B3DEDF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27.46</w:t>
            </w:r>
          </w:p>
        </w:tc>
      </w:tr>
      <w:tr w:rsidR="00A0308E" w:rsidRPr="003B10E2" w14:paraId="1C6DA82E"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B175C51"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Sunstone Development,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6A3D3F3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1 163.11</w:t>
            </w:r>
          </w:p>
        </w:tc>
        <w:tc>
          <w:tcPr>
            <w:tcW w:w="957" w:type="dxa"/>
            <w:tcBorders>
              <w:top w:val="nil"/>
              <w:left w:val="nil"/>
              <w:bottom w:val="single" w:sz="4" w:space="0" w:color="000000"/>
              <w:right w:val="single" w:sz="4" w:space="0" w:color="000000"/>
            </w:tcBorders>
            <w:shd w:val="clear" w:color="auto" w:fill="auto"/>
            <w:noWrap/>
            <w:vAlign w:val="bottom"/>
            <w:hideMark/>
          </w:tcPr>
          <w:p w14:paraId="4AAF8FE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18.07</w:t>
            </w:r>
          </w:p>
        </w:tc>
        <w:tc>
          <w:tcPr>
            <w:tcW w:w="1418" w:type="dxa"/>
            <w:tcBorders>
              <w:top w:val="nil"/>
              <w:left w:val="nil"/>
              <w:bottom w:val="single" w:sz="4" w:space="0" w:color="000000"/>
              <w:right w:val="single" w:sz="4" w:space="0" w:color="000000"/>
            </w:tcBorders>
            <w:shd w:val="clear" w:color="auto" w:fill="auto"/>
            <w:noWrap/>
            <w:vAlign w:val="bottom"/>
            <w:hideMark/>
          </w:tcPr>
          <w:p w14:paraId="4C315A9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76.38</w:t>
            </w:r>
          </w:p>
        </w:tc>
      </w:tr>
      <w:tr w:rsidR="00A0308E" w:rsidRPr="003B10E2" w14:paraId="008BC39D"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5D9A53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Suntar Environmental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9A3BA7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608.37</w:t>
            </w:r>
          </w:p>
        </w:tc>
        <w:tc>
          <w:tcPr>
            <w:tcW w:w="957" w:type="dxa"/>
            <w:tcBorders>
              <w:top w:val="nil"/>
              <w:left w:val="nil"/>
              <w:bottom w:val="single" w:sz="4" w:space="0" w:color="000000"/>
              <w:right w:val="single" w:sz="4" w:space="0" w:color="000000"/>
            </w:tcBorders>
            <w:shd w:val="clear" w:color="auto" w:fill="auto"/>
            <w:noWrap/>
            <w:vAlign w:val="bottom"/>
            <w:hideMark/>
          </w:tcPr>
          <w:p w14:paraId="1934793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13.02</w:t>
            </w:r>
          </w:p>
        </w:tc>
        <w:tc>
          <w:tcPr>
            <w:tcW w:w="1418" w:type="dxa"/>
            <w:tcBorders>
              <w:top w:val="nil"/>
              <w:left w:val="nil"/>
              <w:bottom w:val="single" w:sz="4" w:space="0" w:color="000000"/>
              <w:right w:val="single" w:sz="4" w:space="0" w:color="000000"/>
            </w:tcBorders>
            <w:shd w:val="clear" w:color="auto" w:fill="auto"/>
            <w:noWrap/>
            <w:vAlign w:val="bottom"/>
            <w:hideMark/>
          </w:tcPr>
          <w:p w14:paraId="0D1BDA2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9.40</w:t>
            </w:r>
          </w:p>
        </w:tc>
      </w:tr>
      <w:tr w:rsidR="00A0308E" w:rsidRPr="003B10E2" w14:paraId="68515DFD"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CDC042D"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Super Telecom,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6F98F74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802.37</w:t>
            </w:r>
          </w:p>
        </w:tc>
        <w:tc>
          <w:tcPr>
            <w:tcW w:w="957" w:type="dxa"/>
            <w:tcBorders>
              <w:top w:val="nil"/>
              <w:left w:val="nil"/>
              <w:bottom w:val="single" w:sz="4" w:space="0" w:color="000000"/>
              <w:right w:val="single" w:sz="4" w:space="0" w:color="000000"/>
            </w:tcBorders>
            <w:shd w:val="clear" w:color="auto" w:fill="auto"/>
            <w:noWrap/>
            <w:vAlign w:val="bottom"/>
            <w:hideMark/>
          </w:tcPr>
          <w:p w14:paraId="5A536EB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35.80</w:t>
            </w:r>
          </w:p>
        </w:tc>
        <w:tc>
          <w:tcPr>
            <w:tcW w:w="1418" w:type="dxa"/>
            <w:tcBorders>
              <w:top w:val="nil"/>
              <w:left w:val="nil"/>
              <w:bottom w:val="single" w:sz="4" w:space="0" w:color="000000"/>
              <w:right w:val="single" w:sz="4" w:space="0" w:color="000000"/>
            </w:tcBorders>
            <w:shd w:val="clear" w:color="auto" w:fill="auto"/>
            <w:noWrap/>
            <w:vAlign w:val="bottom"/>
            <w:hideMark/>
          </w:tcPr>
          <w:p w14:paraId="4DCA635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658.30</w:t>
            </w:r>
          </w:p>
        </w:tc>
      </w:tr>
      <w:tr w:rsidR="00A0308E" w:rsidRPr="003B10E2" w14:paraId="398ACCF2"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48F8FE6"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Suqian Unitech,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62902DFD"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50412F0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14.88</w:t>
            </w:r>
          </w:p>
        </w:tc>
        <w:tc>
          <w:tcPr>
            <w:tcW w:w="1418" w:type="dxa"/>
            <w:tcBorders>
              <w:top w:val="nil"/>
              <w:left w:val="nil"/>
              <w:bottom w:val="single" w:sz="4" w:space="0" w:color="000000"/>
              <w:right w:val="single" w:sz="4" w:space="0" w:color="000000"/>
            </w:tcBorders>
            <w:shd w:val="clear" w:color="auto" w:fill="auto"/>
            <w:noWrap/>
            <w:vAlign w:val="bottom"/>
            <w:hideMark/>
          </w:tcPr>
          <w:p w14:paraId="6FB623D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42.12</w:t>
            </w:r>
          </w:p>
        </w:tc>
      </w:tr>
      <w:tr w:rsidR="00A0308E" w:rsidRPr="003B10E2" w14:paraId="38B871C3"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CE53CE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Chunqiu Electronic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15E2D5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491.58</w:t>
            </w:r>
          </w:p>
        </w:tc>
        <w:tc>
          <w:tcPr>
            <w:tcW w:w="957" w:type="dxa"/>
            <w:tcBorders>
              <w:top w:val="nil"/>
              <w:left w:val="nil"/>
              <w:bottom w:val="single" w:sz="4" w:space="0" w:color="000000"/>
              <w:right w:val="single" w:sz="4" w:space="0" w:color="000000"/>
            </w:tcBorders>
            <w:shd w:val="clear" w:color="auto" w:fill="auto"/>
            <w:noWrap/>
            <w:vAlign w:val="bottom"/>
            <w:hideMark/>
          </w:tcPr>
          <w:p w14:paraId="34FEC1D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8.00</w:t>
            </w:r>
          </w:p>
        </w:tc>
        <w:tc>
          <w:tcPr>
            <w:tcW w:w="1418" w:type="dxa"/>
            <w:tcBorders>
              <w:top w:val="nil"/>
              <w:left w:val="nil"/>
              <w:bottom w:val="single" w:sz="4" w:space="0" w:color="000000"/>
              <w:right w:val="single" w:sz="4" w:space="0" w:color="000000"/>
            </w:tcBorders>
            <w:shd w:val="clear" w:color="auto" w:fill="auto"/>
            <w:noWrap/>
            <w:vAlign w:val="bottom"/>
            <w:hideMark/>
          </w:tcPr>
          <w:p w14:paraId="2C5E4CE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37.06</w:t>
            </w:r>
          </w:p>
        </w:tc>
      </w:tr>
      <w:tr w:rsidR="00A0308E" w:rsidRPr="003B10E2" w14:paraId="0B70ABE3"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6F122C1"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Suzhou Delphi Laser,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3BCF0295"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0FA2D80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44.60</w:t>
            </w:r>
          </w:p>
        </w:tc>
        <w:tc>
          <w:tcPr>
            <w:tcW w:w="1418" w:type="dxa"/>
            <w:tcBorders>
              <w:top w:val="nil"/>
              <w:left w:val="nil"/>
              <w:bottom w:val="single" w:sz="4" w:space="0" w:color="000000"/>
              <w:right w:val="single" w:sz="4" w:space="0" w:color="000000"/>
            </w:tcBorders>
            <w:shd w:val="clear" w:color="auto" w:fill="auto"/>
            <w:noWrap/>
            <w:vAlign w:val="bottom"/>
            <w:hideMark/>
          </w:tcPr>
          <w:p w14:paraId="7545A24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190.77</w:t>
            </w:r>
          </w:p>
        </w:tc>
      </w:tr>
      <w:tr w:rsidR="00A0308E" w:rsidRPr="003B10E2" w14:paraId="0464AFEA"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C7EC84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Douson Drilling &amp; Production Equipment,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6D5469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766.45</w:t>
            </w:r>
          </w:p>
        </w:tc>
        <w:tc>
          <w:tcPr>
            <w:tcW w:w="957" w:type="dxa"/>
            <w:tcBorders>
              <w:top w:val="nil"/>
              <w:left w:val="nil"/>
              <w:bottom w:val="single" w:sz="4" w:space="0" w:color="000000"/>
              <w:right w:val="single" w:sz="4" w:space="0" w:color="000000"/>
            </w:tcBorders>
            <w:shd w:val="clear" w:color="auto" w:fill="auto"/>
            <w:noWrap/>
            <w:vAlign w:val="bottom"/>
            <w:hideMark/>
          </w:tcPr>
          <w:p w14:paraId="5F012AA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26.33</w:t>
            </w:r>
          </w:p>
        </w:tc>
        <w:tc>
          <w:tcPr>
            <w:tcW w:w="1418" w:type="dxa"/>
            <w:tcBorders>
              <w:top w:val="nil"/>
              <w:left w:val="nil"/>
              <w:bottom w:val="single" w:sz="4" w:space="0" w:color="000000"/>
              <w:right w:val="single" w:sz="4" w:space="0" w:color="000000"/>
            </w:tcBorders>
            <w:shd w:val="clear" w:color="auto" w:fill="auto"/>
            <w:noWrap/>
            <w:vAlign w:val="bottom"/>
            <w:hideMark/>
          </w:tcPr>
          <w:p w14:paraId="4ACF0E4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61.78</w:t>
            </w:r>
          </w:p>
        </w:tc>
      </w:tr>
      <w:tr w:rsidR="00A0308E" w:rsidRPr="003B10E2" w14:paraId="03A3ECC3"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5BD54D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Etron Technologies,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B6D663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505.16</w:t>
            </w:r>
          </w:p>
        </w:tc>
        <w:tc>
          <w:tcPr>
            <w:tcW w:w="957" w:type="dxa"/>
            <w:tcBorders>
              <w:top w:val="nil"/>
              <w:left w:val="nil"/>
              <w:bottom w:val="single" w:sz="4" w:space="0" w:color="000000"/>
              <w:right w:val="single" w:sz="4" w:space="0" w:color="000000"/>
            </w:tcBorders>
            <w:shd w:val="clear" w:color="auto" w:fill="auto"/>
            <w:noWrap/>
            <w:vAlign w:val="bottom"/>
            <w:hideMark/>
          </w:tcPr>
          <w:p w14:paraId="5EF84F0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22.38</w:t>
            </w:r>
          </w:p>
        </w:tc>
        <w:tc>
          <w:tcPr>
            <w:tcW w:w="1418" w:type="dxa"/>
            <w:tcBorders>
              <w:top w:val="nil"/>
              <w:left w:val="nil"/>
              <w:bottom w:val="single" w:sz="4" w:space="0" w:color="000000"/>
              <w:right w:val="single" w:sz="4" w:space="0" w:color="000000"/>
            </w:tcBorders>
            <w:shd w:val="clear" w:color="auto" w:fill="auto"/>
            <w:noWrap/>
            <w:vAlign w:val="bottom"/>
            <w:hideMark/>
          </w:tcPr>
          <w:p w14:paraId="76FDDA1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20.93</w:t>
            </w:r>
          </w:p>
        </w:tc>
      </w:tr>
      <w:tr w:rsidR="00A0308E" w:rsidRPr="003B10E2" w14:paraId="1F35E6A2"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2BEB10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Everbright Photonics,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8996E1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21217CC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88.99</w:t>
            </w:r>
          </w:p>
        </w:tc>
        <w:tc>
          <w:tcPr>
            <w:tcW w:w="1418" w:type="dxa"/>
            <w:tcBorders>
              <w:top w:val="nil"/>
              <w:left w:val="nil"/>
              <w:bottom w:val="single" w:sz="4" w:space="0" w:color="000000"/>
              <w:right w:val="single" w:sz="4" w:space="0" w:color="000000"/>
            </w:tcBorders>
            <w:shd w:val="clear" w:color="auto" w:fill="auto"/>
            <w:noWrap/>
            <w:vAlign w:val="bottom"/>
            <w:hideMark/>
          </w:tcPr>
          <w:p w14:paraId="1CBD24B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571.50</w:t>
            </w:r>
          </w:p>
        </w:tc>
      </w:tr>
      <w:tr w:rsidR="00A0308E" w:rsidRPr="003B10E2" w14:paraId="2840AD44"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1DD952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Gyz Electronic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CAF5A1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281.46</w:t>
            </w:r>
          </w:p>
        </w:tc>
        <w:tc>
          <w:tcPr>
            <w:tcW w:w="957" w:type="dxa"/>
            <w:tcBorders>
              <w:top w:val="nil"/>
              <w:left w:val="nil"/>
              <w:bottom w:val="single" w:sz="4" w:space="0" w:color="000000"/>
              <w:right w:val="single" w:sz="4" w:space="0" w:color="000000"/>
            </w:tcBorders>
            <w:shd w:val="clear" w:color="auto" w:fill="auto"/>
            <w:noWrap/>
            <w:vAlign w:val="bottom"/>
            <w:hideMark/>
          </w:tcPr>
          <w:p w14:paraId="4E1F563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16.76</w:t>
            </w:r>
          </w:p>
        </w:tc>
        <w:tc>
          <w:tcPr>
            <w:tcW w:w="1418" w:type="dxa"/>
            <w:tcBorders>
              <w:top w:val="nil"/>
              <w:left w:val="nil"/>
              <w:bottom w:val="single" w:sz="4" w:space="0" w:color="000000"/>
              <w:right w:val="single" w:sz="4" w:space="0" w:color="000000"/>
            </w:tcBorders>
            <w:shd w:val="clear" w:color="auto" w:fill="auto"/>
            <w:noWrap/>
            <w:vAlign w:val="bottom"/>
            <w:hideMark/>
          </w:tcPr>
          <w:p w14:paraId="233AF7C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19.89</w:t>
            </w:r>
          </w:p>
        </w:tc>
      </w:tr>
      <w:tr w:rsidR="00A0308E" w:rsidRPr="003B10E2" w14:paraId="5DB907E9"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443DBF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Harmontronics Auto 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A5ACA3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501.31</w:t>
            </w:r>
          </w:p>
        </w:tc>
        <w:tc>
          <w:tcPr>
            <w:tcW w:w="957" w:type="dxa"/>
            <w:tcBorders>
              <w:top w:val="nil"/>
              <w:left w:val="nil"/>
              <w:bottom w:val="single" w:sz="4" w:space="0" w:color="000000"/>
              <w:right w:val="single" w:sz="4" w:space="0" w:color="000000"/>
            </w:tcBorders>
            <w:shd w:val="clear" w:color="auto" w:fill="auto"/>
            <w:noWrap/>
            <w:vAlign w:val="bottom"/>
            <w:hideMark/>
          </w:tcPr>
          <w:p w14:paraId="180D0D0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33.08</w:t>
            </w:r>
          </w:p>
        </w:tc>
        <w:tc>
          <w:tcPr>
            <w:tcW w:w="1418" w:type="dxa"/>
            <w:tcBorders>
              <w:top w:val="nil"/>
              <w:left w:val="nil"/>
              <w:bottom w:val="single" w:sz="4" w:space="0" w:color="000000"/>
              <w:right w:val="single" w:sz="4" w:space="0" w:color="000000"/>
            </w:tcBorders>
            <w:shd w:val="clear" w:color="auto" w:fill="auto"/>
            <w:noWrap/>
            <w:vAlign w:val="bottom"/>
            <w:hideMark/>
          </w:tcPr>
          <w:p w14:paraId="47BAA0D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82.36</w:t>
            </w:r>
          </w:p>
        </w:tc>
      </w:tr>
      <w:tr w:rsidR="00A0308E" w:rsidRPr="003B10E2" w14:paraId="5EE32B66"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E714B2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HYC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B5C613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1 850.27</w:t>
            </w:r>
          </w:p>
        </w:tc>
        <w:tc>
          <w:tcPr>
            <w:tcW w:w="957" w:type="dxa"/>
            <w:tcBorders>
              <w:top w:val="nil"/>
              <w:left w:val="nil"/>
              <w:bottom w:val="single" w:sz="4" w:space="0" w:color="000000"/>
              <w:right w:val="single" w:sz="4" w:space="0" w:color="000000"/>
            </w:tcBorders>
            <w:shd w:val="clear" w:color="auto" w:fill="auto"/>
            <w:noWrap/>
            <w:vAlign w:val="bottom"/>
            <w:hideMark/>
          </w:tcPr>
          <w:p w14:paraId="220A839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30.09</w:t>
            </w:r>
          </w:p>
        </w:tc>
        <w:tc>
          <w:tcPr>
            <w:tcW w:w="1418" w:type="dxa"/>
            <w:tcBorders>
              <w:top w:val="nil"/>
              <w:left w:val="nil"/>
              <w:bottom w:val="single" w:sz="4" w:space="0" w:color="000000"/>
              <w:right w:val="single" w:sz="4" w:space="0" w:color="000000"/>
            </w:tcBorders>
            <w:shd w:val="clear" w:color="auto" w:fill="auto"/>
            <w:noWrap/>
            <w:vAlign w:val="bottom"/>
            <w:hideMark/>
          </w:tcPr>
          <w:p w14:paraId="08667D5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71.89</w:t>
            </w:r>
          </w:p>
        </w:tc>
      </w:tr>
      <w:tr w:rsidR="00A0308E" w:rsidRPr="003B10E2" w14:paraId="514310C0"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C04DC1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Institute of Building Science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17D529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279.78</w:t>
            </w:r>
          </w:p>
        </w:tc>
        <w:tc>
          <w:tcPr>
            <w:tcW w:w="957" w:type="dxa"/>
            <w:tcBorders>
              <w:top w:val="nil"/>
              <w:left w:val="nil"/>
              <w:bottom w:val="single" w:sz="4" w:space="0" w:color="000000"/>
              <w:right w:val="single" w:sz="4" w:space="0" w:color="000000"/>
            </w:tcBorders>
            <w:shd w:val="clear" w:color="auto" w:fill="auto"/>
            <w:noWrap/>
            <w:vAlign w:val="bottom"/>
            <w:hideMark/>
          </w:tcPr>
          <w:p w14:paraId="6FD6A06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4.79</w:t>
            </w:r>
          </w:p>
        </w:tc>
        <w:tc>
          <w:tcPr>
            <w:tcW w:w="1418" w:type="dxa"/>
            <w:tcBorders>
              <w:top w:val="nil"/>
              <w:left w:val="nil"/>
              <w:bottom w:val="single" w:sz="4" w:space="0" w:color="000000"/>
              <w:right w:val="single" w:sz="4" w:space="0" w:color="000000"/>
            </w:tcBorders>
            <w:shd w:val="clear" w:color="auto" w:fill="auto"/>
            <w:noWrap/>
            <w:vAlign w:val="bottom"/>
            <w:hideMark/>
          </w:tcPr>
          <w:p w14:paraId="17D4941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29.30</w:t>
            </w:r>
          </w:p>
        </w:tc>
      </w:tr>
      <w:tr w:rsidR="00A0308E" w:rsidRPr="003B10E2" w14:paraId="27248AF3"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4E6650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Iron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5BE77C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351.45</w:t>
            </w:r>
          </w:p>
        </w:tc>
        <w:tc>
          <w:tcPr>
            <w:tcW w:w="957" w:type="dxa"/>
            <w:tcBorders>
              <w:top w:val="nil"/>
              <w:left w:val="nil"/>
              <w:bottom w:val="single" w:sz="4" w:space="0" w:color="000000"/>
              <w:right w:val="single" w:sz="4" w:space="0" w:color="000000"/>
            </w:tcBorders>
            <w:shd w:val="clear" w:color="auto" w:fill="auto"/>
            <w:noWrap/>
            <w:vAlign w:val="bottom"/>
            <w:hideMark/>
          </w:tcPr>
          <w:p w14:paraId="570552D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32.53</w:t>
            </w:r>
          </w:p>
        </w:tc>
        <w:tc>
          <w:tcPr>
            <w:tcW w:w="1418" w:type="dxa"/>
            <w:tcBorders>
              <w:top w:val="nil"/>
              <w:left w:val="nil"/>
              <w:bottom w:val="single" w:sz="4" w:space="0" w:color="000000"/>
              <w:right w:val="single" w:sz="4" w:space="0" w:color="000000"/>
            </w:tcBorders>
            <w:shd w:val="clear" w:color="auto" w:fill="auto"/>
            <w:noWrap/>
            <w:vAlign w:val="bottom"/>
            <w:hideMark/>
          </w:tcPr>
          <w:p w14:paraId="024834F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19.96</w:t>
            </w:r>
          </w:p>
        </w:tc>
      </w:tr>
      <w:tr w:rsidR="00A0308E" w:rsidRPr="003B10E2" w14:paraId="051BC85E"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FF34DF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Jin Hong Shun Auto Parts,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403DF3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417.92</w:t>
            </w:r>
          </w:p>
        </w:tc>
        <w:tc>
          <w:tcPr>
            <w:tcW w:w="957" w:type="dxa"/>
            <w:tcBorders>
              <w:top w:val="nil"/>
              <w:left w:val="nil"/>
              <w:bottom w:val="single" w:sz="4" w:space="0" w:color="000000"/>
              <w:right w:val="single" w:sz="4" w:space="0" w:color="000000"/>
            </w:tcBorders>
            <w:shd w:val="clear" w:color="auto" w:fill="auto"/>
            <w:noWrap/>
            <w:vAlign w:val="bottom"/>
            <w:hideMark/>
          </w:tcPr>
          <w:p w14:paraId="539727E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23.33</w:t>
            </w:r>
          </w:p>
        </w:tc>
        <w:tc>
          <w:tcPr>
            <w:tcW w:w="1418" w:type="dxa"/>
            <w:tcBorders>
              <w:top w:val="nil"/>
              <w:left w:val="nil"/>
              <w:bottom w:val="single" w:sz="4" w:space="0" w:color="000000"/>
              <w:right w:val="single" w:sz="4" w:space="0" w:color="000000"/>
            </w:tcBorders>
            <w:shd w:val="clear" w:color="auto" w:fill="auto"/>
            <w:noWrap/>
            <w:vAlign w:val="bottom"/>
            <w:hideMark/>
          </w:tcPr>
          <w:p w14:paraId="68E3C57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17.43</w:t>
            </w:r>
          </w:p>
        </w:tc>
      </w:tr>
      <w:tr w:rsidR="00A0308E" w:rsidRPr="003B10E2" w14:paraId="277CE47C"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5E278F8"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Suzhou Jinhong Gas,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2C478C2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1 667.43</w:t>
            </w:r>
          </w:p>
        </w:tc>
        <w:tc>
          <w:tcPr>
            <w:tcW w:w="957" w:type="dxa"/>
            <w:tcBorders>
              <w:top w:val="nil"/>
              <w:left w:val="nil"/>
              <w:bottom w:val="single" w:sz="4" w:space="0" w:color="000000"/>
              <w:right w:val="single" w:sz="4" w:space="0" w:color="000000"/>
            </w:tcBorders>
            <w:shd w:val="clear" w:color="auto" w:fill="auto"/>
            <w:noWrap/>
            <w:vAlign w:val="bottom"/>
            <w:hideMark/>
          </w:tcPr>
          <w:p w14:paraId="4FD76CC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24.60</w:t>
            </w:r>
          </w:p>
        </w:tc>
        <w:tc>
          <w:tcPr>
            <w:tcW w:w="1418" w:type="dxa"/>
            <w:tcBorders>
              <w:top w:val="nil"/>
              <w:left w:val="nil"/>
              <w:bottom w:val="single" w:sz="4" w:space="0" w:color="000000"/>
              <w:right w:val="single" w:sz="4" w:space="0" w:color="000000"/>
            </w:tcBorders>
            <w:shd w:val="clear" w:color="auto" w:fill="auto"/>
            <w:noWrap/>
            <w:vAlign w:val="bottom"/>
            <w:hideMark/>
          </w:tcPr>
          <w:p w14:paraId="1675279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68.37</w:t>
            </w:r>
          </w:p>
        </w:tc>
      </w:tr>
      <w:tr w:rsidR="00A0308E" w:rsidRPr="003B10E2" w14:paraId="33746027"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D5642F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K-Hiragawa Electronic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153B00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3294121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29.87</w:t>
            </w:r>
          </w:p>
        </w:tc>
        <w:tc>
          <w:tcPr>
            <w:tcW w:w="1418" w:type="dxa"/>
            <w:tcBorders>
              <w:top w:val="nil"/>
              <w:left w:val="nil"/>
              <w:bottom w:val="single" w:sz="4" w:space="0" w:color="000000"/>
              <w:right w:val="single" w:sz="4" w:space="0" w:color="000000"/>
            </w:tcBorders>
            <w:shd w:val="clear" w:color="auto" w:fill="auto"/>
            <w:noWrap/>
            <w:vAlign w:val="bottom"/>
            <w:hideMark/>
          </w:tcPr>
          <w:p w14:paraId="7586122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22.38</w:t>
            </w:r>
          </w:p>
        </w:tc>
      </w:tr>
      <w:tr w:rsidR="00A0308E" w:rsidRPr="003B10E2" w14:paraId="2536ADCF"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299924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Keda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88EA7E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513.86</w:t>
            </w:r>
          </w:p>
        </w:tc>
        <w:tc>
          <w:tcPr>
            <w:tcW w:w="957" w:type="dxa"/>
            <w:tcBorders>
              <w:top w:val="nil"/>
              <w:left w:val="nil"/>
              <w:bottom w:val="single" w:sz="4" w:space="0" w:color="000000"/>
              <w:right w:val="single" w:sz="4" w:space="0" w:color="000000"/>
            </w:tcBorders>
            <w:shd w:val="clear" w:color="auto" w:fill="auto"/>
            <w:noWrap/>
            <w:vAlign w:val="bottom"/>
            <w:hideMark/>
          </w:tcPr>
          <w:p w14:paraId="03CB520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7.43</w:t>
            </w:r>
          </w:p>
        </w:tc>
        <w:tc>
          <w:tcPr>
            <w:tcW w:w="1418" w:type="dxa"/>
            <w:tcBorders>
              <w:top w:val="nil"/>
              <w:left w:val="nil"/>
              <w:bottom w:val="single" w:sz="4" w:space="0" w:color="000000"/>
              <w:right w:val="single" w:sz="4" w:space="0" w:color="000000"/>
            </w:tcBorders>
            <w:shd w:val="clear" w:color="auto" w:fill="auto"/>
            <w:noWrap/>
            <w:vAlign w:val="bottom"/>
            <w:hideMark/>
          </w:tcPr>
          <w:p w14:paraId="2A15E67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70.26</w:t>
            </w:r>
          </w:p>
        </w:tc>
      </w:tr>
      <w:tr w:rsidR="00A0308E" w:rsidRPr="003B10E2" w14:paraId="3AD1018E"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DB6A47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Kelida Building &amp; Decoration,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2D0EB1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254.59</w:t>
            </w:r>
          </w:p>
        </w:tc>
        <w:tc>
          <w:tcPr>
            <w:tcW w:w="957" w:type="dxa"/>
            <w:tcBorders>
              <w:top w:val="nil"/>
              <w:left w:val="nil"/>
              <w:bottom w:val="single" w:sz="4" w:space="0" w:color="000000"/>
              <w:right w:val="single" w:sz="4" w:space="0" w:color="000000"/>
            </w:tcBorders>
            <w:shd w:val="clear" w:color="auto" w:fill="auto"/>
            <w:noWrap/>
            <w:vAlign w:val="bottom"/>
            <w:hideMark/>
          </w:tcPr>
          <w:p w14:paraId="43D6794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2.98</w:t>
            </w:r>
          </w:p>
        </w:tc>
        <w:tc>
          <w:tcPr>
            <w:tcW w:w="1418" w:type="dxa"/>
            <w:tcBorders>
              <w:top w:val="nil"/>
              <w:left w:val="nil"/>
              <w:bottom w:val="single" w:sz="4" w:space="0" w:color="000000"/>
              <w:right w:val="single" w:sz="4" w:space="0" w:color="000000"/>
            </w:tcBorders>
            <w:shd w:val="clear" w:color="auto" w:fill="auto"/>
            <w:noWrap/>
            <w:vAlign w:val="bottom"/>
            <w:hideMark/>
          </w:tcPr>
          <w:p w14:paraId="15F6DEE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10.30</w:t>
            </w:r>
          </w:p>
        </w:tc>
      </w:tr>
      <w:tr w:rsidR="00A0308E" w:rsidRPr="003B10E2" w14:paraId="6872A979"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F3577A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Longjie Special Fiber,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13D38E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178.27</w:t>
            </w:r>
          </w:p>
        </w:tc>
        <w:tc>
          <w:tcPr>
            <w:tcW w:w="957" w:type="dxa"/>
            <w:tcBorders>
              <w:top w:val="nil"/>
              <w:left w:val="nil"/>
              <w:bottom w:val="single" w:sz="4" w:space="0" w:color="000000"/>
              <w:right w:val="single" w:sz="4" w:space="0" w:color="000000"/>
            </w:tcBorders>
            <w:shd w:val="clear" w:color="auto" w:fill="auto"/>
            <w:noWrap/>
            <w:vAlign w:val="bottom"/>
            <w:hideMark/>
          </w:tcPr>
          <w:p w14:paraId="64BD0F4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10.71</w:t>
            </w:r>
          </w:p>
        </w:tc>
        <w:tc>
          <w:tcPr>
            <w:tcW w:w="1418" w:type="dxa"/>
            <w:tcBorders>
              <w:top w:val="nil"/>
              <w:left w:val="nil"/>
              <w:bottom w:val="single" w:sz="4" w:space="0" w:color="000000"/>
              <w:right w:val="single" w:sz="4" w:space="0" w:color="000000"/>
            </w:tcBorders>
            <w:shd w:val="clear" w:color="auto" w:fill="auto"/>
            <w:noWrap/>
            <w:vAlign w:val="bottom"/>
            <w:hideMark/>
          </w:tcPr>
          <w:p w14:paraId="4400A97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6.90</w:t>
            </w:r>
          </w:p>
        </w:tc>
      </w:tr>
      <w:tr w:rsidR="00A0308E" w:rsidRPr="003B10E2" w14:paraId="7876E51C"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1DC865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MedicalSystem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41A62F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449.93</w:t>
            </w:r>
          </w:p>
        </w:tc>
        <w:tc>
          <w:tcPr>
            <w:tcW w:w="957" w:type="dxa"/>
            <w:tcBorders>
              <w:top w:val="nil"/>
              <w:left w:val="nil"/>
              <w:bottom w:val="single" w:sz="4" w:space="0" w:color="000000"/>
              <w:right w:val="single" w:sz="4" w:space="0" w:color="000000"/>
            </w:tcBorders>
            <w:shd w:val="clear" w:color="auto" w:fill="auto"/>
            <w:noWrap/>
            <w:vAlign w:val="bottom"/>
            <w:hideMark/>
          </w:tcPr>
          <w:p w14:paraId="1354644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19.43</w:t>
            </w:r>
          </w:p>
        </w:tc>
        <w:tc>
          <w:tcPr>
            <w:tcW w:w="1418" w:type="dxa"/>
            <w:tcBorders>
              <w:top w:val="nil"/>
              <w:left w:val="nil"/>
              <w:bottom w:val="single" w:sz="4" w:space="0" w:color="000000"/>
              <w:right w:val="single" w:sz="4" w:space="0" w:color="000000"/>
            </w:tcBorders>
            <w:shd w:val="clear" w:color="auto" w:fill="auto"/>
            <w:noWrap/>
            <w:vAlign w:val="bottom"/>
            <w:hideMark/>
          </w:tcPr>
          <w:p w14:paraId="2797752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75.98</w:t>
            </w:r>
          </w:p>
        </w:tc>
      </w:tr>
      <w:tr w:rsidR="00A0308E" w:rsidRPr="003B10E2" w14:paraId="1E6A32AC"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44051F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Mingzhi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29649A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449.22</w:t>
            </w:r>
          </w:p>
        </w:tc>
        <w:tc>
          <w:tcPr>
            <w:tcW w:w="957" w:type="dxa"/>
            <w:tcBorders>
              <w:top w:val="nil"/>
              <w:left w:val="nil"/>
              <w:bottom w:val="single" w:sz="4" w:space="0" w:color="000000"/>
              <w:right w:val="single" w:sz="4" w:space="0" w:color="000000"/>
            </w:tcBorders>
            <w:shd w:val="clear" w:color="auto" w:fill="auto"/>
            <w:noWrap/>
            <w:vAlign w:val="bottom"/>
            <w:hideMark/>
          </w:tcPr>
          <w:p w14:paraId="4A935C7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26.08</w:t>
            </w:r>
          </w:p>
        </w:tc>
        <w:tc>
          <w:tcPr>
            <w:tcW w:w="1418" w:type="dxa"/>
            <w:tcBorders>
              <w:top w:val="nil"/>
              <w:left w:val="nil"/>
              <w:bottom w:val="single" w:sz="4" w:space="0" w:color="000000"/>
              <w:right w:val="single" w:sz="4" w:space="0" w:color="000000"/>
            </w:tcBorders>
            <w:shd w:val="clear" w:color="auto" w:fill="auto"/>
            <w:noWrap/>
            <w:vAlign w:val="bottom"/>
            <w:hideMark/>
          </w:tcPr>
          <w:p w14:paraId="124FE75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12.30</w:t>
            </w:r>
          </w:p>
        </w:tc>
      </w:tr>
      <w:tr w:rsidR="00A0308E" w:rsidRPr="003B10E2" w14:paraId="1F6845D6"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B26A9F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Nanomicro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552DBB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2 470.71</w:t>
            </w:r>
          </w:p>
        </w:tc>
        <w:tc>
          <w:tcPr>
            <w:tcW w:w="957" w:type="dxa"/>
            <w:tcBorders>
              <w:top w:val="nil"/>
              <w:left w:val="nil"/>
              <w:bottom w:val="single" w:sz="4" w:space="0" w:color="000000"/>
              <w:right w:val="single" w:sz="4" w:space="0" w:color="000000"/>
            </w:tcBorders>
            <w:shd w:val="clear" w:color="auto" w:fill="auto"/>
            <w:noWrap/>
            <w:vAlign w:val="bottom"/>
            <w:hideMark/>
          </w:tcPr>
          <w:p w14:paraId="16C2FE6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44.12</w:t>
            </w:r>
          </w:p>
        </w:tc>
        <w:tc>
          <w:tcPr>
            <w:tcW w:w="1418" w:type="dxa"/>
            <w:tcBorders>
              <w:top w:val="nil"/>
              <w:left w:val="nil"/>
              <w:bottom w:val="single" w:sz="4" w:space="0" w:color="000000"/>
              <w:right w:val="single" w:sz="4" w:space="0" w:color="000000"/>
            </w:tcBorders>
            <w:shd w:val="clear" w:color="auto" w:fill="auto"/>
            <w:noWrap/>
            <w:vAlign w:val="bottom"/>
            <w:hideMark/>
          </w:tcPr>
          <w:p w14:paraId="51A76F5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61.29</w:t>
            </w:r>
          </w:p>
        </w:tc>
      </w:tr>
      <w:tr w:rsidR="00A0308E" w:rsidRPr="003B10E2" w14:paraId="747E1DB6"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E4BF0A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New District Hi-Tech Industrial,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25CA65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784.66</w:t>
            </w:r>
          </w:p>
        </w:tc>
        <w:tc>
          <w:tcPr>
            <w:tcW w:w="957" w:type="dxa"/>
            <w:tcBorders>
              <w:top w:val="nil"/>
              <w:left w:val="nil"/>
              <w:bottom w:val="single" w:sz="4" w:space="0" w:color="000000"/>
              <w:right w:val="single" w:sz="4" w:space="0" w:color="000000"/>
            </w:tcBorders>
            <w:shd w:val="clear" w:color="auto" w:fill="auto"/>
            <w:noWrap/>
            <w:vAlign w:val="bottom"/>
            <w:hideMark/>
          </w:tcPr>
          <w:p w14:paraId="77671A5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4.87</w:t>
            </w:r>
          </w:p>
        </w:tc>
        <w:tc>
          <w:tcPr>
            <w:tcW w:w="1418" w:type="dxa"/>
            <w:tcBorders>
              <w:top w:val="nil"/>
              <w:left w:val="nil"/>
              <w:bottom w:val="single" w:sz="4" w:space="0" w:color="000000"/>
              <w:right w:val="single" w:sz="4" w:space="0" w:color="000000"/>
            </w:tcBorders>
            <w:shd w:val="clear" w:color="auto" w:fill="auto"/>
            <w:noWrap/>
            <w:vAlign w:val="bottom"/>
            <w:hideMark/>
          </w:tcPr>
          <w:p w14:paraId="4969A22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27.29</w:t>
            </w:r>
          </w:p>
        </w:tc>
      </w:tr>
      <w:tr w:rsidR="00A0308E" w:rsidRPr="003B10E2" w14:paraId="0B48F4FC"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546B8C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Novosense Microelectronics,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52B158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00E61CE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168.45</w:t>
            </w:r>
          </w:p>
        </w:tc>
        <w:tc>
          <w:tcPr>
            <w:tcW w:w="1418" w:type="dxa"/>
            <w:tcBorders>
              <w:top w:val="nil"/>
              <w:left w:val="nil"/>
              <w:bottom w:val="single" w:sz="4" w:space="0" w:color="000000"/>
              <w:right w:val="single" w:sz="4" w:space="0" w:color="000000"/>
            </w:tcBorders>
            <w:shd w:val="clear" w:color="auto" w:fill="auto"/>
            <w:noWrap/>
            <w:vAlign w:val="bottom"/>
            <w:hideMark/>
          </w:tcPr>
          <w:p w14:paraId="16EFDEF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219.41</w:t>
            </w:r>
          </w:p>
        </w:tc>
      </w:tr>
      <w:tr w:rsidR="00A0308E" w:rsidRPr="003B10E2" w14:paraId="158D334B"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8EB2B5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Oriental Semiconductor,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0E9BAB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1 734.97</w:t>
            </w:r>
          </w:p>
        </w:tc>
        <w:tc>
          <w:tcPr>
            <w:tcW w:w="957" w:type="dxa"/>
            <w:tcBorders>
              <w:top w:val="nil"/>
              <w:left w:val="nil"/>
              <w:bottom w:val="single" w:sz="4" w:space="0" w:color="000000"/>
              <w:right w:val="single" w:sz="4" w:space="0" w:color="000000"/>
            </w:tcBorders>
            <w:shd w:val="clear" w:color="auto" w:fill="auto"/>
            <w:noWrap/>
            <w:vAlign w:val="bottom"/>
            <w:hideMark/>
          </w:tcPr>
          <w:p w14:paraId="61AD29C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184.00</w:t>
            </w:r>
          </w:p>
        </w:tc>
        <w:tc>
          <w:tcPr>
            <w:tcW w:w="1418" w:type="dxa"/>
            <w:tcBorders>
              <w:top w:val="nil"/>
              <w:left w:val="nil"/>
              <w:bottom w:val="single" w:sz="4" w:space="0" w:color="000000"/>
              <w:right w:val="single" w:sz="4" w:space="0" w:color="000000"/>
            </w:tcBorders>
            <w:shd w:val="clear" w:color="auto" w:fill="auto"/>
            <w:noWrap/>
            <w:vAlign w:val="bottom"/>
            <w:hideMark/>
          </w:tcPr>
          <w:p w14:paraId="4B2996D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235.40</w:t>
            </w:r>
          </w:p>
        </w:tc>
      </w:tr>
      <w:tr w:rsidR="00A0308E" w:rsidRPr="003B10E2" w14:paraId="5980B015"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4F56EA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QingYue Optoelectronics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6A2F58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24B2155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21.36</w:t>
            </w:r>
          </w:p>
        </w:tc>
        <w:tc>
          <w:tcPr>
            <w:tcW w:w="1418" w:type="dxa"/>
            <w:tcBorders>
              <w:top w:val="nil"/>
              <w:left w:val="nil"/>
              <w:bottom w:val="single" w:sz="4" w:space="0" w:color="000000"/>
              <w:right w:val="single" w:sz="4" w:space="0" w:color="000000"/>
            </w:tcBorders>
            <w:shd w:val="clear" w:color="auto" w:fill="auto"/>
            <w:noWrap/>
            <w:vAlign w:val="bottom"/>
            <w:hideMark/>
          </w:tcPr>
          <w:p w14:paraId="5EEA31A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184.98</w:t>
            </w:r>
          </w:p>
        </w:tc>
      </w:tr>
      <w:tr w:rsidR="00A0308E" w:rsidRPr="003B10E2" w14:paraId="66E1DC5A"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8F0079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Recodeal Interconnect System,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B60369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856.08</w:t>
            </w:r>
          </w:p>
        </w:tc>
        <w:tc>
          <w:tcPr>
            <w:tcW w:w="957" w:type="dxa"/>
            <w:tcBorders>
              <w:top w:val="nil"/>
              <w:left w:val="nil"/>
              <w:bottom w:val="single" w:sz="4" w:space="0" w:color="000000"/>
              <w:right w:val="single" w:sz="4" w:space="0" w:color="000000"/>
            </w:tcBorders>
            <w:shd w:val="clear" w:color="auto" w:fill="auto"/>
            <w:noWrap/>
            <w:vAlign w:val="bottom"/>
            <w:hideMark/>
          </w:tcPr>
          <w:p w14:paraId="651C5AE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56.64</w:t>
            </w:r>
          </w:p>
        </w:tc>
        <w:tc>
          <w:tcPr>
            <w:tcW w:w="1418" w:type="dxa"/>
            <w:tcBorders>
              <w:top w:val="nil"/>
              <w:left w:val="nil"/>
              <w:bottom w:val="single" w:sz="4" w:space="0" w:color="000000"/>
              <w:right w:val="single" w:sz="4" w:space="0" w:color="000000"/>
            </w:tcBorders>
            <w:shd w:val="clear" w:color="auto" w:fill="auto"/>
            <w:noWrap/>
            <w:vAlign w:val="bottom"/>
            <w:hideMark/>
          </w:tcPr>
          <w:p w14:paraId="0BD78A5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267.01</w:t>
            </w:r>
          </w:p>
        </w:tc>
      </w:tr>
      <w:tr w:rsidR="00A0308E" w:rsidRPr="003B10E2" w14:paraId="269B8FDE"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1CF58D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Secote Precision Electronic,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A90ECE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1 049.60</w:t>
            </w:r>
          </w:p>
        </w:tc>
        <w:tc>
          <w:tcPr>
            <w:tcW w:w="957" w:type="dxa"/>
            <w:tcBorders>
              <w:top w:val="nil"/>
              <w:left w:val="nil"/>
              <w:bottom w:val="single" w:sz="4" w:space="0" w:color="000000"/>
              <w:right w:val="single" w:sz="4" w:space="0" w:color="000000"/>
            </w:tcBorders>
            <w:shd w:val="clear" w:color="auto" w:fill="auto"/>
            <w:noWrap/>
            <w:vAlign w:val="bottom"/>
            <w:hideMark/>
          </w:tcPr>
          <w:p w14:paraId="74DD32D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41.24</w:t>
            </w:r>
          </w:p>
        </w:tc>
        <w:tc>
          <w:tcPr>
            <w:tcW w:w="1418" w:type="dxa"/>
            <w:tcBorders>
              <w:top w:val="nil"/>
              <w:left w:val="nil"/>
              <w:bottom w:val="single" w:sz="4" w:space="0" w:color="000000"/>
              <w:right w:val="single" w:sz="4" w:space="0" w:color="000000"/>
            </w:tcBorders>
            <w:shd w:val="clear" w:color="auto" w:fill="auto"/>
            <w:noWrap/>
            <w:vAlign w:val="bottom"/>
            <w:hideMark/>
          </w:tcPr>
          <w:p w14:paraId="64F503B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119.19</w:t>
            </w:r>
          </w:p>
        </w:tc>
      </w:tr>
      <w:tr w:rsidR="00A0308E" w:rsidRPr="003B10E2" w14:paraId="3911F075"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8EB071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Shihua New Material Technology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B7B2C0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458.31</w:t>
            </w:r>
          </w:p>
        </w:tc>
        <w:tc>
          <w:tcPr>
            <w:tcW w:w="957" w:type="dxa"/>
            <w:tcBorders>
              <w:top w:val="nil"/>
              <w:left w:val="nil"/>
              <w:bottom w:val="single" w:sz="4" w:space="0" w:color="000000"/>
              <w:right w:val="single" w:sz="4" w:space="0" w:color="000000"/>
            </w:tcBorders>
            <w:shd w:val="clear" w:color="auto" w:fill="auto"/>
            <w:noWrap/>
            <w:vAlign w:val="bottom"/>
            <w:hideMark/>
          </w:tcPr>
          <w:p w14:paraId="2F56123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19.04</w:t>
            </w:r>
          </w:p>
        </w:tc>
        <w:tc>
          <w:tcPr>
            <w:tcW w:w="1418" w:type="dxa"/>
            <w:tcBorders>
              <w:top w:val="nil"/>
              <w:left w:val="nil"/>
              <w:bottom w:val="single" w:sz="4" w:space="0" w:color="000000"/>
              <w:right w:val="single" w:sz="4" w:space="0" w:color="000000"/>
            </w:tcBorders>
            <w:shd w:val="clear" w:color="auto" w:fill="auto"/>
            <w:noWrap/>
            <w:vAlign w:val="bottom"/>
            <w:hideMark/>
          </w:tcPr>
          <w:p w14:paraId="1405AED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40.54</w:t>
            </w:r>
          </w:p>
        </w:tc>
      </w:tr>
      <w:tr w:rsidR="00A0308E" w:rsidRPr="003B10E2" w14:paraId="48363FD5"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0429DB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TZTEK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6A9F7F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1 117.90</w:t>
            </w:r>
          </w:p>
        </w:tc>
        <w:tc>
          <w:tcPr>
            <w:tcW w:w="957" w:type="dxa"/>
            <w:tcBorders>
              <w:top w:val="nil"/>
              <w:left w:val="nil"/>
              <w:bottom w:val="single" w:sz="4" w:space="0" w:color="000000"/>
              <w:right w:val="single" w:sz="4" w:space="0" w:color="000000"/>
            </w:tcBorders>
            <w:shd w:val="clear" w:color="auto" w:fill="auto"/>
            <w:noWrap/>
            <w:vAlign w:val="bottom"/>
            <w:hideMark/>
          </w:tcPr>
          <w:p w14:paraId="119B4B5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41.26</w:t>
            </w:r>
          </w:p>
        </w:tc>
        <w:tc>
          <w:tcPr>
            <w:tcW w:w="1418" w:type="dxa"/>
            <w:tcBorders>
              <w:top w:val="nil"/>
              <w:left w:val="nil"/>
              <w:bottom w:val="single" w:sz="4" w:space="0" w:color="000000"/>
              <w:right w:val="single" w:sz="4" w:space="0" w:color="000000"/>
            </w:tcBorders>
            <w:shd w:val="clear" w:color="auto" w:fill="auto"/>
            <w:noWrap/>
            <w:vAlign w:val="bottom"/>
            <w:hideMark/>
          </w:tcPr>
          <w:p w14:paraId="0DA6848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218.14</w:t>
            </w:r>
          </w:p>
        </w:tc>
      </w:tr>
      <w:tr w:rsidR="00A0308E" w:rsidRPr="003B10E2" w14:paraId="156B73BA"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43B9AC9"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Suzhou UIGreen,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5DADFD3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995.09</w:t>
            </w:r>
          </w:p>
        </w:tc>
        <w:tc>
          <w:tcPr>
            <w:tcW w:w="957" w:type="dxa"/>
            <w:tcBorders>
              <w:top w:val="nil"/>
              <w:left w:val="nil"/>
              <w:bottom w:val="single" w:sz="4" w:space="0" w:color="000000"/>
              <w:right w:val="single" w:sz="4" w:space="0" w:color="000000"/>
            </w:tcBorders>
            <w:shd w:val="clear" w:color="auto" w:fill="auto"/>
            <w:noWrap/>
            <w:vAlign w:val="bottom"/>
            <w:hideMark/>
          </w:tcPr>
          <w:p w14:paraId="76D80BE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88.88</w:t>
            </w:r>
          </w:p>
        </w:tc>
        <w:tc>
          <w:tcPr>
            <w:tcW w:w="1418" w:type="dxa"/>
            <w:tcBorders>
              <w:top w:val="nil"/>
              <w:left w:val="nil"/>
              <w:bottom w:val="single" w:sz="4" w:space="0" w:color="000000"/>
              <w:right w:val="single" w:sz="4" w:space="0" w:color="000000"/>
            </w:tcBorders>
            <w:shd w:val="clear" w:color="auto" w:fill="auto"/>
            <w:noWrap/>
            <w:vAlign w:val="bottom"/>
            <w:hideMark/>
          </w:tcPr>
          <w:p w14:paraId="594DB6D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141.48</w:t>
            </w:r>
          </w:p>
        </w:tc>
      </w:tr>
      <w:tr w:rsidR="00A0308E" w:rsidRPr="003B10E2" w14:paraId="42C58B11"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6436D7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Weizhixiang Food,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3CACE8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568.19</w:t>
            </w:r>
          </w:p>
        </w:tc>
        <w:tc>
          <w:tcPr>
            <w:tcW w:w="957" w:type="dxa"/>
            <w:tcBorders>
              <w:top w:val="nil"/>
              <w:left w:val="nil"/>
              <w:bottom w:val="single" w:sz="4" w:space="0" w:color="000000"/>
              <w:right w:val="single" w:sz="4" w:space="0" w:color="000000"/>
            </w:tcBorders>
            <w:shd w:val="clear" w:color="auto" w:fill="auto"/>
            <w:noWrap/>
            <w:vAlign w:val="bottom"/>
            <w:hideMark/>
          </w:tcPr>
          <w:p w14:paraId="46623DF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40.60</w:t>
            </w:r>
          </w:p>
        </w:tc>
        <w:tc>
          <w:tcPr>
            <w:tcW w:w="1418" w:type="dxa"/>
            <w:tcBorders>
              <w:top w:val="nil"/>
              <w:left w:val="nil"/>
              <w:bottom w:val="single" w:sz="4" w:space="0" w:color="000000"/>
              <w:right w:val="single" w:sz="4" w:space="0" w:color="000000"/>
            </w:tcBorders>
            <w:shd w:val="clear" w:color="auto" w:fill="auto"/>
            <w:noWrap/>
            <w:vAlign w:val="bottom"/>
            <w:hideMark/>
          </w:tcPr>
          <w:p w14:paraId="41F0825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32.02</w:t>
            </w:r>
          </w:p>
        </w:tc>
      </w:tr>
      <w:tr w:rsidR="00A0308E" w:rsidRPr="003B10E2" w14:paraId="255C4BAB"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F74D2E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Xingye Materials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FCAFB6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328.12</w:t>
            </w:r>
          </w:p>
        </w:tc>
        <w:tc>
          <w:tcPr>
            <w:tcW w:w="957" w:type="dxa"/>
            <w:tcBorders>
              <w:top w:val="nil"/>
              <w:left w:val="nil"/>
              <w:bottom w:val="single" w:sz="4" w:space="0" w:color="000000"/>
              <w:right w:val="single" w:sz="4" w:space="0" w:color="000000"/>
            </w:tcBorders>
            <w:shd w:val="clear" w:color="auto" w:fill="auto"/>
            <w:noWrap/>
            <w:vAlign w:val="bottom"/>
            <w:hideMark/>
          </w:tcPr>
          <w:p w14:paraId="191C377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11.63</w:t>
            </w:r>
          </w:p>
        </w:tc>
        <w:tc>
          <w:tcPr>
            <w:tcW w:w="1418" w:type="dxa"/>
            <w:tcBorders>
              <w:top w:val="nil"/>
              <w:left w:val="nil"/>
              <w:bottom w:val="single" w:sz="4" w:space="0" w:color="000000"/>
              <w:right w:val="single" w:sz="4" w:space="0" w:color="000000"/>
            </w:tcBorders>
            <w:shd w:val="clear" w:color="auto" w:fill="auto"/>
            <w:noWrap/>
            <w:vAlign w:val="bottom"/>
            <w:hideMark/>
          </w:tcPr>
          <w:p w14:paraId="6A89039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18.11</w:t>
            </w:r>
          </w:p>
        </w:tc>
      </w:tr>
      <w:tr w:rsidR="00A0308E" w:rsidRPr="003B10E2" w14:paraId="5A913C95"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0CFAA5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Zelgen Biopharmaceutical,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9C7004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1 650.49</w:t>
            </w:r>
          </w:p>
        </w:tc>
        <w:tc>
          <w:tcPr>
            <w:tcW w:w="957" w:type="dxa"/>
            <w:tcBorders>
              <w:top w:val="nil"/>
              <w:left w:val="nil"/>
              <w:bottom w:val="single" w:sz="4" w:space="0" w:color="000000"/>
              <w:right w:val="single" w:sz="4" w:space="0" w:color="000000"/>
            </w:tcBorders>
            <w:shd w:val="clear" w:color="auto" w:fill="auto"/>
            <w:noWrap/>
            <w:vAlign w:val="bottom"/>
            <w:hideMark/>
          </w:tcPr>
          <w:p w14:paraId="0261BB5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49.14</w:t>
            </w:r>
          </w:p>
        </w:tc>
        <w:tc>
          <w:tcPr>
            <w:tcW w:w="1418" w:type="dxa"/>
            <w:tcBorders>
              <w:top w:val="nil"/>
              <w:left w:val="nil"/>
              <w:bottom w:val="single" w:sz="4" w:space="0" w:color="000000"/>
              <w:right w:val="single" w:sz="4" w:space="0" w:color="000000"/>
            </w:tcBorders>
            <w:shd w:val="clear" w:color="auto" w:fill="auto"/>
            <w:noWrap/>
            <w:vAlign w:val="bottom"/>
            <w:hideMark/>
          </w:tcPr>
          <w:p w14:paraId="7A5CF0D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118.64</w:t>
            </w:r>
          </w:p>
        </w:tc>
      </w:tr>
      <w:tr w:rsidR="00A0308E" w:rsidRPr="003B10E2" w14:paraId="638611BD"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0CDF91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Swancor Advanced Materials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8D8F25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442.95</w:t>
            </w:r>
          </w:p>
        </w:tc>
        <w:tc>
          <w:tcPr>
            <w:tcW w:w="957" w:type="dxa"/>
            <w:tcBorders>
              <w:top w:val="nil"/>
              <w:left w:val="nil"/>
              <w:bottom w:val="single" w:sz="4" w:space="0" w:color="000000"/>
              <w:right w:val="single" w:sz="4" w:space="0" w:color="000000"/>
            </w:tcBorders>
            <w:shd w:val="clear" w:color="auto" w:fill="auto"/>
            <w:noWrap/>
            <w:vAlign w:val="bottom"/>
            <w:hideMark/>
          </w:tcPr>
          <w:p w14:paraId="45D4F1E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7.85</w:t>
            </w:r>
          </w:p>
        </w:tc>
        <w:tc>
          <w:tcPr>
            <w:tcW w:w="1418" w:type="dxa"/>
            <w:tcBorders>
              <w:top w:val="nil"/>
              <w:left w:val="nil"/>
              <w:bottom w:val="single" w:sz="4" w:space="0" w:color="000000"/>
              <w:right w:val="single" w:sz="4" w:space="0" w:color="000000"/>
            </w:tcBorders>
            <w:shd w:val="clear" w:color="auto" w:fill="auto"/>
            <w:noWrap/>
            <w:vAlign w:val="bottom"/>
            <w:hideMark/>
          </w:tcPr>
          <w:p w14:paraId="15511B0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5.39</w:t>
            </w:r>
          </w:p>
        </w:tc>
      </w:tr>
      <w:tr w:rsidR="00A0308E" w:rsidRPr="003B10E2" w14:paraId="70770D23"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9635CB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SWS Hemodialysis Care,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3E8EF9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7A3D1BA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52.46</w:t>
            </w:r>
          </w:p>
        </w:tc>
        <w:tc>
          <w:tcPr>
            <w:tcW w:w="1418" w:type="dxa"/>
            <w:tcBorders>
              <w:top w:val="nil"/>
              <w:left w:val="nil"/>
              <w:bottom w:val="single" w:sz="4" w:space="0" w:color="000000"/>
              <w:right w:val="single" w:sz="4" w:space="0" w:color="000000"/>
            </w:tcBorders>
            <w:shd w:val="clear" w:color="auto" w:fill="auto"/>
            <w:noWrap/>
            <w:vAlign w:val="bottom"/>
            <w:hideMark/>
          </w:tcPr>
          <w:p w14:paraId="155B73D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81.10</w:t>
            </w:r>
          </w:p>
        </w:tc>
      </w:tr>
      <w:tr w:rsidR="00A0308E" w:rsidRPr="003B10E2" w14:paraId="2E2F43EF"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23FED5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Taiyuan Chemical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981766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290.84</w:t>
            </w:r>
          </w:p>
        </w:tc>
        <w:tc>
          <w:tcPr>
            <w:tcW w:w="957" w:type="dxa"/>
            <w:tcBorders>
              <w:top w:val="nil"/>
              <w:left w:val="nil"/>
              <w:bottom w:val="single" w:sz="4" w:space="0" w:color="000000"/>
              <w:right w:val="single" w:sz="4" w:space="0" w:color="000000"/>
            </w:tcBorders>
            <w:shd w:val="clear" w:color="auto" w:fill="auto"/>
            <w:noWrap/>
            <w:vAlign w:val="bottom"/>
            <w:hideMark/>
          </w:tcPr>
          <w:p w14:paraId="46A9208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4.04</w:t>
            </w:r>
          </w:p>
        </w:tc>
        <w:tc>
          <w:tcPr>
            <w:tcW w:w="1418" w:type="dxa"/>
            <w:tcBorders>
              <w:top w:val="nil"/>
              <w:left w:val="nil"/>
              <w:bottom w:val="single" w:sz="4" w:space="0" w:color="000000"/>
              <w:right w:val="single" w:sz="4" w:space="0" w:color="000000"/>
            </w:tcBorders>
            <w:shd w:val="clear" w:color="auto" w:fill="auto"/>
            <w:noWrap/>
            <w:vAlign w:val="bottom"/>
            <w:hideMark/>
          </w:tcPr>
          <w:p w14:paraId="6152526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6.00</w:t>
            </w:r>
          </w:p>
        </w:tc>
      </w:tr>
      <w:tr w:rsidR="00A0308E" w:rsidRPr="003B10E2" w14:paraId="3D9116FC"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64DE27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Taiyuan Lionhead Cement,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4F6DE3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212.44</w:t>
            </w:r>
          </w:p>
        </w:tc>
        <w:tc>
          <w:tcPr>
            <w:tcW w:w="957" w:type="dxa"/>
            <w:tcBorders>
              <w:top w:val="nil"/>
              <w:left w:val="nil"/>
              <w:bottom w:val="single" w:sz="4" w:space="0" w:color="000000"/>
              <w:right w:val="single" w:sz="4" w:space="0" w:color="000000"/>
            </w:tcBorders>
            <w:shd w:val="clear" w:color="auto" w:fill="auto"/>
            <w:noWrap/>
            <w:vAlign w:val="bottom"/>
            <w:hideMark/>
          </w:tcPr>
          <w:p w14:paraId="1DB84AD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6.60</w:t>
            </w:r>
          </w:p>
        </w:tc>
        <w:tc>
          <w:tcPr>
            <w:tcW w:w="1418" w:type="dxa"/>
            <w:tcBorders>
              <w:top w:val="nil"/>
              <w:left w:val="nil"/>
              <w:bottom w:val="single" w:sz="4" w:space="0" w:color="000000"/>
              <w:right w:val="single" w:sz="4" w:space="0" w:color="000000"/>
            </w:tcBorders>
            <w:shd w:val="clear" w:color="auto" w:fill="auto"/>
            <w:noWrap/>
            <w:vAlign w:val="bottom"/>
            <w:hideMark/>
          </w:tcPr>
          <w:p w14:paraId="421BBF9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13.26</w:t>
            </w:r>
          </w:p>
        </w:tc>
      </w:tr>
      <w:tr w:rsidR="00A0308E" w:rsidRPr="003B10E2" w14:paraId="5D464735"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22B9E50"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Tande,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5E65119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520.01</w:t>
            </w:r>
          </w:p>
        </w:tc>
        <w:tc>
          <w:tcPr>
            <w:tcW w:w="957" w:type="dxa"/>
            <w:tcBorders>
              <w:top w:val="nil"/>
              <w:left w:val="nil"/>
              <w:bottom w:val="single" w:sz="4" w:space="0" w:color="000000"/>
              <w:right w:val="single" w:sz="4" w:space="0" w:color="000000"/>
            </w:tcBorders>
            <w:shd w:val="clear" w:color="auto" w:fill="auto"/>
            <w:noWrap/>
            <w:vAlign w:val="bottom"/>
            <w:hideMark/>
          </w:tcPr>
          <w:p w14:paraId="6660C65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4.30</w:t>
            </w:r>
          </w:p>
        </w:tc>
        <w:tc>
          <w:tcPr>
            <w:tcW w:w="1418" w:type="dxa"/>
            <w:tcBorders>
              <w:top w:val="nil"/>
              <w:left w:val="nil"/>
              <w:bottom w:val="single" w:sz="4" w:space="0" w:color="000000"/>
              <w:right w:val="single" w:sz="4" w:space="0" w:color="000000"/>
            </w:tcBorders>
            <w:shd w:val="clear" w:color="auto" w:fill="auto"/>
            <w:noWrap/>
            <w:vAlign w:val="bottom"/>
            <w:hideMark/>
          </w:tcPr>
          <w:p w14:paraId="29A5EB7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96.58</w:t>
            </w:r>
          </w:p>
        </w:tc>
      </w:tr>
      <w:tr w:rsidR="00A0308E" w:rsidRPr="003B10E2" w14:paraId="62D1FC04"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C26B17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Tangshan Port Group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372193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2 977.27</w:t>
            </w:r>
          </w:p>
        </w:tc>
        <w:tc>
          <w:tcPr>
            <w:tcW w:w="957" w:type="dxa"/>
            <w:tcBorders>
              <w:top w:val="nil"/>
              <w:left w:val="nil"/>
              <w:bottom w:val="single" w:sz="4" w:space="0" w:color="000000"/>
              <w:right w:val="single" w:sz="4" w:space="0" w:color="000000"/>
            </w:tcBorders>
            <w:shd w:val="clear" w:color="auto" w:fill="auto"/>
            <w:noWrap/>
            <w:vAlign w:val="bottom"/>
            <w:hideMark/>
          </w:tcPr>
          <w:p w14:paraId="6B3D17E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3.59</w:t>
            </w:r>
          </w:p>
        </w:tc>
        <w:tc>
          <w:tcPr>
            <w:tcW w:w="1418" w:type="dxa"/>
            <w:tcBorders>
              <w:top w:val="nil"/>
              <w:left w:val="nil"/>
              <w:bottom w:val="single" w:sz="4" w:space="0" w:color="000000"/>
              <w:right w:val="single" w:sz="4" w:space="0" w:color="000000"/>
            </w:tcBorders>
            <w:shd w:val="clear" w:color="auto" w:fill="auto"/>
            <w:noWrap/>
            <w:vAlign w:val="bottom"/>
            <w:hideMark/>
          </w:tcPr>
          <w:p w14:paraId="21CA23F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129.11</w:t>
            </w:r>
          </w:p>
        </w:tc>
      </w:tr>
      <w:tr w:rsidR="00A0308E" w:rsidRPr="003B10E2" w14:paraId="3F5A9AA8"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CBDFE0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Tangshan Sanyou Chemical Industries,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FC6D41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1 536.96</w:t>
            </w:r>
          </w:p>
        </w:tc>
        <w:tc>
          <w:tcPr>
            <w:tcW w:w="957" w:type="dxa"/>
            <w:tcBorders>
              <w:top w:val="nil"/>
              <w:left w:val="nil"/>
              <w:bottom w:val="single" w:sz="4" w:space="0" w:color="000000"/>
              <w:right w:val="single" w:sz="4" w:space="0" w:color="000000"/>
            </w:tcBorders>
            <w:shd w:val="clear" w:color="auto" w:fill="auto"/>
            <w:noWrap/>
            <w:vAlign w:val="bottom"/>
            <w:hideMark/>
          </w:tcPr>
          <w:p w14:paraId="59C4559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5.32</w:t>
            </w:r>
          </w:p>
        </w:tc>
        <w:tc>
          <w:tcPr>
            <w:tcW w:w="1418" w:type="dxa"/>
            <w:tcBorders>
              <w:top w:val="nil"/>
              <w:left w:val="nil"/>
              <w:bottom w:val="single" w:sz="4" w:space="0" w:color="000000"/>
              <w:right w:val="single" w:sz="4" w:space="0" w:color="000000"/>
            </w:tcBorders>
            <w:shd w:val="clear" w:color="auto" w:fill="auto"/>
            <w:noWrap/>
            <w:vAlign w:val="bottom"/>
            <w:hideMark/>
          </w:tcPr>
          <w:p w14:paraId="5C157C9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60.97</w:t>
            </w:r>
          </w:p>
        </w:tc>
      </w:tr>
      <w:tr w:rsidR="00A0308E" w:rsidRPr="003B10E2" w14:paraId="1858F038"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1EBF00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Tangshan Sunfar Silicon Industries,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36423F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527.01</w:t>
            </w:r>
          </w:p>
        </w:tc>
        <w:tc>
          <w:tcPr>
            <w:tcW w:w="957" w:type="dxa"/>
            <w:tcBorders>
              <w:top w:val="nil"/>
              <w:left w:val="nil"/>
              <w:bottom w:val="single" w:sz="4" w:space="0" w:color="000000"/>
              <w:right w:val="single" w:sz="4" w:space="0" w:color="000000"/>
            </w:tcBorders>
            <w:shd w:val="clear" w:color="auto" w:fill="auto"/>
            <w:noWrap/>
            <w:vAlign w:val="bottom"/>
            <w:hideMark/>
          </w:tcPr>
          <w:p w14:paraId="53C3C7D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19.29</w:t>
            </w:r>
          </w:p>
        </w:tc>
        <w:tc>
          <w:tcPr>
            <w:tcW w:w="1418" w:type="dxa"/>
            <w:tcBorders>
              <w:top w:val="nil"/>
              <w:left w:val="nil"/>
              <w:bottom w:val="single" w:sz="4" w:space="0" w:color="000000"/>
              <w:right w:val="single" w:sz="4" w:space="0" w:color="000000"/>
            </w:tcBorders>
            <w:shd w:val="clear" w:color="auto" w:fill="auto"/>
            <w:noWrap/>
            <w:vAlign w:val="bottom"/>
            <w:hideMark/>
          </w:tcPr>
          <w:p w14:paraId="18D7580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32.53</w:t>
            </w:r>
          </w:p>
        </w:tc>
      </w:tr>
      <w:tr w:rsidR="00A0308E" w:rsidRPr="003B10E2" w14:paraId="02A00178"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704487F"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Tanyuan Technology,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6A5DF3C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211.37</w:t>
            </w:r>
          </w:p>
        </w:tc>
        <w:tc>
          <w:tcPr>
            <w:tcW w:w="957" w:type="dxa"/>
            <w:tcBorders>
              <w:top w:val="nil"/>
              <w:left w:val="nil"/>
              <w:bottom w:val="single" w:sz="4" w:space="0" w:color="000000"/>
              <w:right w:val="single" w:sz="4" w:space="0" w:color="000000"/>
            </w:tcBorders>
            <w:shd w:val="clear" w:color="auto" w:fill="auto"/>
            <w:noWrap/>
            <w:vAlign w:val="bottom"/>
            <w:hideMark/>
          </w:tcPr>
          <w:p w14:paraId="315EB3C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7.22</w:t>
            </w:r>
          </w:p>
        </w:tc>
        <w:tc>
          <w:tcPr>
            <w:tcW w:w="1418" w:type="dxa"/>
            <w:tcBorders>
              <w:top w:val="nil"/>
              <w:left w:val="nil"/>
              <w:bottom w:val="single" w:sz="4" w:space="0" w:color="000000"/>
              <w:right w:val="single" w:sz="4" w:space="0" w:color="000000"/>
            </w:tcBorders>
            <w:shd w:val="clear" w:color="auto" w:fill="auto"/>
            <w:noWrap/>
            <w:vAlign w:val="bottom"/>
            <w:hideMark/>
          </w:tcPr>
          <w:p w14:paraId="1923848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9.69</w:t>
            </w:r>
          </w:p>
        </w:tc>
      </w:tr>
      <w:tr w:rsidR="00A0308E" w:rsidRPr="003B10E2" w14:paraId="7C8B42EC"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F65049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Tasly Pharmaceutical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16D6D2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3 085.27</w:t>
            </w:r>
          </w:p>
        </w:tc>
        <w:tc>
          <w:tcPr>
            <w:tcW w:w="957" w:type="dxa"/>
            <w:tcBorders>
              <w:top w:val="nil"/>
              <w:left w:val="nil"/>
              <w:bottom w:val="single" w:sz="4" w:space="0" w:color="000000"/>
              <w:right w:val="single" w:sz="4" w:space="0" w:color="000000"/>
            </w:tcBorders>
            <w:shd w:val="clear" w:color="auto" w:fill="auto"/>
            <w:noWrap/>
            <w:vAlign w:val="bottom"/>
            <w:hideMark/>
          </w:tcPr>
          <w:p w14:paraId="0E010AF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14.62</w:t>
            </w:r>
          </w:p>
        </w:tc>
        <w:tc>
          <w:tcPr>
            <w:tcW w:w="1418" w:type="dxa"/>
            <w:tcBorders>
              <w:top w:val="nil"/>
              <w:left w:val="nil"/>
              <w:bottom w:val="single" w:sz="4" w:space="0" w:color="000000"/>
              <w:right w:val="single" w:sz="4" w:space="0" w:color="000000"/>
            </w:tcBorders>
            <w:shd w:val="clear" w:color="auto" w:fill="auto"/>
            <w:noWrap/>
            <w:vAlign w:val="bottom"/>
            <w:hideMark/>
          </w:tcPr>
          <w:p w14:paraId="590DABF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161.31</w:t>
            </w:r>
          </w:p>
        </w:tc>
      </w:tr>
      <w:tr w:rsidR="00A0308E" w:rsidRPr="003B10E2" w14:paraId="0B22D087"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5936547"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TBEA,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02A10CE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11 998.45</w:t>
            </w:r>
          </w:p>
        </w:tc>
        <w:tc>
          <w:tcPr>
            <w:tcW w:w="957" w:type="dxa"/>
            <w:tcBorders>
              <w:top w:val="nil"/>
              <w:left w:val="nil"/>
              <w:bottom w:val="single" w:sz="4" w:space="0" w:color="000000"/>
              <w:right w:val="single" w:sz="4" w:space="0" w:color="000000"/>
            </w:tcBorders>
            <w:shd w:val="clear" w:color="auto" w:fill="auto"/>
            <w:noWrap/>
            <w:vAlign w:val="bottom"/>
            <w:hideMark/>
          </w:tcPr>
          <w:p w14:paraId="777948B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22.63</w:t>
            </w:r>
          </w:p>
        </w:tc>
        <w:tc>
          <w:tcPr>
            <w:tcW w:w="1418" w:type="dxa"/>
            <w:tcBorders>
              <w:top w:val="nil"/>
              <w:left w:val="nil"/>
              <w:bottom w:val="single" w:sz="4" w:space="0" w:color="000000"/>
              <w:right w:val="single" w:sz="4" w:space="0" w:color="000000"/>
            </w:tcBorders>
            <w:shd w:val="clear" w:color="auto" w:fill="auto"/>
            <w:noWrap/>
            <w:vAlign w:val="bottom"/>
            <w:hideMark/>
          </w:tcPr>
          <w:p w14:paraId="02E7A14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626.38</w:t>
            </w:r>
          </w:p>
        </w:tc>
      </w:tr>
      <w:tr w:rsidR="00A0308E" w:rsidRPr="003B10E2" w14:paraId="632D2FF2"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1A67335"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TDG Holdings,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799E908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1 425.36</w:t>
            </w:r>
          </w:p>
        </w:tc>
        <w:tc>
          <w:tcPr>
            <w:tcW w:w="957" w:type="dxa"/>
            <w:tcBorders>
              <w:top w:val="nil"/>
              <w:left w:val="nil"/>
              <w:bottom w:val="single" w:sz="4" w:space="0" w:color="000000"/>
              <w:right w:val="single" w:sz="4" w:space="0" w:color="000000"/>
            </w:tcBorders>
            <w:shd w:val="clear" w:color="auto" w:fill="auto"/>
            <w:noWrap/>
            <w:vAlign w:val="bottom"/>
            <w:hideMark/>
          </w:tcPr>
          <w:p w14:paraId="531ABB1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10.22</w:t>
            </w:r>
          </w:p>
        </w:tc>
        <w:tc>
          <w:tcPr>
            <w:tcW w:w="1418" w:type="dxa"/>
            <w:tcBorders>
              <w:top w:val="nil"/>
              <w:left w:val="nil"/>
              <w:bottom w:val="single" w:sz="4" w:space="0" w:color="000000"/>
              <w:right w:val="single" w:sz="4" w:space="0" w:color="000000"/>
            </w:tcBorders>
            <w:shd w:val="clear" w:color="auto" w:fill="auto"/>
            <w:noWrap/>
            <w:vAlign w:val="bottom"/>
            <w:hideMark/>
          </w:tcPr>
          <w:p w14:paraId="438868E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490.55</w:t>
            </w:r>
          </w:p>
        </w:tc>
      </w:tr>
      <w:tr w:rsidR="00A0308E" w:rsidRPr="003B10E2" w14:paraId="54A54E59"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795426F"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Tederic Machinery,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14228F4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419.65</w:t>
            </w:r>
          </w:p>
        </w:tc>
        <w:tc>
          <w:tcPr>
            <w:tcW w:w="957" w:type="dxa"/>
            <w:tcBorders>
              <w:top w:val="nil"/>
              <w:left w:val="nil"/>
              <w:bottom w:val="single" w:sz="4" w:space="0" w:color="000000"/>
              <w:right w:val="single" w:sz="4" w:space="0" w:color="000000"/>
            </w:tcBorders>
            <w:shd w:val="clear" w:color="auto" w:fill="auto"/>
            <w:noWrap/>
            <w:vAlign w:val="bottom"/>
            <w:hideMark/>
          </w:tcPr>
          <w:p w14:paraId="0CDEEF9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10.14</w:t>
            </w:r>
          </w:p>
        </w:tc>
        <w:tc>
          <w:tcPr>
            <w:tcW w:w="1418" w:type="dxa"/>
            <w:tcBorders>
              <w:top w:val="nil"/>
              <w:left w:val="nil"/>
              <w:bottom w:val="single" w:sz="4" w:space="0" w:color="000000"/>
              <w:right w:val="single" w:sz="4" w:space="0" w:color="000000"/>
            </w:tcBorders>
            <w:shd w:val="clear" w:color="auto" w:fill="auto"/>
            <w:noWrap/>
            <w:vAlign w:val="bottom"/>
            <w:hideMark/>
          </w:tcPr>
          <w:p w14:paraId="5F9AE73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19.13</w:t>
            </w:r>
          </w:p>
        </w:tc>
      </w:tr>
      <w:tr w:rsidR="00A0308E" w:rsidRPr="003B10E2" w14:paraId="37953B1D"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4BB8199"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Tellhow Sci-Tech,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0867BF8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809.24</w:t>
            </w:r>
          </w:p>
        </w:tc>
        <w:tc>
          <w:tcPr>
            <w:tcW w:w="957" w:type="dxa"/>
            <w:tcBorders>
              <w:top w:val="nil"/>
              <w:left w:val="nil"/>
              <w:bottom w:val="single" w:sz="4" w:space="0" w:color="000000"/>
              <w:right w:val="single" w:sz="4" w:space="0" w:color="000000"/>
            </w:tcBorders>
            <w:shd w:val="clear" w:color="auto" w:fill="auto"/>
            <w:noWrap/>
            <w:vAlign w:val="bottom"/>
            <w:hideMark/>
          </w:tcPr>
          <w:p w14:paraId="0F2C261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6.78</w:t>
            </w:r>
          </w:p>
        </w:tc>
        <w:tc>
          <w:tcPr>
            <w:tcW w:w="1418" w:type="dxa"/>
            <w:tcBorders>
              <w:top w:val="nil"/>
              <w:left w:val="nil"/>
              <w:bottom w:val="single" w:sz="4" w:space="0" w:color="000000"/>
              <w:right w:val="single" w:sz="4" w:space="0" w:color="000000"/>
            </w:tcBorders>
            <w:shd w:val="clear" w:color="auto" w:fill="auto"/>
            <w:noWrap/>
            <w:vAlign w:val="bottom"/>
            <w:hideMark/>
          </w:tcPr>
          <w:p w14:paraId="2BBE1E1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75.47</w:t>
            </w:r>
          </w:p>
        </w:tc>
      </w:tr>
      <w:tr w:rsidR="00A0308E" w:rsidRPr="003B10E2" w14:paraId="5ADD3F29"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3098A7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Tengda Construction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011191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604.16</w:t>
            </w:r>
          </w:p>
        </w:tc>
        <w:tc>
          <w:tcPr>
            <w:tcW w:w="957" w:type="dxa"/>
            <w:tcBorders>
              <w:top w:val="nil"/>
              <w:left w:val="nil"/>
              <w:bottom w:val="single" w:sz="4" w:space="0" w:color="000000"/>
              <w:right w:val="single" w:sz="4" w:space="0" w:color="000000"/>
            </w:tcBorders>
            <w:shd w:val="clear" w:color="auto" w:fill="auto"/>
            <w:noWrap/>
            <w:vAlign w:val="bottom"/>
            <w:hideMark/>
          </w:tcPr>
          <w:p w14:paraId="3AFD8EB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2.70</w:t>
            </w:r>
          </w:p>
        </w:tc>
        <w:tc>
          <w:tcPr>
            <w:tcW w:w="1418" w:type="dxa"/>
            <w:tcBorders>
              <w:top w:val="nil"/>
              <w:left w:val="nil"/>
              <w:bottom w:val="single" w:sz="4" w:space="0" w:color="000000"/>
              <w:right w:val="single" w:sz="4" w:space="0" w:color="000000"/>
            </w:tcBorders>
            <w:shd w:val="clear" w:color="auto" w:fill="auto"/>
            <w:noWrap/>
            <w:vAlign w:val="bottom"/>
            <w:hideMark/>
          </w:tcPr>
          <w:p w14:paraId="2C58846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33.70</w:t>
            </w:r>
          </w:p>
        </w:tc>
      </w:tr>
      <w:tr w:rsidR="00A0308E" w:rsidRPr="003B10E2" w14:paraId="7A5200D5"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4CCE18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Thalys Medical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2F41B5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280.32</w:t>
            </w:r>
          </w:p>
        </w:tc>
        <w:tc>
          <w:tcPr>
            <w:tcW w:w="957" w:type="dxa"/>
            <w:tcBorders>
              <w:top w:val="nil"/>
              <w:left w:val="nil"/>
              <w:bottom w:val="single" w:sz="4" w:space="0" w:color="000000"/>
              <w:right w:val="single" w:sz="4" w:space="0" w:color="000000"/>
            </w:tcBorders>
            <w:shd w:val="clear" w:color="auto" w:fill="auto"/>
            <w:noWrap/>
            <w:vAlign w:val="bottom"/>
            <w:hideMark/>
          </w:tcPr>
          <w:p w14:paraId="19CA57E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9.77</w:t>
            </w:r>
          </w:p>
        </w:tc>
        <w:tc>
          <w:tcPr>
            <w:tcW w:w="1418" w:type="dxa"/>
            <w:tcBorders>
              <w:top w:val="nil"/>
              <w:left w:val="nil"/>
              <w:bottom w:val="single" w:sz="4" w:space="0" w:color="000000"/>
              <w:right w:val="single" w:sz="4" w:space="0" w:color="000000"/>
            </w:tcBorders>
            <w:shd w:val="clear" w:color="auto" w:fill="auto"/>
            <w:noWrap/>
            <w:vAlign w:val="bottom"/>
            <w:hideMark/>
          </w:tcPr>
          <w:p w14:paraId="029A739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73.01</w:t>
            </w:r>
          </w:p>
        </w:tc>
      </w:tr>
      <w:tr w:rsidR="00A0308E" w:rsidRPr="003B10E2" w14:paraId="07596361"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6F6F16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The Pacific Securities,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A98D1B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2 470.68</w:t>
            </w:r>
          </w:p>
        </w:tc>
        <w:tc>
          <w:tcPr>
            <w:tcW w:w="957" w:type="dxa"/>
            <w:tcBorders>
              <w:top w:val="nil"/>
              <w:left w:val="nil"/>
              <w:bottom w:val="single" w:sz="4" w:space="0" w:color="000000"/>
              <w:right w:val="single" w:sz="4" w:space="0" w:color="000000"/>
            </w:tcBorders>
            <w:shd w:val="clear" w:color="auto" w:fill="auto"/>
            <w:noWrap/>
            <w:vAlign w:val="bottom"/>
            <w:hideMark/>
          </w:tcPr>
          <w:p w14:paraId="13B241A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2.59</w:t>
            </w:r>
          </w:p>
        </w:tc>
        <w:tc>
          <w:tcPr>
            <w:tcW w:w="1418" w:type="dxa"/>
            <w:tcBorders>
              <w:top w:val="nil"/>
              <w:left w:val="nil"/>
              <w:bottom w:val="single" w:sz="4" w:space="0" w:color="000000"/>
              <w:right w:val="single" w:sz="4" w:space="0" w:color="000000"/>
            </w:tcBorders>
            <w:shd w:val="clear" w:color="auto" w:fill="auto"/>
            <w:noWrap/>
            <w:vAlign w:val="bottom"/>
            <w:hideMark/>
          </w:tcPr>
          <w:p w14:paraId="388CA9C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53.92</w:t>
            </w:r>
          </w:p>
        </w:tc>
      </w:tr>
      <w:tr w:rsidR="00A0308E" w:rsidRPr="003B10E2" w14:paraId="4116B572"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B4622E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The People's Insurance Company (Group) of China,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CB6E22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30 353.55</w:t>
            </w:r>
          </w:p>
        </w:tc>
        <w:tc>
          <w:tcPr>
            <w:tcW w:w="957" w:type="dxa"/>
            <w:tcBorders>
              <w:top w:val="nil"/>
              <w:left w:val="nil"/>
              <w:bottom w:val="single" w:sz="4" w:space="0" w:color="000000"/>
              <w:right w:val="single" w:sz="4" w:space="0" w:color="000000"/>
            </w:tcBorders>
            <w:shd w:val="clear" w:color="auto" w:fill="auto"/>
            <w:noWrap/>
            <w:vAlign w:val="bottom"/>
            <w:hideMark/>
          </w:tcPr>
          <w:p w14:paraId="2F0D9B0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6.11</w:t>
            </w:r>
          </w:p>
        </w:tc>
        <w:tc>
          <w:tcPr>
            <w:tcW w:w="1418" w:type="dxa"/>
            <w:tcBorders>
              <w:top w:val="nil"/>
              <w:left w:val="nil"/>
              <w:bottom w:val="single" w:sz="4" w:space="0" w:color="000000"/>
              <w:right w:val="single" w:sz="4" w:space="0" w:color="000000"/>
            </w:tcBorders>
            <w:shd w:val="clear" w:color="auto" w:fill="auto"/>
            <w:noWrap/>
            <w:vAlign w:val="bottom"/>
            <w:hideMark/>
          </w:tcPr>
          <w:p w14:paraId="380208C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263.52</w:t>
            </w:r>
          </w:p>
        </w:tc>
      </w:tr>
      <w:tr w:rsidR="00A0308E" w:rsidRPr="003B10E2" w14:paraId="3EE4529D"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F3BAE6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Thinker Agricultural Machinery,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F9DA28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299.10</w:t>
            </w:r>
          </w:p>
        </w:tc>
        <w:tc>
          <w:tcPr>
            <w:tcW w:w="957" w:type="dxa"/>
            <w:tcBorders>
              <w:top w:val="nil"/>
              <w:left w:val="nil"/>
              <w:bottom w:val="single" w:sz="4" w:space="0" w:color="000000"/>
              <w:right w:val="single" w:sz="4" w:space="0" w:color="000000"/>
            </w:tcBorders>
            <w:shd w:val="clear" w:color="auto" w:fill="auto"/>
            <w:noWrap/>
            <w:vAlign w:val="bottom"/>
            <w:hideMark/>
          </w:tcPr>
          <w:p w14:paraId="6D7095A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8.22</w:t>
            </w:r>
          </w:p>
        </w:tc>
        <w:tc>
          <w:tcPr>
            <w:tcW w:w="1418" w:type="dxa"/>
            <w:tcBorders>
              <w:top w:val="nil"/>
              <w:left w:val="nil"/>
              <w:bottom w:val="single" w:sz="4" w:space="0" w:color="000000"/>
              <w:right w:val="single" w:sz="4" w:space="0" w:color="000000"/>
            </w:tcBorders>
            <w:shd w:val="clear" w:color="auto" w:fill="auto"/>
            <w:noWrap/>
            <w:vAlign w:val="bottom"/>
            <w:hideMark/>
          </w:tcPr>
          <w:p w14:paraId="13299FC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9.62</w:t>
            </w:r>
          </w:p>
        </w:tc>
      </w:tr>
      <w:tr w:rsidR="00A0308E" w:rsidRPr="003B10E2" w14:paraId="6364476F"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842346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Thinkingdom Media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EE0B49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511.47</w:t>
            </w:r>
          </w:p>
        </w:tc>
        <w:tc>
          <w:tcPr>
            <w:tcW w:w="957" w:type="dxa"/>
            <w:tcBorders>
              <w:top w:val="nil"/>
              <w:left w:val="nil"/>
              <w:bottom w:val="single" w:sz="4" w:space="0" w:color="000000"/>
              <w:right w:val="single" w:sz="4" w:space="0" w:color="000000"/>
            </w:tcBorders>
            <w:shd w:val="clear" w:color="auto" w:fill="auto"/>
            <w:noWrap/>
            <w:vAlign w:val="bottom"/>
            <w:hideMark/>
          </w:tcPr>
          <w:p w14:paraId="0D7E1ED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22.49</w:t>
            </w:r>
          </w:p>
        </w:tc>
        <w:tc>
          <w:tcPr>
            <w:tcW w:w="1418" w:type="dxa"/>
            <w:tcBorders>
              <w:top w:val="nil"/>
              <w:left w:val="nil"/>
              <w:bottom w:val="single" w:sz="4" w:space="0" w:color="000000"/>
              <w:right w:val="single" w:sz="4" w:space="0" w:color="000000"/>
            </w:tcBorders>
            <w:shd w:val="clear" w:color="auto" w:fill="auto"/>
            <w:noWrap/>
            <w:vAlign w:val="bottom"/>
            <w:hideMark/>
          </w:tcPr>
          <w:p w14:paraId="3A72DBB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83.70</w:t>
            </w:r>
          </w:p>
        </w:tc>
      </w:tr>
      <w:tr w:rsidR="00A0308E" w:rsidRPr="003B10E2" w14:paraId="398CB46E"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915578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Thinkon Semiconductor Jinzhou,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2CA8BB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795.58</w:t>
            </w:r>
          </w:p>
        </w:tc>
        <w:tc>
          <w:tcPr>
            <w:tcW w:w="957" w:type="dxa"/>
            <w:tcBorders>
              <w:top w:val="nil"/>
              <w:left w:val="nil"/>
              <w:bottom w:val="single" w:sz="4" w:space="0" w:color="000000"/>
              <w:right w:val="single" w:sz="4" w:space="0" w:color="000000"/>
            </w:tcBorders>
            <w:shd w:val="clear" w:color="auto" w:fill="auto"/>
            <w:noWrap/>
            <w:vAlign w:val="bottom"/>
            <w:hideMark/>
          </w:tcPr>
          <w:p w14:paraId="0F5F9B0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35.53</w:t>
            </w:r>
          </w:p>
        </w:tc>
        <w:tc>
          <w:tcPr>
            <w:tcW w:w="1418" w:type="dxa"/>
            <w:tcBorders>
              <w:top w:val="nil"/>
              <w:left w:val="nil"/>
              <w:bottom w:val="single" w:sz="4" w:space="0" w:color="000000"/>
              <w:right w:val="single" w:sz="4" w:space="0" w:color="000000"/>
            </w:tcBorders>
            <w:shd w:val="clear" w:color="auto" w:fill="auto"/>
            <w:noWrap/>
            <w:vAlign w:val="bottom"/>
            <w:hideMark/>
          </w:tcPr>
          <w:p w14:paraId="61CABB9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80.51</w:t>
            </w:r>
          </w:p>
        </w:tc>
      </w:tr>
      <w:tr w:rsidR="00A0308E" w:rsidRPr="003B10E2" w14:paraId="613D23D2"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5F2A87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Three's Company Media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936BD0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1 325.98</w:t>
            </w:r>
          </w:p>
        </w:tc>
        <w:tc>
          <w:tcPr>
            <w:tcW w:w="957" w:type="dxa"/>
            <w:tcBorders>
              <w:top w:val="nil"/>
              <w:left w:val="nil"/>
              <w:bottom w:val="single" w:sz="4" w:space="0" w:color="000000"/>
              <w:right w:val="single" w:sz="4" w:space="0" w:color="000000"/>
            </w:tcBorders>
            <w:shd w:val="clear" w:color="auto" w:fill="auto"/>
            <w:noWrap/>
            <w:vAlign w:val="bottom"/>
            <w:hideMark/>
          </w:tcPr>
          <w:p w14:paraId="33FE3B1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135.98</w:t>
            </w:r>
          </w:p>
        </w:tc>
        <w:tc>
          <w:tcPr>
            <w:tcW w:w="1418" w:type="dxa"/>
            <w:tcBorders>
              <w:top w:val="nil"/>
              <w:left w:val="nil"/>
              <w:bottom w:val="single" w:sz="4" w:space="0" w:color="000000"/>
              <w:right w:val="single" w:sz="4" w:space="0" w:color="000000"/>
            </w:tcBorders>
            <w:shd w:val="clear" w:color="auto" w:fill="auto"/>
            <w:noWrap/>
            <w:vAlign w:val="bottom"/>
            <w:hideMark/>
          </w:tcPr>
          <w:p w14:paraId="3B2DA5C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183.65</w:t>
            </w:r>
          </w:p>
        </w:tc>
      </w:tr>
      <w:tr w:rsidR="00A0308E" w:rsidRPr="003B10E2" w14:paraId="34E7801A"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194246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Tian Di Science &amp;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B45599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3 133.41</w:t>
            </w:r>
          </w:p>
        </w:tc>
        <w:tc>
          <w:tcPr>
            <w:tcW w:w="957" w:type="dxa"/>
            <w:tcBorders>
              <w:top w:val="nil"/>
              <w:left w:val="nil"/>
              <w:bottom w:val="single" w:sz="4" w:space="0" w:color="000000"/>
              <w:right w:val="single" w:sz="4" w:space="0" w:color="000000"/>
            </w:tcBorders>
            <w:shd w:val="clear" w:color="auto" w:fill="auto"/>
            <w:noWrap/>
            <w:vAlign w:val="bottom"/>
            <w:hideMark/>
          </w:tcPr>
          <w:p w14:paraId="1E8AA4F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5.41</w:t>
            </w:r>
          </w:p>
        </w:tc>
        <w:tc>
          <w:tcPr>
            <w:tcW w:w="1418" w:type="dxa"/>
            <w:tcBorders>
              <w:top w:val="nil"/>
              <w:left w:val="nil"/>
              <w:bottom w:val="single" w:sz="4" w:space="0" w:color="000000"/>
              <w:right w:val="single" w:sz="4" w:space="0" w:color="000000"/>
            </w:tcBorders>
            <w:shd w:val="clear" w:color="auto" w:fill="auto"/>
            <w:noWrap/>
            <w:vAlign w:val="bottom"/>
            <w:hideMark/>
          </w:tcPr>
          <w:p w14:paraId="47E8468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71.47</w:t>
            </w:r>
          </w:p>
        </w:tc>
      </w:tr>
      <w:tr w:rsidR="00A0308E" w:rsidRPr="003B10E2" w14:paraId="3BC5C24F"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02A44C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Tian Jin Global Magnetic Card,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09C7BC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594.10</w:t>
            </w:r>
          </w:p>
        </w:tc>
        <w:tc>
          <w:tcPr>
            <w:tcW w:w="957" w:type="dxa"/>
            <w:tcBorders>
              <w:top w:val="nil"/>
              <w:left w:val="nil"/>
              <w:bottom w:val="single" w:sz="4" w:space="0" w:color="000000"/>
              <w:right w:val="single" w:sz="4" w:space="0" w:color="000000"/>
            </w:tcBorders>
            <w:shd w:val="clear" w:color="auto" w:fill="auto"/>
            <w:noWrap/>
            <w:vAlign w:val="bottom"/>
            <w:hideMark/>
          </w:tcPr>
          <w:p w14:paraId="6E44543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3.58</w:t>
            </w:r>
          </w:p>
        </w:tc>
        <w:tc>
          <w:tcPr>
            <w:tcW w:w="1418" w:type="dxa"/>
            <w:tcBorders>
              <w:top w:val="nil"/>
              <w:left w:val="nil"/>
              <w:bottom w:val="single" w:sz="4" w:space="0" w:color="000000"/>
              <w:right w:val="single" w:sz="4" w:space="0" w:color="000000"/>
            </w:tcBorders>
            <w:shd w:val="clear" w:color="auto" w:fill="auto"/>
            <w:noWrap/>
            <w:vAlign w:val="bottom"/>
            <w:hideMark/>
          </w:tcPr>
          <w:p w14:paraId="4E5F5ED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12.05</w:t>
            </w:r>
          </w:p>
        </w:tc>
      </w:tr>
      <w:tr w:rsidR="00A0308E" w:rsidRPr="003B10E2" w14:paraId="3A4924EF"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CBC1BA1"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Tianfeng Securities,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477CBB8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3 626.14</w:t>
            </w:r>
          </w:p>
        </w:tc>
        <w:tc>
          <w:tcPr>
            <w:tcW w:w="957" w:type="dxa"/>
            <w:tcBorders>
              <w:top w:val="nil"/>
              <w:left w:val="nil"/>
              <w:bottom w:val="single" w:sz="4" w:space="0" w:color="000000"/>
              <w:right w:val="single" w:sz="4" w:space="0" w:color="000000"/>
            </w:tcBorders>
            <w:shd w:val="clear" w:color="auto" w:fill="auto"/>
            <w:noWrap/>
            <w:vAlign w:val="bottom"/>
            <w:hideMark/>
          </w:tcPr>
          <w:p w14:paraId="173384F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2.99</w:t>
            </w:r>
          </w:p>
        </w:tc>
        <w:tc>
          <w:tcPr>
            <w:tcW w:w="1418" w:type="dxa"/>
            <w:tcBorders>
              <w:top w:val="nil"/>
              <w:left w:val="nil"/>
              <w:bottom w:val="single" w:sz="4" w:space="0" w:color="000000"/>
              <w:right w:val="single" w:sz="4" w:space="0" w:color="000000"/>
            </w:tcBorders>
            <w:shd w:val="clear" w:color="auto" w:fill="auto"/>
            <w:noWrap/>
            <w:vAlign w:val="bottom"/>
            <w:hideMark/>
          </w:tcPr>
          <w:p w14:paraId="2E8187F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117.96</w:t>
            </w:r>
          </w:p>
        </w:tc>
      </w:tr>
      <w:tr w:rsidR="00A0308E" w:rsidRPr="003B10E2" w14:paraId="54D31773"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31AAC6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TianJin 712 Communication &amp; Broadcasting,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153F0F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2 967.86</w:t>
            </w:r>
          </w:p>
        </w:tc>
        <w:tc>
          <w:tcPr>
            <w:tcW w:w="957" w:type="dxa"/>
            <w:tcBorders>
              <w:top w:val="nil"/>
              <w:left w:val="nil"/>
              <w:bottom w:val="single" w:sz="4" w:space="0" w:color="000000"/>
              <w:right w:val="single" w:sz="4" w:space="0" w:color="000000"/>
            </w:tcBorders>
            <w:shd w:val="clear" w:color="auto" w:fill="auto"/>
            <w:noWrap/>
            <w:vAlign w:val="bottom"/>
            <w:hideMark/>
          </w:tcPr>
          <w:p w14:paraId="1C50D50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27.47</w:t>
            </w:r>
          </w:p>
        </w:tc>
        <w:tc>
          <w:tcPr>
            <w:tcW w:w="1418" w:type="dxa"/>
            <w:tcBorders>
              <w:top w:val="nil"/>
              <w:left w:val="nil"/>
              <w:bottom w:val="single" w:sz="4" w:space="0" w:color="000000"/>
              <w:right w:val="single" w:sz="4" w:space="0" w:color="000000"/>
            </w:tcBorders>
            <w:shd w:val="clear" w:color="auto" w:fill="auto"/>
            <w:noWrap/>
            <w:vAlign w:val="bottom"/>
            <w:hideMark/>
          </w:tcPr>
          <w:p w14:paraId="6409537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348.61</w:t>
            </w:r>
          </w:p>
        </w:tc>
      </w:tr>
      <w:tr w:rsidR="00A0308E" w:rsidRPr="003B10E2" w14:paraId="10B179B0"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1378B3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Tianjin Benefo Tejing Electric,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AE4A12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767.77</w:t>
            </w:r>
          </w:p>
        </w:tc>
        <w:tc>
          <w:tcPr>
            <w:tcW w:w="957" w:type="dxa"/>
            <w:tcBorders>
              <w:top w:val="nil"/>
              <w:left w:val="nil"/>
              <w:bottom w:val="single" w:sz="4" w:space="0" w:color="000000"/>
              <w:right w:val="single" w:sz="4" w:space="0" w:color="000000"/>
            </w:tcBorders>
            <w:shd w:val="clear" w:color="auto" w:fill="auto"/>
            <w:noWrap/>
            <w:vAlign w:val="bottom"/>
            <w:hideMark/>
          </w:tcPr>
          <w:p w14:paraId="0007761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4.89</w:t>
            </w:r>
          </w:p>
        </w:tc>
        <w:tc>
          <w:tcPr>
            <w:tcW w:w="1418" w:type="dxa"/>
            <w:tcBorders>
              <w:top w:val="nil"/>
              <w:left w:val="nil"/>
              <w:bottom w:val="single" w:sz="4" w:space="0" w:color="000000"/>
              <w:right w:val="single" w:sz="4" w:space="0" w:color="000000"/>
            </w:tcBorders>
            <w:shd w:val="clear" w:color="auto" w:fill="auto"/>
            <w:noWrap/>
            <w:vAlign w:val="bottom"/>
            <w:hideMark/>
          </w:tcPr>
          <w:p w14:paraId="394B16A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101.35</w:t>
            </w:r>
          </w:p>
        </w:tc>
      </w:tr>
      <w:tr w:rsidR="00A0308E" w:rsidRPr="003B10E2" w14:paraId="5C7DCBC0"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39614B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Tianjin Capital Environmental Protection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FA506F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893.15</w:t>
            </w:r>
          </w:p>
        </w:tc>
        <w:tc>
          <w:tcPr>
            <w:tcW w:w="957" w:type="dxa"/>
            <w:tcBorders>
              <w:top w:val="nil"/>
              <w:left w:val="nil"/>
              <w:bottom w:val="single" w:sz="4" w:space="0" w:color="000000"/>
              <w:right w:val="single" w:sz="4" w:space="0" w:color="000000"/>
            </w:tcBorders>
            <w:shd w:val="clear" w:color="auto" w:fill="auto"/>
            <w:noWrap/>
            <w:vAlign w:val="bottom"/>
            <w:hideMark/>
          </w:tcPr>
          <w:p w14:paraId="6909402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5.87</w:t>
            </w:r>
          </w:p>
        </w:tc>
        <w:tc>
          <w:tcPr>
            <w:tcW w:w="1418" w:type="dxa"/>
            <w:tcBorders>
              <w:top w:val="nil"/>
              <w:left w:val="nil"/>
              <w:bottom w:val="single" w:sz="4" w:space="0" w:color="000000"/>
              <w:right w:val="single" w:sz="4" w:space="0" w:color="000000"/>
            </w:tcBorders>
            <w:shd w:val="clear" w:color="auto" w:fill="auto"/>
            <w:noWrap/>
            <w:vAlign w:val="bottom"/>
            <w:hideMark/>
          </w:tcPr>
          <w:p w14:paraId="22EF96E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36.46</w:t>
            </w:r>
          </w:p>
        </w:tc>
      </w:tr>
      <w:tr w:rsidR="00A0308E" w:rsidRPr="003B10E2" w14:paraId="423C5E67" w14:textId="77777777" w:rsidTr="00A0308E">
        <w:trPr>
          <w:trHeight w:val="300"/>
        </w:trPr>
        <w:tc>
          <w:tcPr>
            <w:tcW w:w="4815" w:type="dxa"/>
            <w:tcBorders>
              <w:top w:val="nil"/>
              <w:left w:val="single" w:sz="4" w:space="0" w:color="000000"/>
              <w:bottom w:val="single" w:sz="4" w:space="0" w:color="auto"/>
              <w:right w:val="single" w:sz="4" w:space="0" w:color="000000"/>
            </w:tcBorders>
            <w:shd w:val="clear" w:color="auto" w:fill="auto"/>
            <w:noWrap/>
            <w:vAlign w:val="bottom"/>
            <w:hideMark/>
          </w:tcPr>
          <w:p w14:paraId="60FE73C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Tianjin Hi-Tech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auto"/>
              <w:right w:val="single" w:sz="4" w:space="0" w:color="000000"/>
            </w:tcBorders>
            <w:shd w:val="clear" w:color="auto" w:fill="auto"/>
            <w:noWrap/>
            <w:vAlign w:val="bottom"/>
            <w:hideMark/>
          </w:tcPr>
          <w:p w14:paraId="1CAD13E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294.78</w:t>
            </w:r>
          </w:p>
        </w:tc>
        <w:tc>
          <w:tcPr>
            <w:tcW w:w="957" w:type="dxa"/>
            <w:tcBorders>
              <w:top w:val="nil"/>
              <w:left w:val="nil"/>
              <w:bottom w:val="single" w:sz="4" w:space="0" w:color="auto"/>
              <w:right w:val="single" w:sz="4" w:space="0" w:color="000000"/>
            </w:tcBorders>
            <w:shd w:val="clear" w:color="auto" w:fill="auto"/>
            <w:noWrap/>
            <w:vAlign w:val="bottom"/>
            <w:hideMark/>
          </w:tcPr>
          <w:p w14:paraId="36E25B7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3.26</w:t>
            </w:r>
          </w:p>
        </w:tc>
        <w:tc>
          <w:tcPr>
            <w:tcW w:w="1418" w:type="dxa"/>
            <w:tcBorders>
              <w:top w:val="nil"/>
              <w:left w:val="nil"/>
              <w:bottom w:val="single" w:sz="4" w:space="0" w:color="auto"/>
              <w:right w:val="single" w:sz="4" w:space="0" w:color="000000"/>
            </w:tcBorders>
            <w:shd w:val="clear" w:color="auto" w:fill="auto"/>
            <w:noWrap/>
            <w:vAlign w:val="bottom"/>
            <w:hideMark/>
          </w:tcPr>
          <w:p w14:paraId="24DCB5E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26.64</w:t>
            </w:r>
          </w:p>
        </w:tc>
      </w:tr>
      <w:tr w:rsidR="00A0308E" w:rsidRPr="003B10E2" w14:paraId="573436F2"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E615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Tianjin Jiuri New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860B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468.23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2B20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30.08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04B22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19.69</w:t>
            </w:r>
          </w:p>
        </w:tc>
      </w:tr>
      <w:tr w:rsidR="00A0308E" w:rsidRPr="003B10E2" w14:paraId="3A0D477A" w14:textId="77777777" w:rsidTr="00A0308E">
        <w:trPr>
          <w:trHeight w:val="300"/>
        </w:trPr>
        <w:tc>
          <w:tcPr>
            <w:tcW w:w="481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92CD08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Tianjin Meiteng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nil"/>
              <w:bottom w:val="single" w:sz="4" w:space="0" w:color="000000"/>
              <w:right w:val="single" w:sz="4" w:space="0" w:color="000000"/>
            </w:tcBorders>
            <w:shd w:val="clear" w:color="auto" w:fill="auto"/>
            <w:noWrap/>
            <w:vAlign w:val="bottom"/>
            <w:hideMark/>
          </w:tcPr>
          <w:p w14:paraId="1747E8F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nil"/>
              <w:bottom w:val="single" w:sz="4" w:space="0" w:color="000000"/>
              <w:right w:val="single" w:sz="4" w:space="0" w:color="000000"/>
            </w:tcBorders>
            <w:shd w:val="clear" w:color="auto" w:fill="auto"/>
            <w:noWrap/>
            <w:vAlign w:val="bottom"/>
            <w:hideMark/>
          </w:tcPr>
          <w:p w14:paraId="3CC1082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39.89</w:t>
            </w:r>
          </w:p>
        </w:tc>
        <w:tc>
          <w:tcPr>
            <w:tcW w:w="1418" w:type="dxa"/>
            <w:tcBorders>
              <w:top w:val="single" w:sz="4" w:space="0" w:color="auto"/>
              <w:left w:val="nil"/>
              <w:bottom w:val="single" w:sz="4" w:space="0" w:color="000000"/>
              <w:right w:val="single" w:sz="4" w:space="0" w:color="000000"/>
            </w:tcBorders>
            <w:shd w:val="clear" w:color="auto" w:fill="auto"/>
            <w:noWrap/>
            <w:vAlign w:val="bottom"/>
            <w:hideMark/>
          </w:tcPr>
          <w:p w14:paraId="5461768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22.66</w:t>
            </w:r>
          </w:p>
        </w:tc>
      </w:tr>
      <w:tr w:rsidR="00A0308E" w:rsidRPr="003B10E2" w14:paraId="6052B979"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A7BE7C4"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Tianjin Port,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6E7718E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1 822.55</w:t>
            </w:r>
          </w:p>
        </w:tc>
        <w:tc>
          <w:tcPr>
            <w:tcW w:w="957" w:type="dxa"/>
            <w:tcBorders>
              <w:top w:val="nil"/>
              <w:left w:val="nil"/>
              <w:bottom w:val="single" w:sz="4" w:space="0" w:color="000000"/>
              <w:right w:val="single" w:sz="4" w:space="0" w:color="000000"/>
            </w:tcBorders>
            <w:shd w:val="clear" w:color="auto" w:fill="auto"/>
            <w:noWrap/>
            <w:vAlign w:val="bottom"/>
            <w:hideMark/>
          </w:tcPr>
          <w:p w14:paraId="6A023EE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4.50</w:t>
            </w:r>
          </w:p>
        </w:tc>
        <w:tc>
          <w:tcPr>
            <w:tcW w:w="1418" w:type="dxa"/>
            <w:tcBorders>
              <w:top w:val="nil"/>
              <w:left w:val="nil"/>
              <w:bottom w:val="single" w:sz="4" w:space="0" w:color="000000"/>
              <w:right w:val="single" w:sz="4" w:space="0" w:color="000000"/>
            </w:tcBorders>
            <w:shd w:val="clear" w:color="auto" w:fill="auto"/>
            <w:noWrap/>
            <w:vAlign w:val="bottom"/>
            <w:hideMark/>
          </w:tcPr>
          <w:p w14:paraId="733556E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48.33</w:t>
            </w:r>
          </w:p>
        </w:tc>
      </w:tr>
      <w:tr w:rsidR="00A0308E" w:rsidRPr="003B10E2" w14:paraId="1737B7A0"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0A2389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Tianjin Quanyechang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A61C65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1 457.77</w:t>
            </w:r>
          </w:p>
        </w:tc>
        <w:tc>
          <w:tcPr>
            <w:tcW w:w="957" w:type="dxa"/>
            <w:tcBorders>
              <w:top w:val="nil"/>
              <w:left w:val="nil"/>
              <w:bottom w:val="single" w:sz="4" w:space="0" w:color="000000"/>
              <w:right w:val="single" w:sz="4" w:space="0" w:color="000000"/>
            </w:tcBorders>
            <w:shd w:val="clear" w:color="auto" w:fill="auto"/>
            <w:noWrap/>
            <w:vAlign w:val="bottom"/>
            <w:hideMark/>
          </w:tcPr>
          <w:p w14:paraId="24027DA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6.78</w:t>
            </w:r>
          </w:p>
        </w:tc>
        <w:tc>
          <w:tcPr>
            <w:tcW w:w="1418" w:type="dxa"/>
            <w:tcBorders>
              <w:top w:val="nil"/>
              <w:left w:val="nil"/>
              <w:bottom w:val="single" w:sz="4" w:space="0" w:color="000000"/>
              <w:right w:val="single" w:sz="4" w:space="0" w:color="000000"/>
            </w:tcBorders>
            <w:shd w:val="clear" w:color="auto" w:fill="auto"/>
            <w:noWrap/>
            <w:vAlign w:val="bottom"/>
            <w:hideMark/>
          </w:tcPr>
          <w:p w14:paraId="0E9C24A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118.45</w:t>
            </w:r>
          </w:p>
        </w:tc>
      </w:tr>
      <w:tr w:rsidR="00A0308E" w:rsidRPr="003B10E2" w14:paraId="595859BA"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F8C202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Tianjin Realty Development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DB99C3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278.53</w:t>
            </w:r>
          </w:p>
        </w:tc>
        <w:tc>
          <w:tcPr>
            <w:tcW w:w="957" w:type="dxa"/>
            <w:tcBorders>
              <w:top w:val="nil"/>
              <w:left w:val="nil"/>
              <w:bottom w:val="single" w:sz="4" w:space="0" w:color="000000"/>
              <w:right w:val="single" w:sz="4" w:space="0" w:color="000000"/>
            </w:tcBorders>
            <w:shd w:val="clear" w:color="auto" w:fill="auto"/>
            <w:noWrap/>
            <w:vAlign w:val="bottom"/>
            <w:hideMark/>
          </w:tcPr>
          <w:p w14:paraId="64AB622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1.80</w:t>
            </w:r>
          </w:p>
        </w:tc>
        <w:tc>
          <w:tcPr>
            <w:tcW w:w="1418" w:type="dxa"/>
            <w:tcBorders>
              <w:top w:val="nil"/>
              <w:left w:val="nil"/>
              <w:bottom w:val="single" w:sz="4" w:space="0" w:color="000000"/>
              <w:right w:val="single" w:sz="4" w:space="0" w:color="000000"/>
            </w:tcBorders>
            <w:shd w:val="clear" w:color="auto" w:fill="auto"/>
            <w:noWrap/>
            <w:vAlign w:val="bottom"/>
            <w:hideMark/>
          </w:tcPr>
          <w:p w14:paraId="1DE0EFB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24.25</w:t>
            </w:r>
          </w:p>
        </w:tc>
      </w:tr>
      <w:tr w:rsidR="00A0308E" w:rsidRPr="003B10E2" w14:paraId="65C2564C"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D771B26"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Tianjin Songjiang,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4D594DD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2 764.25</w:t>
            </w:r>
          </w:p>
        </w:tc>
        <w:tc>
          <w:tcPr>
            <w:tcW w:w="957" w:type="dxa"/>
            <w:tcBorders>
              <w:top w:val="nil"/>
              <w:left w:val="nil"/>
              <w:bottom w:val="single" w:sz="4" w:space="0" w:color="000000"/>
              <w:right w:val="single" w:sz="4" w:space="0" w:color="000000"/>
            </w:tcBorders>
            <w:shd w:val="clear" w:color="auto" w:fill="auto"/>
            <w:noWrap/>
            <w:vAlign w:val="bottom"/>
            <w:hideMark/>
          </w:tcPr>
          <w:p w14:paraId="760BB3B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5.79</w:t>
            </w:r>
          </w:p>
        </w:tc>
        <w:tc>
          <w:tcPr>
            <w:tcW w:w="1418" w:type="dxa"/>
            <w:tcBorders>
              <w:top w:val="nil"/>
              <w:left w:val="nil"/>
              <w:bottom w:val="single" w:sz="4" w:space="0" w:color="000000"/>
              <w:right w:val="single" w:sz="4" w:space="0" w:color="000000"/>
            </w:tcBorders>
            <w:shd w:val="clear" w:color="auto" w:fill="auto"/>
            <w:noWrap/>
            <w:vAlign w:val="bottom"/>
            <w:hideMark/>
          </w:tcPr>
          <w:p w14:paraId="39FACE1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302.29</w:t>
            </w:r>
          </w:p>
        </w:tc>
      </w:tr>
      <w:tr w:rsidR="00A0308E" w:rsidRPr="003B10E2" w14:paraId="2F1A6E78"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B75960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Tianjin Tianyao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90A2E8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865.20</w:t>
            </w:r>
          </w:p>
        </w:tc>
        <w:tc>
          <w:tcPr>
            <w:tcW w:w="957" w:type="dxa"/>
            <w:tcBorders>
              <w:top w:val="nil"/>
              <w:left w:val="nil"/>
              <w:bottom w:val="single" w:sz="4" w:space="0" w:color="000000"/>
              <w:right w:val="single" w:sz="4" w:space="0" w:color="000000"/>
            </w:tcBorders>
            <w:shd w:val="clear" w:color="auto" w:fill="auto"/>
            <w:noWrap/>
            <w:vAlign w:val="bottom"/>
            <w:hideMark/>
          </w:tcPr>
          <w:p w14:paraId="36A8386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5.62</w:t>
            </w:r>
          </w:p>
        </w:tc>
        <w:tc>
          <w:tcPr>
            <w:tcW w:w="1418" w:type="dxa"/>
            <w:tcBorders>
              <w:top w:val="nil"/>
              <w:left w:val="nil"/>
              <w:bottom w:val="single" w:sz="4" w:space="0" w:color="000000"/>
              <w:right w:val="single" w:sz="4" w:space="0" w:color="000000"/>
            </w:tcBorders>
            <w:shd w:val="clear" w:color="auto" w:fill="auto"/>
            <w:noWrap/>
            <w:vAlign w:val="bottom"/>
            <w:hideMark/>
          </w:tcPr>
          <w:p w14:paraId="6E8994B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31.86</w:t>
            </w:r>
          </w:p>
        </w:tc>
      </w:tr>
      <w:tr w:rsidR="00A0308E" w:rsidRPr="003B10E2" w14:paraId="7275F4E3"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40CCA8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Tianjin You Fa Steel Pipe,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9C2B48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1 319.04</w:t>
            </w:r>
          </w:p>
        </w:tc>
        <w:tc>
          <w:tcPr>
            <w:tcW w:w="957" w:type="dxa"/>
            <w:tcBorders>
              <w:top w:val="nil"/>
              <w:left w:val="nil"/>
              <w:bottom w:val="single" w:sz="4" w:space="0" w:color="000000"/>
              <w:right w:val="single" w:sz="4" w:space="0" w:color="000000"/>
            </w:tcBorders>
            <w:shd w:val="clear" w:color="auto" w:fill="auto"/>
            <w:noWrap/>
            <w:vAlign w:val="bottom"/>
            <w:hideMark/>
          </w:tcPr>
          <w:p w14:paraId="5D95435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6.55</w:t>
            </w:r>
          </w:p>
        </w:tc>
        <w:tc>
          <w:tcPr>
            <w:tcW w:w="1418" w:type="dxa"/>
            <w:tcBorders>
              <w:top w:val="nil"/>
              <w:left w:val="nil"/>
              <w:bottom w:val="single" w:sz="4" w:space="0" w:color="000000"/>
              <w:right w:val="single" w:sz="4" w:space="0" w:color="000000"/>
            </w:tcBorders>
            <w:shd w:val="clear" w:color="auto" w:fill="auto"/>
            <w:noWrap/>
            <w:vAlign w:val="bottom"/>
            <w:hideMark/>
          </w:tcPr>
          <w:p w14:paraId="42452A5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32.72</w:t>
            </w:r>
          </w:p>
        </w:tc>
      </w:tr>
      <w:tr w:rsidR="00A0308E" w:rsidRPr="003B10E2" w14:paraId="417D5C51"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240ABE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Tianjin ZhongXin Pharmaceutical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60F146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3 771.86</w:t>
            </w:r>
          </w:p>
        </w:tc>
        <w:tc>
          <w:tcPr>
            <w:tcW w:w="957" w:type="dxa"/>
            <w:tcBorders>
              <w:top w:val="nil"/>
              <w:left w:val="nil"/>
              <w:bottom w:val="single" w:sz="4" w:space="0" w:color="000000"/>
              <w:right w:val="single" w:sz="4" w:space="0" w:color="000000"/>
            </w:tcBorders>
            <w:shd w:val="clear" w:color="auto" w:fill="auto"/>
            <w:noWrap/>
            <w:vAlign w:val="bottom"/>
            <w:hideMark/>
          </w:tcPr>
          <w:p w14:paraId="3B8DC32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47.00</w:t>
            </w:r>
          </w:p>
        </w:tc>
        <w:tc>
          <w:tcPr>
            <w:tcW w:w="1418" w:type="dxa"/>
            <w:tcBorders>
              <w:top w:val="nil"/>
              <w:left w:val="nil"/>
              <w:bottom w:val="single" w:sz="4" w:space="0" w:color="000000"/>
              <w:right w:val="single" w:sz="4" w:space="0" w:color="000000"/>
            </w:tcBorders>
            <w:shd w:val="clear" w:color="auto" w:fill="auto"/>
            <w:noWrap/>
            <w:vAlign w:val="bottom"/>
            <w:hideMark/>
          </w:tcPr>
          <w:p w14:paraId="48856B9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423.79</w:t>
            </w:r>
          </w:p>
        </w:tc>
      </w:tr>
      <w:tr w:rsidR="00A0308E" w:rsidRPr="003B10E2" w14:paraId="1CF5A8BC"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14B6ED0"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Tianneng Battery,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45E6DDC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4 681.26</w:t>
            </w:r>
          </w:p>
        </w:tc>
        <w:tc>
          <w:tcPr>
            <w:tcW w:w="957" w:type="dxa"/>
            <w:tcBorders>
              <w:top w:val="nil"/>
              <w:left w:val="nil"/>
              <w:bottom w:val="single" w:sz="4" w:space="0" w:color="000000"/>
              <w:right w:val="single" w:sz="4" w:space="0" w:color="000000"/>
            </w:tcBorders>
            <w:shd w:val="clear" w:color="auto" w:fill="auto"/>
            <w:noWrap/>
            <w:vAlign w:val="bottom"/>
            <w:hideMark/>
          </w:tcPr>
          <w:p w14:paraId="44D8032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34.41</w:t>
            </w:r>
          </w:p>
        </w:tc>
        <w:tc>
          <w:tcPr>
            <w:tcW w:w="1418" w:type="dxa"/>
            <w:tcBorders>
              <w:top w:val="nil"/>
              <w:left w:val="nil"/>
              <w:bottom w:val="single" w:sz="4" w:space="0" w:color="000000"/>
              <w:right w:val="single" w:sz="4" w:space="0" w:color="000000"/>
            </w:tcBorders>
            <w:shd w:val="clear" w:color="auto" w:fill="auto"/>
            <w:noWrap/>
            <w:vAlign w:val="bottom"/>
            <w:hideMark/>
          </w:tcPr>
          <w:p w14:paraId="2DFEA46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40.54</w:t>
            </w:r>
          </w:p>
        </w:tc>
      </w:tr>
      <w:tr w:rsidR="00A0308E" w:rsidRPr="003B10E2" w14:paraId="204FED90"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756F94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TianYu Eco-Environment,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EA70A5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272.46</w:t>
            </w:r>
          </w:p>
        </w:tc>
        <w:tc>
          <w:tcPr>
            <w:tcW w:w="957" w:type="dxa"/>
            <w:tcBorders>
              <w:top w:val="nil"/>
              <w:left w:val="nil"/>
              <w:bottom w:val="single" w:sz="4" w:space="0" w:color="000000"/>
              <w:right w:val="single" w:sz="4" w:space="0" w:color="000000"/>
            </w:tcBorders>
            <w:shd w:val="clear" w:color="auto" w:fill="auto"/>
            <w:noWrap/>
            <w:vAlign w:val="bottom"/>
            <w:hideMark/>
          </w:tcPr>
          <w:p w14:paraId="69447FB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6.71</w:t>
            </w:r>
          </w:p>
        </w:tc>
        <w:tc>
          <w:tcPr>
            <w:tcW w:w="1418" w:type="dxa"/>
            <w:tcBorders>
              <w:top w:val="nil"/>
              <w:left w:val="nil"/>
              <w:bottom w:val="single" w:sz="4" w:space="0" w:color="000000"/>
              <w:right w:val="single" w:sz="4" w:space="0" w:color="000000"/>
            </w:tcBorders>
            <w:shd w:val="clear" w:color="auto" w:fill="auto"/>
            <w:noWrap/>
            <w:vAlign w:val="bottom"/>
            <w:hideMark/>
          </w:tcPr>
          <w:p w14:paraId="03E5C1F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37.14</w:t>
            </w:r>
          </w:p>
        </w:tc>
      </w:tr>
      <w:tr w:rsidR="00A0308E" w:rsidRPr="003B10E2" w14:paraId="4F2AB7C1"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559814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Tibet Huayu Mining,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5C27EE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1 045.27</w:t>
            </w:r>
          </w:p>
        </w:tc>
        <w:tc>
          <w:tcPr>
            <w:tcW w:w="957" w:type="dxa"/>
            <w:tcBorders>
              <w:top w:val="nil"/>
              <w:left w:val="nil"/>
              <w:bottom w:val="single" w:sz="4" w:space="0" w:color="000000"/>
              <w:right w:val="single" w:sz="4" w:space="0" w:color="000000"/>
            </w:tcBorders>
            <w:shd w:val="clear" w:color="auto" w:fill="auto"/>
            <w:noWrap/>
            <w:vAlign w:val="bottom"/>
            <w:hideMark/>
          </w:tcPr>
          <w:p w14:paraId="518C320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13.45</w:t>
            </w:r>
          </w:p>
        </w:tc>
        <w:tc>
          <w:tcPr>
            <w:tcW w:w="1418" w:type="dxa"/>
            <w:tcBorders>
              <w:top w:val="nil"/>
              <w:left w:val="nil"/>
              <w:bottom w:val="single" w:sz="4" w:space="0" w:color="000000"/>
              <w:right w:val="single" w:sz="4" w:space="0" w:color="000000"/>
            </w:tcBorders>
            <w:shd w:val="clear" w:color="auto" w:fill="auto"/>
            <w:noWrap/>
            <w:vAlign w:val="bottom"/>
            <w:hideMark/>
          </w:tcPr>
          <w:p w14:paraId="0A67E78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74.87</w:t>
            </w:r>
          </w:p>
        </w:tc>
      </w:tr>
      <w:tr w:rsidR="00A0308E" w:rsidRPr="003B10E2" w14:paraId="51092DA3"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4D8556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Tibet Rhodiola Pharmaceutical 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A515F0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1 832.08</w:t>
            </w:r>
          </w:p>
        </w:tc>
        <w:tc>
          <w:tcPr>
            <w:tcW w:w="957" w:type="dxa"/>
            <w:tcBorders>
              <w:top w:val="nil"/>
              <w:left w:val="nil"/>
              <w:bottom w:val="single" w:sz="4" w:space="0" w:color="000000"/>
              <w:right w:val="single" w:sz="4" w:space="0" w:color="000000"/>
            </w:tcBorders>
            <w:shd w:val="clear" w:color="auto" w:fill="auto"/>
            <w:noWrap/>
            <w:vAlign w:val="bottom"/>
            <w:hideMark/>
          </w:tcPr>
          <w:p w14:paraId="4EB69C9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52.80</w:t>
            </w:r>
          </w:p>
        </w:tc>
        <w:tc>
          <w:tcPr>
            <w:tcW w:w="1418" w:type="dxa"/>
            <w:tcBorders>
              <w:top w:val="nil"/>
              <w:left w:val="nil"/>
              <w:bottom w:val="single" w:sz="4" w:space="0" w:color="000000"/>
              <w:right w:val="single" w:sz="4" w:space="0" w:color="000000"/>
            </w:tcBorders>
            <w:shd w:val="clear" w:color="auto" w:fill="auto"/>
            <w:noWrap/>
            <w:vAlign w:val="bottom"/>
            <w:hideMark/>
          </w:tcPr>
          <w:p w14:paraId="4EA2A7B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142.79</w:t>
            </w:r>
          </w:p>
        </w:tc>
      </w:tr>
      <w:tr w:rsidR="00A0308E" w:rsidRPr="003B10E2" w14:paraId="752AD979"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828A05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Tibet Summit Resources,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99C8A3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2 288.88</w:t>
            </w:r>
          </w:p>
        </w:tc>
        <w:tc>
          <w:tcPr>
            <w:tcW w:w="957" w:type="dxa"/>
            <w:tcBorders>
              <w:top w:val="nil"/>
              <w:left w:val="nil"/>
              <w:bottom w:val="single" w:sz="4" w:space="0" w:color="000000"/>
              <w:right w:val="single" w:sz="4" w:space="0" w:color="000000"/>
            </w:tcBorders>
            <w:shd w:val="clear" w:color="auto" w:fill="auto"/>
            <w:noWrap/>
            <w:vAlign w:val="bottom"/>
            <w:hideMark/>
          </w:tcPr>
          <w:p w14:paraId="0570356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17.89</w:t>
            </w:r>
          </w:p>
        </w:tc>
        <w:tc>
          <w:tcPr>
            <w:tcW w:w="1418" w:type="dxa"/>
            <w:tcBorders>
              <w:top w:val="nil"/>
              <w:left w:val="nil"/>
              <w:bottom w:val="single" w:sz="4" w:space="0" w:color="000000"/>
              <w:right w:val="single" w:sz="4" w:space="0" w:color="000000"/>
            </w:tcBorders>
            <w:shd w:val="clear" w:color="auto" w:fill="auto"/>
            <w:noWrap/>
            <w:vAlign w:val="bottom"/>
            <w:hideMark/>
          </w:tcPr>
          <w:p w14:paraId="3CBE8CC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117.65</w:t>
            </w:r>
          </w:p>
        </w:tc>
      </w:tr>
      <w:tr w:rsidR="00A0308E" w:rsidRPr="003B10E2" w14:paraId="3FE70DC5"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7E5DF7C"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Tibet Tianlu,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18BB5A8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762.30</w:t>
            </w:r>
          </w:p>
        </w:tc>
        <w:tc>
          <w:tcPr>
            <w:tcW w:w="957" w:type="dxa"/>
            <w:tcBorders>
              <w:top w:val="nil"/>
              <w:left w:val="nil"/>
              <w:bottom w:val="single" w:sz="4" w:space="0" w:color="000000"/>
              <w:right w:val="single" w:sz="4" w:space="0" w:color="000000"/>
            </w:tcBorders>
            <w:shd w:val="clear" w:color="auto" w:fill="auto"/>
            <w:noWrap/>
            <w:vAlign w:val="bottom"/>
            <w:hideMark/>
          </w:tcPr>
          <w:p w14:paraId="668C0B7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5.93</w:t>
            </w:r>
          </w:p>
        </w:tc>
        <w:tc>
          <w:tcPr>
            <w:tcW w:w="1418" w:type="dxa"/>
            <w:tcBorders>
              <w:top w:val="nil"/>
              <w:left w:val="nil"/>
              <w:bottom w:val="single" w:sz="4" w:space="0" w:color="000000"/>
              <w:right w:val="single" w:sz="4" w:space="0" w:color="000000"/>
            </w:tcBorders>
            <w:shd w:val="clear" w:color="auto" w:fill="auto"/>
            <w:noWrap/>
            <w:vAlign w:val="bottom"/>
            <w:hideMark/>
          </w:tcPr>
          <w:p w14:paraId="25A1813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155.95</w:t>
            </w:r>
          </w:p>
        </w:tc>
      </w:tr>
      <w:tr w:rsidR="00A0308E" w:rsidRPr="003B10E2" w14:paraId="07B7DB44"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E0822E6"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Tibet Tourism,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392F8D5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422.45</w:t>
            </w:r>
          </w:p>
        </w:tc>
        <w:tc>
          <w:tcPr>
            <w:tcW w:w="957" w:type="dxa"/>
            <w:tcBorders>
              <w:top w:val="nil"/>
              <w:left w:val="nil"/>
              <w:bottom w:val="single" w:sz="4" w:space="0" w:color="000000"/>
              <w:right w:val="single" w:sz="4" w:space="0" w:color="000000"/>
            </w:tcBorders>
            <w:shd w:val="clear" w:color="auto" w:fill="auto"/>
            <w:noWrap/>
            <w:vAlign w:val="bottom"/>
            <w:hideMark/>
          </w:tcPr>
          <w:p w14:paraId="704E673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13.30</w:t>
            </w:r>
          </w:p>
        </w:tc>
        <w:tc>
          <w:tcPr>
            <w:tcW w:w="1418" w:type="dxa"/>
            <w:tcBorders>
              <w:top w:val="nil"/>
              <w:left w:val="nil"/>
              <w:bottom w:val="single" w:sz="4" w:space="0" w:color="000000"/>
              <w:right w:val="single" w:sz="4" w:space="0" w:color="000000"/>
            </w:tcBorders>
            <w:shd w:val="clear" w:color="auto" w:fill="auto"/>
            <w:noWrap/>
            <w:vAlign w:val="bottom"/>
            <w:hideMark/>
          </w:tcPr>
          <w:p w14:paraId="0ADAD20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75.86</w:t>
            </w:r>
          </w:p>
        </w:tc>
      </w:tr>
      <w:tr w:rsidR="00A0308E" w:rsidRPr="003B10E2" w14:paraId="453BD204"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363843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Tibet Urban Development and Investment,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BD3000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1 503.85</w:t>
            </w:r>
          </w:p>
        </w:tc>
        <w:tc>
          <w:tcPr>
            <w:tcW w:w="957" w:type="dxa"/>
            <w:tcBorders>
              <w:top w:val="nil"/>
              <w:left w:val="nil"/>
              <w:bottom w:val="single" w:sz="4" w:space="0" w:color="000000"/>
              <w:right w:val="single" w:sz="4" w:space="0" w:color="000000"/>
            </w:tcBorders>
            <w:shd w:val="clear" w:color="auto" w:fill="auto"/>
            <w:noWrap/>
            <w:vAlign w:val="bottom"/>
            <w:hideMark/>
          </w:tcPr>
          <w:p w14:paraId="38B4D72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13.11</w:t>
            </w:r>
          </w:p>
        </w:tc>
        <w:tc>
          <w:tcPr>
            <w:tcW w:w="1418" w:type="dxa"/>
            <w:tcBorders>
              <w:top w:val="nil"/>
              <w:left w:val="nil"/>
              <w:bottom w:val="single" w:sz="4" w:space="0" w:color="000000"/>
              <w:right w:val="single" w:sz="4" w:space="0" w:color="000000"/>
            </w:tcBorders>
            <w:shd w:val="clear" w:color="auto" w:fill="auto"/>
            <w:noWrap/>
            <w:vAlign w:val="bottom"/>
            <w:hideMark/>
          </w:tcPr>
          <w:p w14:paraId="0CAF898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63.16</w:t>
            </w:r>
          </w:p>
        </w:tc>
      </w:tr>
      <w:tr w:rsidR="00A0308E" w:rsidRPr="003B10E2" w14:paraId="3171320E"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2F4B25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Tibet Weixinkang Medicine,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06B0AC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808.94</w:t>
            </w:r>
          </w:p>
        </w:tc>
        <w:tc>
          <w:tcPr>
            <w:tcW w:w="957" w:type="dxa"/>
            <w:tcBorders>
              <w:top w:val="nil"/>
              <w:left w:val="nil"/>
              <w:bottom w:val="single" w:sz="4" w:space="0" w:color="000000"/>
              <w:right w:val="single" w:sz="4" w:space="0" w:color="000000"/>
            </w:tcBorders>
            <w:shd w:val="clear" w:color="auto" w:fill="auto"/>
            <w:noWrap/>
            <w:vAlign w:val="bottom"/>
            <w:hideMark/>
          </w:tcPr>
          <w:p w14:paraId="458A27B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13.26</w:t>
            </w:r>
          </w:p>
        </w:tc>
        <w:tc>
          <w:tcPr>
            <w:tcW w:w="1418" w:type="dxa"/>
            <w:tcBorders>
              <w:top w:val="nil"/>
              <w:left w:val="nil"/>
              <w:bottom w:val="single" w:sz="4" w:space="0" w:color="000000"/>
              <w:right w:val="single" w:sz="4" w:space="0" w:color="000000"/>
            </w:tcBorders>
            <w:shd w:val="clear" w:color="auto" w:fill="auto"/>
            <w:noWrap/>
            <w:vAlign w:val="bottom"/>
            <w:hideMark/>
          </w:tcPr>
          <w:p w14:paraId="6022C87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36.54</w:t>
            </w:r>
          </w:p>
        </w:tc>
      </w:tr>
      <w:tr w:rsidR="00A0308E" w:rsidRPr="003B10E2" w14:paraId="6A21ACE2"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E9A1F1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Time Publishing and Media,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9A7DE0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860.13</w:t>
            </w:r>
          </w:p>
        </w:tc>
        <w:tc>
          <w:tcPr>
            <w:tcW w:w="957" w:type="dxa"/>
            <w:tcBorders>
              <w:top w:val="nil"/>
              <w:left w:val="nil"/>
              <w:bottom w:val="single" w:sz="4" w:space="0" w:color="000000"/>
              <w:right w:val="single" w:sz="4" w:space="0" w:color="000000"/>
            </w:tcBorders>
            <w:shd w:val="clear" w:color="auto" w:fill="auto"/>
            <w:noWrap/>
            <w:vAlign w:val="bottom"/>
            <w:hideMark/>
          </w:tcPr>
          <w:p w14:paraId="17FD3AC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12.69</w:t>
            </w:r>
          </w:p>
        </w:tc>
        <w:tc>
          <w:tcPr>
            <w:tcW w:w="1418" w:type="dxa"/>
            <w:tcBorders>
              <w:top w:val="nil"/>
              <w:left w:val="nil"/>
              <w:bottom w:val="single" w:sz="4" w:space="0" w:color="000000"/>
              <w:right w:val="single" w:sz="4" w:space="0" w:color="000000"/>
            </w:tcBorders>
            <w:shd w:val="clear" w:color="auto" w:fill="auto"/>
            <w:noWrap/>
            <w:vAlign w:val="bottom"/>
            <w:hideMark/>
          </w:tcPr>
          <w:p w14:paraId="68C50A1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52.16</w:t>
            </w:r>
          </w:p>
        </w:tc>
      </w:tr>
      <w:tr w:rsidR="00A0308E" w:rsidRPr="003B10E2" w14:paraId="2563360F"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8F25CB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Tinavi Medical Technologies,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4DB2FD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971.84</w:t>
            </w:r>
          </w:p>
        </w:tc>
        <w:tc>
          <w:tcPr>
            <w:tcW w:w="957" w:type="dxa"/>
            <w:tcBorders>
              <w:top w:val="nil"/>
              <w:left w:val="nil"/>
              <w:bottom w:val="single" w:sz="4" w:space="0" w:color="000000"/>
              <w:right w:val="single" w:sz="4" w:space="0" w:color="000000"/>
            </w:tcBorders>
            <w:shd w:val="clear" w:color="auto" w:fill="auto"/>
            <w:noWrap/>
            <w:vAlign w:val="bottom"/>
            <w:hideMark/>
          </w:tcPr>
          <w:p w14:paraId="17C8469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16.54</w:t>
            </w:r>
          </w:p>
        </w:tc>
        <w:tc>
          <w:tcPr>
            <w:tcW w:w="1418" w:type="dxa"/>
            <w:tcBorders>
              <w:top w:val="nil"/>
              <w:left w:val="nil"/>
              <w:bottom w:val="single" w:sz="4" w:space="0" w:color="000000"/>
              <w:right w:val="single" w:sz="4" w:space="0" w:color="000000"/>
            </w:tcBorders>
            <w:shd w:val="clear" w:color="auto" w:fill="auto"/>
            <w:noWrap/>
            <w:vAlign w:val="bottom"/>
            <w:hideMark/>
          </w:tcPr>
          <w:p w14:paraId="7949F5A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62.62</w:t>
            </w:r>
          </w:p>
        </w:tc>
      </w:tr>
      <w:tr w:rsidR="00A0308E" w:rsidRPr="003B10E2" w14:paraId="027B0C22"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A1D9E1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TKD Science and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D478F0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423.44</w:t>
            </w:r>
          </w:p>
        </w:tc>
        <w:tc>
          <w:tcPr>
            <w:tcW w:w="957" w:type="dxa"/>
            <w:tcBorders>
              <w:top w:val="nil"/>
              <w:left w:val="nil"/>
              <w:bottom w:val="single" w:sz="4" w:space="0" w:color="000000"/>
              <w:right w:val="single" w:sz="4" w:space="0" w:color="000000"/>
            </w:tcBorders>
            <w:shd w:val="clear" w:color="auto" w:fill="auto"/>
            <w:noWrap/>
            <w:vAlign w:val="bottom"/>
            <w:hideMark/>
          </w:tcPr>
          <w:p w14:paraId="0D461CB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15.23</w:t>
            </w:r>
          </w:p>
        </w:tc>
        <w:tc>
          <w:tcPr>
            <w:tcW w:w="1418" w:type="dxa"/>
            <w:tcBorders>
              <w:top w:val="nil"/>
              <w:left w:val="nil"/>
              <w:bottom w:val="single" w:sz="4" w:space="0" w:color="000000"/>
              <w:right w:val="single" w:sz="4" w:space="0" w:color="000000"/>
            </w:tcBorders>
            <w:shd w:val="clear" w:color="auto" w:fill="auto"/>
            <w:noWrap/>
            <w:vAlign w:val="bottom"/>
            <w:hideMark/>
          </w:tcPr>
          <w:p w14:paraId="55C85BE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137.89</w:t>
            </w:r>
          </w:p>
        </w:tc>
      </w:tr>
      <w:tr w:rsidR="00A0308E" w:rsidRPr="003B10E2" w14:paraId="23176082"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58D2BF3"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Toly Bread,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53DBDA9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1 404.57</w:t>
            </w:r>
          </w:p>
        </w:tc>
        <w:tc>
          <w:tcPr>
            <w:tcW w:w="957" w:type="dxa"/>
            <w:tcBorders>
              <w:top w:val="nil"/>
              <w:left w:val="nil"/>
              <w:bottom w:val="single" w:sz="4" w:space="0" w:color="000000"/>
              <w:right w:val="single" w:sz="4" w:space="0" w:color="000000"/>
            </w:tcBorders>
            <w:shd w:val="clear" w:color="auto" w:fill="auto"/>
            <w:noWrap/>
            <w:vAlign w:val="bottom"/>
            <w:hideMark/>
          </w:tcPr>
          <w:p w14:paraId="345D2D5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10.54</w:t>
            </w:r>
          </w:p>
        </w:tc>
        <w:tc>
          <w:tcPr>
            <w:tcW w:w="1418" w:type="dxa"/>
            <w:tcBorders>
              <w:top w:val="nil"/>
              <w:left w:val="nil"/>
              <w:bottom w:val="single" w:sz="4" w:space="0" w:color="000000"/>
              <w:right w:val="single" w:sz="4" w:space="0" w:color="000000"/>
            </w:tcBorders>
            <w:shd w:val="clear" w:color="auto" w:fill="auto"/>
            <w:noWrap/>
            <w:vAlign w:val="bottom"/>
            <w:hideMark/>
          </w:tcPr>
          <w:p w14:paraId="75A0563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44.68</w:t>
            </w:r>
          </w:p>
        </w:tc>
      </w:tr>
      <w:tr w:rsidR="00A0308E" w:rsidRPr="003B10E2" w14:paraId="7B72CC19"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2DE127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Tonghua Dongbao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C769A9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2 851.76</w:t>
            </w:r>
          </w:p>
        </w:tc>
        <w:tc>
          <w:tcPr>
            <w:tcW w:w="957" w:type="dxa"/>
            <w:tcBorders>
              <w:top w:val="nil"/>
              <w:left w:val="nil"/>
              <w:bottom w:val="single" w:sz="4" w:space="0" w:color="000000"/>
              <w:right w:val="single" w:sz="4" w:space="0" w:color="000000"/>
            </w:tcBorders>
            <w:shd w:val="clear" w:color="auto" w:fill="auto"/>
            <w:noWrap/>
            <w:vAlign w:val="bottom"/>
            <w:hideMark/>
          </w:tcPr>
          <w:p w14:paraId="5D15AAB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10.14</w:t>
            </w:r>
          </w:p>
        </w:tc>
        <w:tc>
          <w:tcPr>
            <w:tcW w:w="1418" w:type="dxa"/>
            <w:tcBorders>
              <w:top w:val="nil"/>
              <w:left w:val="nil"/>
              <w:bottom w:val="single" w:sz="4" w:space="0" w:color="000000"/>
              <w:right w:val="single" w:sz="4" w:space="0" w:color="000000"/>
            </w:tcBorders>
            <w:shd w:val="clear" w:color="auto" w:fill="auto"/>
            <w:noWrap/>
            <w:vAlign w:val="bottom"/>
            <w:hideMark/>
          </w:tcPr>
          <w:p w14:paraId="2343CF4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238.32</w:t>
            </w:r>
          </w:p>
        </w:tc>
      </w:tr>
      <w:tr w:rsidR="00A0308E" w:rsidRPr="003B10E2" w14:paraId="2936BC3B"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E0CD2F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Tonghua Grape Wine,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D063F8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183.05</w:t>
            </w:r>
          </w:p>
        </w:tc>
        <w:tc>
          <w:tcPr>
            <w:tcW w:w="957" w:type="dxa"/>
            <w:tcBorders>
              <w:top w:val="nil"/>
              <w:left w:val="nil"/>
              <w:bottom w:val="single" w:sz="4" w:space="0" w:color="000000"/>
              <w:right w:val="single" w:sz="4" w:space="0" w:color="000000"/>
            </w:tcBorders>
            <w:shd w:val="clear" w:color="auto" w:fill="auto"/>
            <w:noWrap/>
            <w:vAlign w:val="bottom"/>
            <w:hideMark/>
          </w:tcPr>
          <w:p w14:paraId="03C0B46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3.27</w:t>
            </w:r>
          </w:p>
        </w:tc>
        <w:tc>
          <w:tcPr>
            <w:tcW w:w="1418" w:type="dxa"/>
            <w:tcBorders>
              <w:top w:val="nil"/>
              <w:left w:val="nil"/>
              <w:bottom w:val="single" w:sz="4" w:space="0" w:color="000000"/>
              <w:right w:val="single" w:sz="4" w:space="0" w:color="000000"/>
            </w:tcBorders>
            <w:shd w:val="clear" w:color="auto" w:fill="auto"/>
            <w:noWrap/>
            <w:vAlign w:val="bottom"/>
            <w:hideMark/>
          </w:tcPr>
          <w:p w14:paraId="12D5A56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4.74</w:t>
            </w:r>
          </w:p>
        </w:tc>
      </w:tr>
      <w:tr w:rsidR="00A0308E" w:rsidRPr="003B10E2" w14:paraId="3F3DC379"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3DFE12D"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TongKun Group,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2ECE489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4 427.11</w:t>
            </w:r>
          </w:p>
        </w:tc>
        <w:tc>
          <w:tcPr>
            <w:tcW w:w="957" w:type="dxa"/>
            <w:tcBorders>
              <w:top w:val="nil"/>
              <w:left w:val="nil"/>
              <w:bottom w:val="single" w:sz="4" w:space="0" w:color="000000"/>
              <w:right w:val="single" w:sz="4" w:space="0" w:color="000000"/>
            </w:tcBorders>
            <w:shd w:val="clear" w:color="auto" w:fill="auto"/>
            <w:noWrap/>
            <w:vAlign w:val="bottom"/>
            <w:hideMark/>
          </w:tcPr>
          <w:p w14:paraId="3AC3F9D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13.12</w:t>
            </w:r>
          </w:p>
        </w:tc>
        <w:tc>
          <w:tcPr>
            <w:tcW w:w="1418" w:type="dxa"/>
            <w:tcBorders>
              <w:top w:val="nil"/>
              <w:left w:val="nil"/>
              <w:bottom w:val="single" w:sz="4" w:space="0" w:color="000000"/>
              <w:right w:val="single" w:sz="4" w:space="0" w:color="000000"/>
            </w:tcBorders>
            <w:shd w:val="clear" w:color="auto" w:fill="auto"/>
            <w:noWrap/>
            <w:vAlign w:val="bottom"/>
            <w:hideMark/>
          </w:tcPr>
          <w:p w14:paraId="0B5461E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259.65</w:t>
            </w:r>
          </w:p>
        </w:tc>
      </w:tr>
      <w:tr w:rsidR="00A0308E" w:rsidRPr="003B10E2" w14:paraId="66680993"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F80D4E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Tongling Jingda Special Magnet Wire,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C742A2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1 192.59</w:t>
            </w:r>
          </w:p>
        </w:tc>
        <w:tc>
          <w:tcPr>
            <w:tcW w:w="957" w:type="dxa"/>
            <w:tcBorders>
              <w:top w:val="nil"/>
              <w:left w:val="nil"/>
              <w:bottom w:val="single" w:sz="4" w:space="0" w:color="000000"/>
              <w:right w:val="single" w:sz="4" w:space="0" w:color="000000"/>
            </w:tcBorders>
            <w:shd w:val="clear" w:color="auto" w:fill="auto"/>
            <w:noWrap/>
            <w:vAlign w:val="bottom"/>
            <w:hideMark/>
          </w:tcPr>
          <w:p w14:paraId="1F823FF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4.27</w:t>
            </w:r>
          </w:p>
        </w:tc>
        <w:tc>
          <w:tcPr>
            <w:tcW w:w="1418" w:type="dxa"/>
            <w:tcBorders>
              <w:top w:val="nil"/>
              <w:left w:val="nil"/>
              <w:bottom w:val="single" w:sz="4" w:space="0" w:color="000000"/>
              <w:right w:val="single" w:sz="4" w:space="0" w:color="000000"/>
            </w:tcBorders>
            <w:shd w:val="clear" w:color="auto" w:fill="auto"/>
            <w:noWrap/>
            <w:vAlign w:val="bottom"/>
            <w:hideMark/>
          </w:tcPr>
          <w:p w14:paraId="62DD7F4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107.41</w:t>
            </w:r>
          </w:p>
        </w:tc>
      </w:tr>
      <w:tr w:rsidR="00A0308E" w:rsidRPr="003B10E2" w14:paraId="2CFCBF99"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0443D3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Tongling ZhongFa Trinity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4EE627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308.63</w:t>
            </w:r>
          </w:p>
        </w:tc>
        <w:tc>
          <w:tcPr>
            <w:tcW w:w="957" w:type="dxa"/>
            <w:tcBorders>
              <w:top w:val="nil"/>
              <w:left w:val="nil"/>
              <w:bottom w:val="single" w:sz="4" w:space="0" w:color="000000"/>
              <w:right w:val="single" w:sz="4" w:space="0" w:color="000000"/>
            </w:tcBorders>
            <w:shd w:val="clear" w:color="auto" w:fill="auto"/>
            <w:noWrap/>
            <w:vAlign w:val="bottom"/>
            <w:hideMark/>
          </w:tcPr>
          <w:p w14:paraId="184555F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13.92</w:t>
            </w:r>
          </w:p>
        </w:tc>
        <w:tc>
          <w:tcPr>
            <w:tcW w:w="1418" w:type="dxa"/>
            <w:tcBorders>
              <w:top w:val="nil"/>
              <w:left w:val="nil"/>
              <w:bottom w:val="single" w:sz="4" w:space="0" w:color="000000"/>
              <w:right w:val="single" w:sz="4" w:space="0" w:color="000000"/>
            </w:tcBorders>
            <w:shd w:val="clear" w:color="auto" w:fill="auto"/>
            <w:noWrap/>
            <w:vAlign w:val="bottom"/>
            <w:hideMark/>
          </w:tcPr>
          <w:p w14:paraId="3700991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85.06</w:t>
            </w:r>
          </w:p>
        </w:tc>
      </w:tr>
      <w:tr w:rsidR="00A0308E" w:rsidRPr="003B10E2" w14:paraId="27DA06E7"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74F20AD"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Tongqinglou Catering,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31A593B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1 230.96</w:t>
            </w:r>
          </w:p>
        </w:tc>
        <w:tc>
          <w:tcPr>
            <w:tcW w:w="957" w:type="dxa"/>
            <w:tcBorders>
              <w:top w:val="nil"/>
              <w:left w:val="nil"/>
              <w:bottom w:val="single" w:sz="4" w:space="0" w:color="000000"/>
              <w:right w:val="single" w:sz="4" w:space="0" w:color="000000"/>
            </w:tcBorders>
            <w:shd w:val="clear" w:color="auto" w:fill="auto"/>
            <w:noWrap/>
            <w:vAlign w:val="bottom"/>
            <w:hideMark/>
          </w:tcPr>
          <w:p w14:paraId="3820D1E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33.83</w:t>
            </w:r>
          </w:p>
        </w:tc>
        <w:tc>
          <w:tcPr>
            <w:tcW w:w="1418" w:type="dxa"/>
            <w:tcBorders>
              <w:top w:val="nil"/>
              <w:left w:val="nil"/>
              <w:bottom w:val="single" w:sz="4" w:space="0" w:color="000000"/>
              <w:right w:val="single" w:sz="4" w:space="0" w:color="000000"/>
            </w:tcBorders>
            <w:shd w:val="clear" w:color="auto" w:fill="auto"/>
            <w:noWrap/>
            <w:vAlign w:val="bottom"/>
            <w:hideMark/>
          </w:tcPr>
          <w:p w14:paraId="5E20B55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47.82</w:t>
            </w:r>
          </w:p>
        </w:tc>
      </w:tr>
      <w:tr w:rsidR="00A0308E" w:rsidRPr="003B10E2" w14:paraId="5942BFA5"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2479126"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Tongwei,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3E9858B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20 046.08</w:t>
            </w:r>
          </w:p>
        </w:tc>
        <w:tc>
          <w:tcPr>
            <w:tcW w:w="957" w:type="dxa"/>
            <w:tcBorders>
              <w:top w:val="nil"/>
              <w:left w:val="nil"/>
              <w:bottom w:val="single" w:sz="4" w:space="0" w:color="000000"/>
              <w:right w:val="single" w:sz="4" w:space="0" w:color="000000"/>
            </w:tcBorders>
            <w:shd w:val="clear" w:color="auto" w:fill="auto"/>
            <w:noWrap/>
            <w:vAlign w:val="bottom"/>
            <w:hideMark/>
          </w:tcPr>
          <w:p w14:paraId="75902C5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31.82</w:t>
            </w:r>
          </w:p>
        </w:tc>
        <w:tc>
          <w:tcPr>
            <w:tcW w:w="1418" w:type="dxa"/>
            <w:tcBorders>
              <w:top w:val="nil"/>
              <w:left w:val="nil"/>
              <w:bottom w:val="single" w:sz="4" w:space="0" w:color="000000"/>
              <w:right w:val="single" w:sz="4" w:space="0" w:color="000000"/>
            </w:tcBorders>
            <w:shd w:val="clear" w:color="auto" w:fill="auto"/>
            <w:noWrap/>
            <w:vAlign w:val="bottom"/>
            <w:hideMark/>
          </w:tcPr>
          <w:p w14:paraId="3701C08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737.07</w:t>
            </w:r>
          </w:p>
        </w:tc>
      </w:tr>
      <w:tr w:rsidR="00A0308E" w:rsidRPr="003B10E2" w14:paraId="6D644A3C"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0BF1247"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Top Energy,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6D2D18D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1 466.52</w:t>
            </w:r>
          </w:p>
        </w:tc>
        <w:tc>
          <w:tcPr>
            <w:tcW w:w="957" w:type="dxa"/>
            <w:tcBorders>
              <w:top w:val="nil"/>
              <w:left w:val="nil"/>
              <w:bottom w:val="single" w:sz="4" w:space="0" w:color="000000"/>
              <w:right w:val="single" w:sz="4" w:space="0" w:color="000000"/>
            </w:tcBorders>
            <w:shd w:val="clear" w:color="auto" w:fill="auto"/>
            <w:noWrap/>
            <w:vAlign w:val="bottom"/>
            <w:hideMark/>
          </w:tcPr>
          <w:p w14:paraId="761FC5D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9.14</w:t>
            </w:r>
          </w:p>
        </w:tc>
        <w:tc>
          <w:tcPr>
            <w:tcW w:w="1418" w:type="dxa"/>
            <w:tcBorders>
              <w:top w:val="nil"/>
              <w:left w:val="nil"/>
              <w:bottom w:val="single" w:sz="4" w:space="0" w:color="000000"/>
              <w:right w:val="single" w:sz="4" w:space="0" w:color="000000"/>
            </w:tcBorders>
            <w:shd w:val="clear" w:color="auto" w:fill="auto"/>
            <w:noWrap/>
            <w:vAlign w:val="bottom"/>
            <w:hideMark/>
          </w:tcPr>
          <w:p w14:paraId="3BF627D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50.44</w:t>
            </w:r>
          </w:p>
        </w:tc>
      </w:tr>
      <w:tr w:rsidR="00A0308E" w:rsidRPr="003B10E2" w14:paraId="4D2066CB"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B80D0C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Top Score Fashion,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7D6ABE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280.93</w:t>
            </w:r>
          </w:p>
        </w:tc>
        <w:tc>
          <w:tcPr>
            <w:tcW w:w="957" w:type="dxa"/>
            <w:tcBorders>
              <w:top w:val="nil"/>
              <w:left w:val="nil"/>
              <w:bottom w:val="single" w:sz="4" w:space="0" w:color="000000"/>
              <w:right w:val="single" w:sz="4" w:space="0" w:color="000000"/>
            </w:tcBorders>
            <w:shd w:val="clear" w:color="auto" w:fill="auto"/>
            <w:noWrap/>
            <w:vAlign w:val="bottom"/>
            <w:hideMark/>
          </w:tcPr>
          <w:p w14:paraId="618E751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4.68</w:t>
            </w:r>
          </w:p>
        </w:tc>
        <w:tc>
          <w:tcPr>
            <w:tcW w:w="1418" w:type="dxa"/>
            <w:tcBorders>
              <w:top w:val="nil"/>
              <w:left w:val="nil"/>
              <w:bottom w:val="single" w:sz="4" w:space="0" w:color="000000"/>
              <w:right w:val="single" w:sz="4" w:space="0" w:color="000000"/>
            </w:tcBorders>
            <w:shd w:val="clear" w:color="auto" w:fill="auto"/>
            <w:noWrap/>
            <w:vAlign w:val="bottom"/>
            <w:hideMark/>
          </w:tcPr>
          <w:p w14:paraId="312E027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64.91</w:t>
            </w:r>
          </w:p>
        </w:tc>
      </w:tr>
      <w:tr w:rsidR="00A0308E" w:rsidRPr="003B10E2" w14:paraId="4E5043E5"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F1446F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Topchoice Medical Investment,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7F488E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4 416.40</w:t>
            </w:r>
          </w:p>
        </w:tc>
        <w:tc>
          <w:tcPr>
            <w:tcW w:w="957" w:type="dxa"/>
            <w:tcBorders>
              <w:top w:val="nil"/>
              <w:left w:val="nil"/>
              <w:bottom w:val="single" w:sz="4" w:space="0" w:color="000000"/>
              <w:right w:val="single" w:sz="4" w:space="0" w:color="000000"/>
            </w:tcBorders>
            <w:shd w:val="clear" w:color="auto" w:fill="auto"/>
            <w:noWrap/>
            <w:vAlign w:val="bottom"/>
            <w:hideMark/>
          </w:tcPr>
          <w:p w14:paraId="7B346E2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98.42</w:t>
            </w:r>
          </w:p>
        </w:tc>
        <w:tc>
          <w:tcPr>
            <w:tcW w:w="1418" w:type="dxa"/>
            <w:tcBorders>
              <w:top w:val="nil"/>
              <w:left w:val="nil"/>
              <w:bottom w:val="single" w:sz="4" w:space="0" w:color="000000"/>
              <w:right w:val="single" w:sz="4" w:space="0" w:color="000000"/>
            </w:tcBorders>
            <w:shd w:val="clear" w:color="auto" w:fill="auto"/>
            <w:noWrap/>
            <w:vAlign w:val="bottom"/>
            <w:hideMark/>
          </w:tcPr>
          <w:p w14:paraId="25732B4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418.85</w:t>
            </w:r>
          </w:p>
        </w:tc>
      </w:tr>
      <w:tr w:rsidR="00A0308E" w:rsidRPr="003B10E2" w14:paraId="6A40CBD8"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84980C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Touchstone International Medical Science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6DD60C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260.86</w:t>
            </w:r>
          </w:p>
        </w:tc>
        <w:tc>
          <w:tcPr>
            <w:tcW w:w="957" w:type="dxa"/>
            <w:tcBorders>
              <w:top w:val="nil"/>
              <w:left w:val="nil"/>
              <w:bottom w:val="single" w:sz="4" w:space="0" w:color="000000"/>
              <w:right w:val="single" w:sz="4" w:space="0" w:color="000000"/>
            </w:tcBorders>
            <w:shd w:val="clear" w:color="auto" w:fill="auto"/>
            <w:noWrap/>
            <w:vAlign w:val="bottom"/>
            <w:hideMark/>
          </w:tcPr>
          <w:p w14:paraId="65D6851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23.30</w:t>
            </w:r>
          </w:p>
        </w:tc>
        <w:tc>
          <w:tcPr>
            <w:tcW w:w="1418" w:type="dxa"/>
            <w:tcBorders>
              <w:top w:val="nil"/>
              <w:left w:val="nil"/>
              <w:bottom w:val="single" w:sz="4" w:space="0" w:color="000000"/>
              <w:right w:val="single" w:sz="4" w:space="0" w:color="000000"/>
            </w:tcBorders>
            <w:shd w:val="clear" w:color="auto" w:fill="auto"/>
            <w:noWrap/>
            <w:vAlign w:val="bottom"/>
            <w:hideMark/>
          </w:tcPr>
          <w:p w14:paraId="71BC922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16.16</w:t>
            </w:r>
          </w:p>
        </w:tc>
      </w:tr>
      <w:tr w:rsidR="00A0308E" w:rsidRPr="003B10E2" w14:paraId="63AA62BC"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2D9154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Traffic Control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D122FA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509.95</w:t>
            </w:r>
          </w:p>
        </w:tc>
        <w:tc>
          <w:tcPr>
            <w:tcW w:w="957" w:type="dxa"/>
            <w:tcBorders>
              <w:top w:val="nil"/>
              <w:left w:val="nil"/>
              <w:bottom w:val="single" w:sz="4" w:space="0" w:color="000000"/>
              <w:right w:val="single" w:sz="4" w:space="0" w:color="000000"/>
            </w:tcBorders>
            <w:shd w:val="clear" w:color="auto" w:fill="auto"/>
            <w:noWrap/>
            <w:vAlign w:val="bottom"/>
            <w:hideMark/>
          </w:tcPr>
          <w:p w14:paraId="6DBA812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19.48</w:t>
            </w:r>
          </w:p>
        </w:tc>
        <w:tc>
          <w:tcPr>
            <w:tcW w:w="1418" w:type="dxa"/>
            <w:tcBorders>
              <w:top w:val="nil"/>
              <w:left w:val="nil"/>
              <w:bottom w:val="single" w:sz="4" w:space="0" w:color="000000"/>
              <w:right w:val="single" w:sz="4" w:space="0" w:color="000000"/>
            </w:tcBorders>
            <w:shd w:val="clear" w:color="auto" w:fill="auto"/>
            <w:noWrap/>
            <w:vAlign w:val="bottom"/>
            <w:hideMark/>
          </w:tcPr>
          <w:p w14:paraId="26FA195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10.67</w:t>
            </w:r>
          </w:p>
        </w:tc>
      </w:tr>
      <w:tr w:rsidR="00A0308E" w:rsidRPr="003B10E2" w14:paraId="72757F79"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A9AC17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Transwarp Technology Shanghai,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DFD56D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3AF930B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126.42</w:t>
            </w:r>
          </w:p>
        </w:tc>
        <w:tc>
          <w:tcPr>
            <w:tcW w:w="1418" w:type="dxa"/>
            <w:tcBorders>
              <w:top w:val="nil"/>
              <w:left w:val="nil"/>
              <w:bottom w:val="single" w:sz="4" w:space="0" w:color="000000"/>
              <w:right w:val="single" w:sz="4" w:space="0" w:color="000000"/>
            </w:tcBorders>
            <w:shd w:val="clear" w:color="auto" w:fill="auto"/>
            <w:noWrap/>
            <w:vAlign w:val="bottom"/>
            <w:hideMark/>
          </w:tcPr>
          <w:p w14:paraId="04CE1E8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216.64</w:t>
            </w:r>
          </w:p>
        </w:tc>
      </w:tr>
      <w:tr w:rsidR="00A0308E" w:rsidRPr="003B10E2" w14:paraId="19D8CD45"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0A836C6"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Triangle Tyre,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704A207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1 718.56</w:t>
            </w:r>
          </w:p>
        </w:tc>
        <w:tc>
          <w:tcPr>
            <w:tcW w:w="957" w:type="dxa"/>
            <w:tcBorders>
              <w:top w:val="nil"/>
              <w:left w:val="nil"/>
              <w:bottom w:val="single" w:sz="4" w:space="0" w:color="000000"/>
              <w:right w:val="single" w:sz="4" w:space="0" w:color="000000"/>
            </w:tcBorders>
            <w:shd w:val="clear" w:color="auto" w:fill="auto"/>
            <w:noWrap/>
            <w:vAlign w:val="bottom"/>
            <w:hideMark/>
          </w:tcPr>
          <w:p w14:paraId="66CC93E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15.35</w:t>
            </w:r>
          </w:p>
        </w:tc>
        <w:tc>
          <w:tcPr>
            <w:tcW w:w="1418" w:type="dxa"/>
            <w:tcBorders>
              <w:top w:val="nil"/>
              <w:left w:val="nil"/>
              <w:bottom w:val="single" w:sz="4" w:space="0" w:color="000000"/>
              <w:right w:val="single" w:sz="4" w:space="0" w:color="000000"/>
            </w:tcBorders>
            <w:shd w:val="clear" w:color="auto" w:fill="auto"/>
            <w:noWrap/>
            <w:vAlign w:val="bottom"/>
            <w:hideMark/>
          </w:tcPr>
          <w:p w14:paraId="5153E08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57.62</w:t>
            </w:r>
          </w:p>
        </w:tc>
      </w:tr>
      <w:tr w:rsidR="00A0308E" w:rsidRPr="003B10E2" w14:paraId="2B887C86"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D47951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Triductor Technology (Suzhou),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E2EDEE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784.83</w:t>
            </w:r>
          </w:p>
        </w:tc>
        <w:tc>
          <w:tcPr>
            <w:tcW w:w="957" w:type="dxa"/>
            <w:tcBorders>
              <w:top w:val="nil"/>
              <w:left w:val="nil"/>
              <w:bottom w:val="single" w:sz="4" w:space="0" w:color="000000"/>
              <w:right w:val="single" w:sz="4" w:space="0" w:color="000000"/>
            </w:tcBorders>
            <w:shd w:val="clear" w:color="auto" w:fill="auto"/>
            <w:noWrap/>
            <w:vAlign w:val="bottom"/>
            <w:hideMark/>
          </w:tcPr>
          <w:p w14:paraId="572A3E6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70.10</w:t>
            </w:r>
          </w:p>
        </w:tc>
        <w:tc>
          <w:tcPr>
            <w:tcW w:w="1418" w:type="dxa"/>
            <w:tcBorders>
              <w:top w:val="nil"/>
              <w:left w:val="nil"/>
              <w:bottom w:val="single" w:sz="4" w:space="0" w:color="000000"/>
              <w:right w:val="single" w:sz="4" w:space="0" w:color="000000"/>
            </w:tcBorders>
            <w:shd w:val="clear" w:color="auto" w:fill="auto"/>
            <w:noWrap/>
            <w:vAlign w:val="bottom"/>
            <w:hideMark/>
          </w:tcPr>
          <w:p w14:paraId="0AA9B4C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339.26</w:t>
            </w:r>
          </w:p>
        </w:tc>
      </w:tr>
      <w:tr w:rsidR="00A0308E" w:rsidRPr="003B10E2" w14:paraId="4945FECB"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E1DF8CC"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Trina Solar,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4EDE74F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11 856.70</w:t>
            </w:r>
          </w:p>
        </w:tc>
        <w:tc>
          <w:tcPr>
            <w:tcW w:w="957" w:type="dxa"/>
            <w:tcBorders>
              <w:top w:val="nil"/>
              <w:left w:val="nil"/>
              <w:bottom w:val="single" w:sz="4" w:space="0" w:color="000000"/>
              <w:right w:val="single" w:sz="4" w:space="0" w:color="000000"/>
            </w:tcBorders>
            <w:shd w:val="clear" w:color="auto" w:fill="auto"/>
            <w:noWrap/>
            <w:vAlign w:val="bottom"/>
            <w:hideMark/>
          </w:tcPr>
          <w:p w14:paraId="4739ECD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39.80</w:t>
            </w:r>
          </w:p>
        </w:tc>
        <w:tc>
          <w:tcPr>
            <w:tcW w:w="1418" w:type="dxa"/>
            <w:tcBorders>
              <w:top w:val="nil"/>
              <w:left w:val="nil"/>
              <w:bottom w:val="single" w:sz="4" w:space="0" w:color="000000"/>
              <w:right w:val="single" w:sz="4" w:space="0" w:color="000000"/>
            </w:tcBorders>
            <w:shd w:val="clear" w:color="auto" w:fill="auto"/>
            <w:noWrap/>
            <w:vAlign w:val="bottom"/>
            <w:hideMark/>
          </w:tcPr>
          <w:p w14:paraId="143ED38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936.08</w:t>
            </w:r>
          </w:p>
        </w:tc>
      </w:tr>
      <w:tr w:rsidR="00A0308E" w:rsidRPr="003B10E2" w14:paraId="0B3840B0"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D4C8B4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Triumph Science &amp;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C884BA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1 252.92</w:t>
            </w:r>
          </w:p>
        </w:tc>
        <w:tc>
          <w:tcPr>
            <w:tcW w:w="957" w:type="dxa"/>
            <w:tcBorders>
              <w:top w:val="nil"/>
              <w:left w:val="nil"/>
              <w:bottom w:val="single" w:sz="4" w:space="0" w:color="000000"/>
              <w:right w:val="single" w:sz="4" w:space="0" w:color="000000"/>
            </w:tcBorders>
            <w:shd w:val="clear" w:color="auto" w:fill="auto"/>
            <w:noWrap/>
            <w:vAlign w:val="bottom"/>
            <w:hideMark/>
          </w:tcPr>
          <w:p w14:paraId="33CC3C1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11.72</w:t>
            </w:r>
          </w:p>
        </w:tc>
        <w:tc>
          <w:tcPr>
            <w:tcW w:w="1418" w:type="dxa"/>
            <w:tcBorders>
              <w:top w:val="nil"/>
              <w:left w:val="nil"/>
              <w:bottom w:val="single" w:sz="4" w:space="0" w:color="000000"/>
              <w:right w:val="single" w:sz="4" w:space="0" w:color="000000"/>
            </w:tcBorders>
            <w:shd w:val="clear" w:color="auto" w:fill="auto"/>
            <w:noWrap/>
            <w:vAlign w:val="bottom"/>
            <w:hideMark/>
          </w:tcPr>
          <w:p w14:paraId="3D29E4B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156.13</w:t>
            </w:r>
          </w:p>
        </w:tc>
      </w:tr>
      <w:tr w:rsidR="00A0308E" w:rsidRPr="003B10E2" w14:paraId="75E25B03"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8164B40"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Tsinghua Tongfang,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5A51894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4 304.21</w:t>
            </w:r>
          </w:p>
        </w:tc>
        <w:tc>
          <w:tcPr>
            <w:tcW w:w="957" w:type="dxa"/>
            <w:tcBorders>
              <w:top w:val="nil"/>
              <w:left w:val="nil"/>
              <w:bottom w:val="single" w:sz="4" w:space="0" w:color="000000"/>
              <w:right w:val="single" w:sz="4" w:space="0" w:color="000000"/>
            </w:tcBorders>
            <w:shd w:val="clear" w:color="auto" w:fill="auto"/>
            <w:noWrap/>
            <w:vAlign w:val="bottom"/>
            <w:hideMark/>
          </w:tcPr>
          <w:p w14:paraId="050C370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9.18</w:t>
            </w:r>
          </w:p>
        </w:tc>
        <w:tc>
          <w:tcPr>
            <w:tcW w:w="1418" w:type="dxa"/>
            <w:tcBorders>
              <w:top w:val="nil"/>
              <w:left w:val="nil"/>
              <w:bottom w:val="single" w:sz="4" w:space="0" w:color="000000"/>
              <w:right w:val="single" w:sz="4" w:space="0" w:color="000000"/>
            </w:tcBorders>
            <w:shd w:val="clear" w:color="auto" w:fill="auto"/>
            <w:noWrap/>
            <w:vAlign w:val="bottom"/>
            <w:hideMark/>
          </w:tcPr>
          <w:p w14:paraId="40A7869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1 906.40</w:t>
            </w:r>
          </w:p>
        </w:tc>
      </w:tr>
      <w:tr w:rsidR="00A0308E" w:rsidRPr="003B10E2" w14:paraId="60504DA4"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7CA8957"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Tsingtao Brewery,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00037CD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10 199.30</w:t>
            </w:r>
          </w:p>
        </w:tc>
        <w:tc>
          <w:tcPr>
            <w:tcW w:w="957" w:type="dxa"/>
            <w:tcBorders>
              <w:top w:val="nil"/>
              <w:left w:val="nil"/>
              <w:bottom w:val="single" w:sz="4" w:space="0" w:color="000000"/>
              <w:right w:val="single" w:sz="4" w:space="0" w:color="000000"/>
            </w:tcBorders>
            <w:shd w:val="clear" w:color="auto" w:fill="auto"/>
            <w:noWrap/>
            <w:vAlign w:val="bottom"/>
            <w:hideMark/>
          </w:tcPr>
          <w:p w14:paraId="20D8FA5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102.75</w:t>
            </w:r>
          </w:p>
        </w:tc>
        <w:tc>
          <w:tcPr>
            <w:tcW w:w="1418" w:type="dxa"/>
            <w:tcBorders>
              <w:top w:val="nil"/>
              <w:left w:val="nil"/>
              <w:bottom w:val="single" w:sz="4" w:space="0" w:color="000000"/>
              <w:right w:val="single" w:sz="4" w:space="0" w:color="000000"/>
            </w:tcBorders>
            <w:shd w:val="clear" w:color="auto" w:fill="auto"/>
            <w:noWrap/>
            <w:vAlign w:val="bottom"/>
            <w:hideMark/>
          </w:tcPr>
          <w:p w14:paraId="3F093C0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517.69</w:t>
            </w:r>
          </w:p>
        </w:tc>
      </w:tr>
      <w:tr w:rsidR="00A0308E" w:rsidRPr="003B10E2" w14:paraId="31EB19B5"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3BF6932"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TVZone Media,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613343C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361.14</w:t>
            </w:r>
          </w:p>
        </w:tc>
        <w:tc>
          <w:tcPr>
            <w:tcW w:w="957" w:type="dxa"/>
            <w:tcBorders>
              <w:top w:val="nil"/>
              <w:left w:val="nil"/>
              <w:bottom w:val="single" w:sz="4" w:space="0" w:color="000000"/>
              <w:right w:val="single" w:sz="4" w:space="0" w:color="000000"/>
            </w:tcBorders>
            <w:shd w:val="clear" w:color="auto" w:fill="auto"/>
            <w:noWrap/>
            <w:vAlign w:val="bottom"/>
            <w:hideMark/>
          </w:tcPr>
          <w:p w14:paraId="06BB43D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19.85</w:t>
            </w:r>
          </w:p>
        </w:tc>
        <w:tc>
          <w:tcPr>
            <w:tcW w:w="1418" w:type="dxa"/>
            <w:tcBorders>
              <w:top w:val="nil"/>
              <w:left w:val="nil"/>
              <w:bottom w:val="single" w:sz="4" w:space="0" w:color="000000"/>
              <w:right w:val="single" w:sz="4" w:space="0" w:color="000000"/>
            </w:tcBorders>
            <w:shd w:val="clear" w:color="auto" w:fill="auto"/>
            <w:noWrap/>
            <w:vAlign w:val="bottom"/>
            <w:hideMark/>
          </w:tcPr>
          <w:p w14:paraId="59266B3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200.98</w:t>
            </w:r>
          </w:p>
        </w:tc>
      </w:tr>
      <w:tr w:rsidR="00A0308E" w:rsidRPr="003B10E2" w14:paraId="60006C83"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346059B"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TYHI,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5051BE6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1 119.52</w:t>
            </w:r>
          </w:p>
        </w:tc>
        <w:tc>
          <w:tcPr>
            <w:tcW w:w="957" w:type="dxa"/>
            <w:tcBorders>
              <w:top w:val="nil"/>
              <w:left w:val="nil"/>
              <w:bottom w:val="single" w:sz="4" w:space="0" w:color="000000"/>
              <w:right w:val="single" w:sz="4" w:space="0" w:color="000000"/>
            </w:tcBorders>
            <w:shd w:val="clear" w:color="auto" w:fill="auto"/>
            <w:noWrap/>
            <w:vAlign w:val="bottom"/>
            <w:hideMark/>
          </w:tcPr>
          <w:p w14:paraId="6B02975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2.40</w:t>
            </w:r>
          </w:p>
        </w:tc>
        <w:tc>
          <w:tcPr>
            <w:tcW w:w="1418" w:type="dxa"/>
            <w:tcBorders>
              <w:top w:val="nil"/>
              <w:left w:val="nil"/>
              <w:bottom w:val="single" w:sz="4" w:space="0" w:color="000000"/>
              <w:right w:val="single" w:sz="4" w:space="0" w:color="000000"/>
            </w:tcBorders>
            <w:shd w:val="clear" w:color="auto" w:fill="auto"/>
            <w:noWrap/>
            <w:vAlign w:val="bottom"/>
            <w:hideMark/>
          </w:tcPr>
          <w:p w14:paraId="5D74AC3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23.57</w:t>
            </w:r>
          </w:p>
        </w:tc>
      </w:tr>
      <w:tr w:rsidR="00A0308E" w:rsidRPr="003B10E2" w14:paraId="1B7DDBD9"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B4FBAF4"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UCloud Technology,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0CC3E28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1 471.11</w:t>
            </w:r>
          </w:p>
        </w:tc>
        <w:tc>
          <w:tcPr>
            <w:tcW w:w="957" w:type="dxa"/>
            <w:tcBorders>
              <w:top w:val="nil"/>
              <w:left w:val="nil"/>
              <w:bottom w:val="single" w:sz="4" w:space="0" w:color="000000"/>
              <w:right w:val="single" w:sz="4" w:space="0" w:color="000000"/>
            </w:tcBorders>
            <w:shd w:val="clear" w:color="auto" w:fill="auto"/>
            <w:noWrap/>
            <w:vAlign w:val="bottom"/>
            <w:hideMark/>
          </w:tcPr>
          <w:p w14:paraId="51D7391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23.20</w:t>
            </w:r>
          </w:p>
        </w:tc>
        <w:tc>
          <w:tcPr>
            <w:tcW w:w="1418" w:type="dxa"/>
            <w:tcBorders>
              <w:top w:val="nil"/>
              <w:left w:val="nil"/>
              <w:bottom w:val="single" w:sz="4" w:space="0" w:color="000000"/>
              <w:right w:val="single" w:sz="4" w:space="0" w:color="000000"/>
            </w:tcBorders>
            <w:shd w:val="clear" w:color="auto" w:fill="auto"/>
            <w:noWrap/>
            <w:vAlign w:val="bottom"/>
            <w:hideMark/>
          </w:tcPr>
          <w:p w14:paraId="48B67A4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741.54</w:t>
            </w:r>
          </w:p>
        </w:tc>
      </w:tr>
      <w:tr w:rsidR="00A0308E" w:rsidRPr="003B10E2" w14:paraId="1088BFE2" w14:textId="77777777" w:rsidTr="00A0308E">
        <w:trPr>
          <w:trHeight w:val="300"/>
        </w:trPr>
        <w:tc>
          <w:tcPr>
            <w:tcW w:w="4815" w:type="dxa"/>
            <w:tcBorders>
              <w:top w:val="nil"/>
              <w:left w:val="single" w:sz="4" w:space="0" w:color="000000"/>
              <w:bottom w:val="single" w:sz="4" w:space="0" w:color="auto"/>
              <w:right w:val="single" w:sz="4" w:space="0" w:color="000000"/>
            </w:tcBorders>
            <w:shd w:val="clear" w:color="auto" w:fill="auto"/>
            <w:noWrap/>
            <w:vAlign w:val="bottom"/>
            <w:hideMark/>
          </w:tcPr>
          <w:p w14:paraId="4667D671"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UE Furniture, акция об.</w:t>
            </w:r>
          </w:p>
        </w:tc>
        <w:tc>
          <w:tcPr>
            <w:tcW w:w="1736" w:type="dxa"/>
            <w:tcBorders>
              <w:top w:val="nil"/>
              <w:left w:val="nil"/>
              <w:bottom w:val="single" w:sz="4" w:space="0" w:color="auto"/>
              <w:right w:val="single" w:sz="4" w:space="0" w:color="000000"/>
            </w:tcBorders>
            <w:shd w:val="clear" w:color="auto" w:fill="auto"/>
            <w:noWrap/>
            <w:vAlign w:val="bottom"/>
            <w:hideMark/>
          </w:tcPr>
          <w:p w14:paraId="189A994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396.27</w:t>
            </w:r>
          </w:p>
        </w:tc>
        <w:tc>
          <w:tcPr>
            <w:tcW w:w="957" w:type="dxa"/>
            <w:tcBorders>
              <w:top w:val="nil"/>
              <w:left w:val="nil"/>
              <w:bottom w:val="single" w:sz="4" w:space="0" w:color="auto"/>
              <w:right w:val="single" w:sz="4" w:space="0" w:color="000000"/>
            </w:tcBorders>
            <w:shd w:val="clear" w:color="auto" w:fill="auto"/>
            <w:noWrap/>
            <w:vAlign w:val="bottom"/>
            <w:hideMark/>
          </w:tcPr>
          <w:p w14:paraId="7DF5EAD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9.36</w:t>
            </w:r>
          </w:p>
        </w:tc>
        <w:tc>
          <w:tcPr>
            <w:tcW w:w="1418" w:type="dxa"/>
            <w:tcBorders>
              <w:top w:val="nil"/>
              <w:left w:val="nil"/>
              <w:bottom w:val="single" w:sz="4" w:space="0" w:color="auto"/>
              <w:right w:val="single" w:sz="4" w:space="0" w:color="000000"/>
            </w:tcBorders>
            <w:shd w:val="clear" w:color="auto" w:fill="auto"/>
            <w:noWrap/>
            <w:vAlign w:val="bottom"/>
            <w:hideMark/>
          </w:tcPr>
          <w:p w14:paraId="5E3E211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15.02</w:t>
            </w:r>
          </w:p>
        </w:tc>
      </w:tr>
      <w:tr w:rsidR="00A0308E" w:rsidRPr="003B10E2" w14:paraId="2C026C1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607F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Union Semiconductor Hefei,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D21F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BFAC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12.89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FC70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75.41</w:t>
            </w:r>
          </w:p>
        </w:tc>
      </w:tr>
      <w:tr w:rsidR="00A0308E" w:rsidRPr="003B10E2" w14:paraId="436A8013" w14:textId="77777777" w:rsidTr="00A0308E">
        <w:trPr>
          <w:trHeight w:val="300"/>
        </w:trPr>
        <w:tc>
          <w:tcPr>
            <w:tcW w:w="481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3F9C2C9"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Unionman, акция об.</w:t>
            </w:r>
          </w:p>
        </w:tc>
        <w:tc>
          <w:tcPr>
            <w:tcW w:w="1736" w:type="dxa"/>
            <w:tcBorders>
              <w:top w:val="single" w:sz="4" w:space="0" w:color="auto"/>
              <w:left w:val="nil"/>
              <w:bottom w:val="single" w:sz="4" w:space="0" w:color="000000"/>
              <w:right w:val="single" w:sz="4" w:space="0" w:color="000000"/>
            </w:tcBorders>
            <w:shd w:val="clear" w:color="auto" w:fill="auto"/>
            <w:noWrap/>
            <w:vAlign w:val="bottom"/>
            <w:hideMark/>
          </w:tcPr>
          <w:p w14:paraId="4FB292B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779.51</w:t>
            </w:r>
          </w:p>
        </w:tc>
        <w:tc>
          <w:tcPr>
            <w:tcW w:w="957" w:type="dxa"/>
            <w:tcBorders>
              <w:top w:val="single" w:sz="4" w:space="0" w:color="auto"/>
              <w:left w:val="nil"/>
              <w:bottom w:val="single" w:sz="4" w:space="0" w:color="000000"/>
              <w:right w:val="single" w:sz="4" w:space="0" w:color="000000"/>
            </w:tcBorders>
            <w:shd w:val="clear" w:color="auto" w:fill="auto"/>
            <w:noWrap/>
            <w:vAlign w:val="bottom"/>
            <w:hideMark/>
          </w:tcPr>
          <w:p w14:paraId="10B2DCA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11.14</w:t>
            </w:r>
          </w:p>
        </w:tc>
        <w:tc>
          <w:tcPr>
            <w:tcW w:w="1418" w:type="dxa"/>
            <w:tcBorders>
              <w:top w:val="single" w:sz="4" w:space="0" w:color="auto"/>
              <w:left w:val="nil"/>
              <w:bottom w:val="single" w:sz="4" w:space="0" w:color="000000"/>
              <w:right w:val="single" w:sz="4" w:space="0" w:color="000000"/>
            </w:tcBorders>
            <w:shd w:val="clear" w:color="auto" w:fill="auto"/>
            <w:noWrap/>
            <w:vAlign w:val="bottom"/>
            <w:hideMark/>
          </w:tcPr>
          <w:p w14:paraId="38C6F32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382.39</w:t>
            </w:r>
          </w:p>
        </w:tc>
      </w:tr>
      <w:tr w:rsidR="00A0308E" w:rsidRPr="003B10E2" w14:paraId="22E420DD"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7C0242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Universal Scientific Industrial Shanghai,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136EDE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4 438.59</w:t>
            </w:r>
          </w:p>
        </w:tc>
        <w:tc>
          <w:tcPr>
            <w:tcW w:w="957" w:type="dxa"/>
            <w:tcBorders>
              <w:top w:val="nil"/>
              <w:left w:val="nil"/>
              <w:bottom w:val="single" w:sz="4" w:space="0" w:color="000000"/>
              <w:right w:val="single" w:sz="4" w:space="0" w:color="000000"/>
            </w:tcBorders>
            <w:shd w:val="clear" w:color="auto" w:fill="auto"/>
            <w:noWrap/>
            <w:vAlign w:val="bottom"/>
            <w:hideMark/>
          </w:tcPr>
          <w:p w14:paraId="4352016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14.35</w:t>
            </w:r>
          </w:p>
        </w:tc>
        <w:tc>
          <w:tcPr>
            <w:tcW w:w="1418" w:type="dxa"/>
            <w:tcBorders>
              <w:top w:val="nil"/>
              <w:left w:val="nil"/>
              <w:bottom w:val="single" w:sz="4" w:space="0" w:color="000000"/>
              <w:right w:val="single" w:sz="4" w:space="0" w:color="000000"/>
            </w:tcBorders>
            <w:shd w:val="clear" w:color="auto" w:fill="auto"/>
            <w:noWrap/>
            <w:vAlign w:val="bottom"/>
            <w:hideMark/>
          </w:tcPr>
          <w:p w14:paraId="3C0B91C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109.86</w:t>
            </w:r>
          </w:p>
        </w:tc>
      </w:tr>
      <w:tr w:rsidR="00A0308E" w:rsidRPr="003B10E2" w14:paraId="2F580A9E"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4CD802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V V Food &amp; Beverage,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AB9FEA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732.40</w:t>
            </w:r>
          </w:p>
        </w:tc>
        <w:tc>
          <w:tcPr>
            <w:tcW w:w="957" w:type="dxa"/>
            <w:tcBorders>
              <w:top w:val="nil"/>
              <w:left w:val="nil"/>
              <w:bottom w:val="single" w:sz="4" w:space="0" w:color="000000"/>
              <w:right w:val="single" w:sz="4" w:space="0" w:color="000000"/>
            </w:tcBorders>
            <w:shd w:val="clear" w:color="auto" w:fill="auto"/>
            <w:noWrap/>
            <w:vAlign w:val="bottom"/>
            <w:hideMark/>
          </w:tcPr>
          <w:p w14:paraId="4C6C40F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3.13</w:t>
            </w:r>
          </w:p>
        </w:tc>
        <w:tc>
          <w:tcPr>
            <w:tcW w:w="1418" w:type="dxa"/>
            <w:tcBorders>
              <w:top w:val="nil"/>
              <w:left w:val="nil"/>
              <w:bottom w:val="single" w:sz="4" w:space="0" w:color="000000"/>
              <w:right w:val="single" w:sz="4" w:space="0" w:color="000000"/>
            </w:tcBorders>
            <w:shd w:val="clear" w:color="auto" w:fill="auto"/>
            <w:noWrap/>
            <w:vAlign w:val="bottom"/>
            <w:hideMark/>
          </w:tcPr>
          <w:p w14:paraId="7005F36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37.99</w:t>
            </w:r>
          </w:p>
        </w:tc>
      </w:tr>
      <w:tr w:rsidR="00A0308E" w:rsidRPr="003B10E2" w14:paraId="2289CFD4"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F9C1275"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Vanchip Tianjin,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017D0227"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33C8380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76.92</w:t>
            </w:r>
          </w:p>
        </w:tc>
        <w:tc>
          <w:tcPr>
            <w:tcW w:w="1418" w:type="dxa"/>
            <w:tcBorders>
              <w:top w:val="nil"/>
              <w:left w:val="nil"/>
              <w:bottom w:val="single" w:sz="4" w:space="0" w:color="000000"/>
              <w:right w:val="single" w:sz="4" w:space="0" w:color="000000"/>
            </w:tcBorders>
            <w:shd w:val="clear" w:color="auto" w:fill="auto"/>
            <w:noWrap/>
            <w:vAlign w:val="bottom"/>
            <w:hideMark/>
          </w:tcPr>
          <w:p w14:paraId="2319742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257.32</w:t>
            </w:r>
          </w:p>
        </w:tc>
      </w:tr>
      <w:tr w:rsidR="00A0308E" w:rsidRPr="003B10E2" w14:paraId="32868D24"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BF6B71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Vcanbio Cell &amp; Gene Engineering,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2D9EE7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1 092.35</w:t>
            </w:r>
          </w:p>
        </w:tc>
        <w:tc>
          <w:tcPr>
            <w:tcW w:w="957" w:type="dxa"/>
            <w:tcBorders>
              <w:top w:val="nil"/>
              <w:left w:val="nil"/>
              <w:bottom w:val="single" w:sz="4" w:space="0" w:color="000000"/>
              <w:right w:val="single" w:sz="4" w:space="0" w:color="000000"/>
            </w:tcBorders>
            <w:shd w:val="clear" w:color="auto" w:fill="auto"/>
            <w:noWrap/>
            <w:vAlign w:val="bottom"/>
            <w:hideMark/>
          </w:tcPr>
          <w:p w14:paraId="5D9E20E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16.68</w:t>
            </w:r>
          </w:p>
        </w:tc>
        <w:tc>
          <w:tcPr>
            <w:tcW w:w="1418" w:type="dxa"/>
            <w:tcBorders>
              <w:top w:val="nil"/>
              <w:left w:val="nil"/>
              <w:bottom w:val="single" w:sz="4" w:space="0" w:color="000000"/>
              <w:right w:val="single" w:sz="4" w:space="0" w:color="000000"/>
            </w:tcBorders>
            <w:shd w:val="clear" w:color="auto" w:fill="auto"/>
            <w:noWrap/>
            <w:vAlign w:val="bottom"/>
            <w:hideMark/>
          </w:tcPr>
          <w:p w14:paraId="16616C5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43.73</w:t>
            </w:r>
          </w:p>
        </w:tc>
      </w:tr>
      <w:tr w:rsidR="00A0308E" w:rsidRPr="003B10E2" w14:paraId="6B2FD276"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EE16CC0"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Veken Technology,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5915F75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647.91</w:t>
            </w:r>
          </w:p>
        </w:tc>
        <w:tc>
          <w:tcPr>
            <w:tcW w:w="957" w:type="dxa"/>
            <w:tcBorders>
              <w:top w:val="nil"/>
              <w:left w:val="nil"/>
              <w:bottom w:val="single" w:sz="4" w:space="0" w:color="000000"/>
              <w:right w:val="single" w:sz="4" w:space="0" w:color="000000"/>
            </w:tcBorders>
            <w:shd w:val="clear" w:color="auto" w:fill="auto"/>
            <w:noWrap/>
            <w:vAlign w:val="bottom"/>
            <w:hideMark/>
          </w:tcPr>
          <w:p w14:paraId="3ABD91C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8.82</w:t>
            </w:r>
          </w:p>
        </w:tc>
        <w:tc>
          <w:tcPr>
            <w:tcW w:w="1418" w:type="dxa"/>
            <w:tcBorders>
              <w:top w:val="nil"/>
              <w:left w:val="nil"/>
              <w:bottom w:val="single" w:sz="4" w:space="0" w:color="000000"/>
              <w:right w:val="single" w:sz="4" w:space="0" w:color="000000"/>
            </w:tcBorders>
            <w:shd w:val="clear" w:color="auto" w:fill="auto"/>
            <w:noWrap/>
            <w:vAlign w:val="bottom"/>
            <w:hideMark/>
          </w:tcPr>
          <w:p w14:paraId="158D5CD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39.70</w:t>
            </w:r>
          </w:p>
        </w:tc>
      </w:tr>
      <w:tr w:rsidR="00A0308E" w:rsidRPr="003B10E2" w14:paraId="0E7CB4EB"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4A9ECB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VeriSilicon Microelectronics (Shanghai),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5EAAEB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6 284.04</w:t>
            </w:r>
          </w:p>
        </w:tc>
        <w:tc>
          <w:tcPr>
            <w:tcW w:w="957" w:type="dxa"/>
            <w:tcBorders>
              <w:top w:val="nil"/>
              <w:left w:val="nil"/>
              <w:bottom w:val="single" w:sz="4" w:space="0" w:color="000000"/>
              <w:right w:val="single" w:sz="4" w:space="0" w:color="000000"/>
            </w:tcBorders>
            <w:shd w:val="clear" w:color="auto" w:fill="auto"/>
            <w:noWrap/>
            <w:vAlign w:val="bottom"/>
            <w:hideMark/>
          </w:tcPr>
          <w:p w14:paraId="373CE5C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90.55</w:t>
            </w:r>
          </w:p>
        </w:tc>
        <w:tc>
          <w:tcPr>
            <w:tcW w:w="1418" w:type="dxa"/>
            <w:tcBorders>
              <w:top w:val="nil"/>
              <w:left w:val="nil"/>
              <w:bottom w:val="single" w:sz="4" w:space="0" w:color="000000"/>
              <w:right w:val="single" w:sz="4" w:space="0" w:color="000000"/>
            </w:tcBorders>
            <w:shd w:val="clear" w:color="auto" w:fill="auto"/>
            <w:noWrap/>
            <w:vAlign w:val="bottom"/>
            <w:hideMark/>
          </w:tcPr>
          <w:p w14:paraId="36484B4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479.72</w:t>
            </w:r>
          </w:p>
        </w:tc>
      </w:tr>
      <w:tr w:rsidR="00A0308E" w:rsidRPr="003B10E2" w14:paraId="1854A39F"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13551D8"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Wangfujing Group,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5591A75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3 418.10</w:t>
            </w:r>
          </w:p>
        </w:tc>
        <w:tc>
          <w:tcPr>
            <w:tcW w:w="957" w:type="dxa"/>
            <w:tcBorders>
              <w:top w:val="nil"/>
              <w:left w:val="nil"/>
              <w:bottom w:val="single" w:sz="4" w:space="0" w:color="000000"/>
              <w:right w:val="single" w:sz="4" w:space="0" w:color="000000"/>
            </w:tcBorders>
            <w:shd w:val="clear" w:color="auto" w:fill="auto"/>
            <w:noWrap/>
            <w:vAlign w:val="bottom"/>
            <w:hideMark/>
          </w:tcPr>
          <w:p w14:paraId="4FCD35E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21.56</w:t>
            </w:r>
          </w:p>
        </w:tc>
        <w:tc>
          <w:tcPr>
            <w:tcW w:w="1418" w:type="dxa"/>
            <w:tcBorders>
              <w:top w:val="nil"/>
              <w:left w:val="nil"/>
              <w:bottom w:val="single" w:sz="4" w:space="0" w:color="000000"/>
              <w:right w:val="single" w:sz="4" w:space="0" w:color="000000"/>
            </w:tcBorders>
            <w:shd w:val="clear" w:color="auto" w:fill="auto"/>
            <w:noWrap/>
            <w:vAlign w:val="bottom"/>
            <w:hideMark/>
          </w:tcPr>
          <w:p w14:paraId="0E98D5F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148.71</w:t>
            </w:r>
          </w:p>
        </w:tc>
      </w:tr>
      <w:tr w:rsidR="00A0308E" w:rsidRPr="003B10E2" w14:paraId="40D417F2"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215C42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Wangli Security and Surveillance Product,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813119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619.94</w:t>
            </w:r>
          </w:p>
        </w:tc>
        <w:tc>
          <w:tcPr>
            <w:tcW w:w="957" w:type="dxa"/>
            <w:tcBorders>
              <w:top w:val="nil"/>
              <w:left w:val="nil"/>
              <w:bottom w:val="single" w:sz="4" w:space="0" w:color="000000"/>
              <w:right w:val="single" w:sz="4" w:space="0" w:color="000000"/>
            </w:tcBorders>
            <w:shd w:val="clear" w:color="auto" w:fill="auto"/>
            <w:noWrap/>
            <w:vAlign w:val="bottom"/>
            <w:hideMark/>
          </w:tcPr>
          <w:p w14:paraId="2E97A12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10.16</w:t>
            </w:r>
          </w:p>
        </w:tc>
        <w:tc>
          <w:tcPr>
            <w:tcW w:w="1418" w:type="dxa"/>
            <w:tcBorders>
              <w:top w:val="nil"/>
              <w:left w:val="nil"/>
              <w:bottom w:val="single" w:sz="4" w:space="0" w:color="000000"/>
              <w:right w:val="single" w:sz="4" w:space="0" w:color="000000"/>
            </w:tcBorders>
            <w:shd w:val="clear" w:color="auto" w:fill="auto"/>
            <w:noWrap/>
            <w:vAlign w:val="bottom"/>
            <w:hideMark/>
          </w:tcPr>
          <w:p w14:paraId="0A0D71D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39.45</w:t>
            </w:r>
          </w:p>
        </w:tc>
      </w:tr>
      <w:tr w:rsidR="00A0308E" w:rsidRPr="003B10E2" w14:paraId="35CBB92E"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3A7818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Wanhua Chemical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C20A6A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39 379.20</w:t>
            </w:r>
          </w:p>
        </w:tc>
        <w:tc>
          <w:tcPr>
            <w:tcW w:w="957" w:type="dxa"/>
            <w:tcBorders>
              <w:top w:val="nil"/>
              <w:left w:val="nil"/>
              <w:bottom w:val="single" w:sz="4" w:space="0" w:color="000000"/>
              <w:right w:val="single" w:sz="4" w:space="0" w:color="000000"/>
            </w:tcBorders>
            <w:shd w:val="clear" w:color="auto" w:fill="auto"/>
            <w:noWrap/>
            <w:vAlign w:val="bottom"/>
            <w:hideMark/>
          </w:tcPr>
          <w:p w14:paraId="3BA63E9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89.62</w:t>
            </w:r>
          </w:p>
        </w:tc>
        <w:tc>
          <w:tcPr>
            <w:tcW w:w="1418" w:type="dxa"/>
            <w:tcBorders>
              <w:top w:val="nil"/>
              <w:left w:val="nil"/>
              <w:bottom w:val="single" w:sz="4" w:space="0" w:color="000000"/>
              <w:right w:val="single" w:sz="4" w:space="0" w:color="000000"/>
            </w:tcBorders>
            <w:shd w:val="clear" w:color="auto" w:fill="auto"/>
            <w:noWrap/>
            <w:vAlign w:val="bottom"/>
            <w:hideMark/>
          </w:tcPr>
          <w:p w14:paraId="73BD073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781.71</w:t>
            </w:r>
          </w:p>
        </w:tc>
      </w:tr>
      <w:tr w:rsidR="00A0308E" w:rsidRPr="003B10E2" w14:paraId="27818596"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38BE3AA"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Wanxiang Doneed,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08A9D55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478.66</w:t>
            </w:r>
          </w:p>
        </w:tc>
        <w:tc>
          <w:tcPr>
            <w:tcW w:w="957" w:type="dxa"/>
            <w:tcBorders>
              <w:top w:val="nil"/>
              <w:left w:val="nil"/>
              <w:bottom w:val="single" w:sz="4" w:space="0" w:color="000000"/>
              <w:right w:val="single" w:sz="4" w:space="0" w:color="000000"/>
            </w:tcBorders>
            <w:shd w:val="clear" w:color="auto" w:fill="auto"/>
            <w:noWrap/>
            <w:vAlign w:val="bottom"/>
            <w:hideMark/>
          </w:tcPr>
          <w:p w14:paraId="76692EC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11.69</w:t>
            </w:r>
          </w:p>
        </w:tc>
        <w:tc>
          <w:tcPr>
            <w:tcW w:w="1418" w:type="dxa"/>
            <w:tcBorders>
              <w:top w:val="nil"/>
              <w:left w:val="nil"/>
              <w:bottom w:val="single" w:sz="4" w:space="0" w:color="000000"/>
              <w:right w:val="single" w:sz="4" w:space="0" w:color="000000"/>
            </w:tcBorders>
            <w:shd w:val="clear" w:color="auto" w:fill="auto"/>
            <w:noWrap/>
            <w:vAlign w:val="bottom"/>
            <w:hideMark/>
          </w:tcPr>
          <w:p w14:paraId="3C33BA5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16.58</w:t>
            </w:r>
          </w:p>
        </w:tc>
      </w:tr>
      <w:tr w:rsidR="00A0308E" w:rsidRPr="003B10E2" w14:paraId="35D9A3BD"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EEE9260"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Warom Technology,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1172404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1 286.52</w:t>
            </w:r>
          </w:p>
        </w:tc>
        <w:tc>
          <w:tcPr>
            <w:tcW w:w="957" w:type="dxa"/>
            <w:tcBorders>
              <w:top w:val="nil"/>
              <w:left w:val="nil"/>
              <w:bottom w:val="single" w:sz="4" w:space="0" w:color="000000"/>
              <w:right w:val="single" w:sz="4" w:space="0" w:color="000000"/>
            </w:tcBorders>
            <w:shd w:val="clear" w:color="auto" w:fill="auto"/>
            <w:noWrap/>
            <w:vAlign w:val="bottom"/>
            <w:hideMark/>
          </w:tcPr>
          <w:p w14:paraId="6718774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27.23</w:t>
            </w:r>
          </w:p>
        </w:tc>
        <w:tc>
          <w:tcPr>
            <w:tcW w:w="1418" w:type="dxa"/>
            <w:tcBorders>
              <w:top w:val="nil"/>
              <w:left w:val="nil"/>
              <w:bottom w:val="single" w:sz="4" w:space="0" w:color="000000"/>
              <w:right w:val="single" w:sz="4" w:space="0" w:color="000000"/>
            </w:tcBorders>
            <w:shd w:val="clear" w:color="auto" w:fill="auto"/>
            <w:noWrap/>
            <w:vAlign w:val="bottom"/>
            <w:hideMark/>
          </w:tcPr>
          <w:p w14:paraId="30A49AF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26.77</w:t>
            </w:r>
          </w:p>
        </w:tc>
      </w:tr>
      <w:tr w:rsidR="00A0308E" w:rsidRPr="003B10E2" w14:paraId="61FD730D"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96B515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Wave Cyber(Shanghai),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51D567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399.52</w:t>
            </w:r>
          </w:p>
        </w:tc>
        <w:tc>
          <w:tcPr>
            <w:tcW w:w="957" w:type="dxa"/>
            <w:tcBorders>
              <w:top w:val="nil"/>
              <w:left w:val="nil"/>
              <w:bottom w:val="single" w:sz="4" w:space="0" w:color="000000"/>
              <w:right w:val="single" w:sz="4" w:space="0" w:color="000000"/>
            </w:tcBorders>
            <w:shd w:val="clear" w:color="auto" w:fill="auto"/>
            <w:noWrap/>
            <w:vAlign w:val="bottom"/>
            <w:hideMark/>
          </w:tcPr>
          <w:p w14:paraId="718B12D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16.43</w:t>
            </w:r>
          </w:p>
        </w:tc>
        <w:tc>
          <w:tcPr>
            <w:tcW w:w="1418" w:type="dxa"/>
            <w:tcBorders>
              <w:top w:val="nil"/>
              <w:left w:val="nil"/>
              <w:bottom w:val="single" w:sz="4" w:space="0" w:color="000000"/>
              <w:right w:val="single" w:sz="4" w:space="0" w:color="000000"/>
            </w:tcBorders>
            <w:shd w:val="clear" w:color="auto" w:fill="auto"/>
            <w:noWrap/>
            <w:vAlign w:val="bottom"/>
            <w:hideMark/>
          </w:tcPr>
          <w:p w14:paraId="7F5E5C0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15.10</w:t>
            </w:r>
          </w:p>
        </w:tc>
      </w:tr>
      <w:tr w:rsidR="00A0308E" w:rsidRPr="003B10E2" w14:paraId="52CADC2E"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33392F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Ways Electron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C99CE0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476.87</w:t>
            </w:r>
          </w:p>
        </w:tc>
        <w:tc>
          <w:tcPr>
            <w:tcW w:w="957" w:type="dxa"/>
            <w:tcBorders>
              <w:top w:val="nil"/>
              <w:left w:val="nil"/>
              <w:bottom w:val="single" w:sz="4" w:space="0" w:color="000000"/>
              <w:right w:val="single" w:sz="4" w:space="0" w:color="000000"/>
            </w:tcBorders>
            <w:shd w:val="clear" w:color="auto" w:fill="auto"/>
            <w:noWrap/>
            <w:vAlign w:val="bottom"/>
            <w:hideMark/>
          </w:tcPr>
          <w:p w14:paraId="338169D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16.01</w:t>
            </w:r>
          </w:p>
        </w:tc>
        <w:tc>
          <w:tcPr>
            <w:tcW w:w="1418" w:type="dxa"/>
            <w:tcBorders>
              <w:top w:val="nil"/>
              <w:left w:val="nil"/>
              <w:bottom w:val="single" w:sz="4" w:space="0" w:color="000000"/>
              <w:right w:val="single" w:sz="4" w:space="0" w:color="000000"/>
            </w:tcBorders>
            <w:shd w:val="clear" w:color="auto" w:fill="auto"/>
            <w:noWrap/>
            <w:vAlign w:val="bottom"/>
            <w:hideMark/>
          </w:tcPr>
          <w:p w14:paraId="06C51BD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162.81</w:t>
            </w:r>
          </w:p>
        </w:tc>
      </w:tr>
      <w:tr w:rsidR="00A0308E" w:rsidRPr="003B10E2" w14:paraId="5D513E57"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B6DA3F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Wayz Intelligent Manufacturing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837C04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830.85</w:t>
            </w:r>
          </w:p>
        </w:tc>
        <w:tc>
          <w:tcPr>
            <w:tcW w:w="957" w:type="dxa"/>
            <w:tcBorders>
              <w:top w:val="nil"/>
              <w:left w:val="nil"/>
              <w:bottom w:val="single" w:sz="4" w:space="0" w:color="000000"/>
              <w:right w:val="single" w:sz="4" w:space="0" w:color="000000"/>
            </w:tcBorders>
            <w:shd w:val="clear" w:color="auto" w:fill="auto"/>
            <w:noWrap/>
            <w:vAlign w:val="bottom"/>
            <w:hideMark/>
          </w:tcPr>
          <w:p w14:paraId="1DD8283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45.11</w:t>
            </w:r>
          </w:p>
        </w:tc>
        <w:tc>
          <w:tcPr>
            <w:tcW w:w="1418" w:type="dxa"/>
            <w:tcBorders>
              <w:top w:val="nil"/>
              <w:left w:val="nil"/>
              <w:bottom w:val="single" w:sz="4" w:space="0" w:color="000000"/>
              <w:right w:val="single" w:sz="4" w:space="0" w:color="000000"/>
            </w:tcBorders>
            <w:shd w:val="clear" w:color="auto" w:fill="auto"/>
            <w:noWrap/>
            <w:vAlign w:val="bottom"/>
            <w:hideMark/>
          </w:tcPr>
          <w:p w14:paraId="088B268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11.87</w:t>
            </w:r>
          </w:p>
        </w:tc>
      </w:tr>
      <w:tr w:rsidR="00A0308E" w:rsidRPr="003B10E2" w14:paraId="6F2F09C2"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0D165C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Wei Long Grape Wine,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C3A326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582.10</w:t>
            </w:r>
          </w:p>
        </w:tc>
        <w:tc>
          <w:tcPr>
            <w:tcW w:w="957" w:type="dxa"/>
            <w:tcBorders>
              <w:top w:val="nil"/>
              <w:left w:val="nil"/>
              <w:bottom w:val="single" w:sz="4" w:space="0" w:color="000000"/>
              <w:right w:val="single" w:sz="4" w:space="0" w:color="000000"/>
            </w:tcBorders>
            <w:shd w:val="clear" w:color="auto" w:fill="auto"/>
            <w:noWrap/>
            <w:vAlign w:val="bottom"/>
            <w:hideMark/>
          </w:tcPr>
          <w:p w14:paraId="6FAD3CB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12.50</w:t>
            </w:r>
          </w:p>
        </w:tc>
        <w:tc>
          <w:tcPr>
            <w:tcW w:w="1418" w:type="dxa"/>
            <w:tcBorders>
              <w:top w:val="nil"/>
              <w:left w:val="nil"/>
              <w:bottom w:val="single" w:sz="4" w:space="0" w:color="000000"/>
              <w:right w:val="single" w:sz="4" w:space="0" w:color="000000"/>
            </w:tcBorders>
            <w:shd w:val="clear" w:color="auto" w:fill="auto"/>
            <w:noWrap/>
            <w:vAlign w:val="bottom"/>
            <w:hideMark/>
          </w:tcPr>
          <w:p w14:paraId="640000E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921.61</w:t>
            </w:r>
          </w:p>
        </w:tc>
      </w:tr>
      <w:tr w:rsidR="00A0308E" w:rsidRPr="003B10E2" w14:paraId="1A968B32"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A965CF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Weifang Yaxing Chemical,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57A96D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223.04</w:t>
            </w:r>
          </w:p>
        </w:tc>
        <w:tc>
          <w:tcPr>
            <w:tcW w:w="957" w:type="dxa"/>
            <w:tcBorders>
              <w:top w:val="nil"/>
              <w:left w:val="nil"/>
              <w:bottom w:val="single" w:sz="4" w:space="0" w:color="000000"/>
              <w:right w:val="single" w:sz="4" w:space="0" w:color="000000"/>
            </w:tcBorders>
            <w:shd w:val="clear" w:color="auto" w:fill="auto"/>
            <w:noWrap/>
            <w:vAlign w:val="bottom"/>
            <w:hideMark/>
          </w:tcPr>
          <w:p w14:paraId="7AF9F88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5.05</w:t>
            </w:r>
          </w:p>
        </w:tc>
        <w:tc>
          <w:tcPr>
            <w:tcW w:w="1418" w:type="dxa"/>
            <w:tcBorders>
              <w:top w:val="nil"/>
              <w:left w:val="nil"/>
              <w:bottom w:val="single" w:sz="4" w:space="0" w:color="000000"/>
              <w:right w:val="single" w:sz="4" w:space="0" w:color="000000"/>
            </w:tcBorders>
            <w:shd w:val="clear" w:color="auto" w:fill="auto"/>
            <w:noWrap/>
            <w:vAlign w:val="bottom"/>
            <w:hideMark/>
          </w:tcPr>
          <w:p w14:paraId="62C0D41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9.05</w:t>
            </w:r>
          </w:p>
        </w:tc>
      </w:tr>
      <w:tr w:rsidR="00A0308E" w:rsidRPr="003B10E2" w14:paraId="43CAA5F8"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C66C02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Weihai Baihe Biology Technological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CE65A7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390.51</w:t>
            </w:r>
          </w:p>
        </w:tc>
        <w:tc>
          <w:tcPr>
            <w:tcW w:w="957" w:type="dxa"/>
            <w:tcBorders>
              <w:top w:val="nil"/>
              <w:left w:val="nil"/>
              <w:bottom w:val="single" w:sz="4" w:space="0" w:color="000000"/>
              <w:right w:val="single" w:sz="4" w:space="0" w:color="000000"/>
            </w:tcBorders>
            <w:shd w:val="clear" w:color="auto" w:fill="auto"/>
            <w:noWrap/>
            <w:vAlign w:val="bottom"/>
            <w:hideMark/>
          </w:tcPr>
          <w:p w14:paraId="1C29F10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43.60</w:t>
            </w:r>
          </w:p>
        </w:tc>
        <w:tc>
          <w:tcPr>
            <w:tcW w:w="1418" w:type="dxa"/>
            <w:tcBorders>
              <w:top w:val="nil"/>
              <w:left w:val="nil"/>
              <w:bottom w:val="single" w:sz="4" w:space="0" w:color="000000"/>
              <w:right w:val="single" w:sz="4" w:space="0" w:color="000000"/>
            </w:tcBorders>
            <w:shd w:val="clear" w:color="auto" w:fill="auto"/>
            <w:noWrap/>
            <w:vAlign w:val="bottom"/>
            <w:hideMark/>
          </w:tcPr>
          <w:p w14:paraId="100FA8C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22.59</w:t>
            </w:r>
          </w:p>
        </w:tc>
      </w:tr>
      <w:tr w:rsidR="00A0308E" w:rsidRPr="003B10E2" w14:paraId="19EA4B2B"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04E067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Welcome Intelligent Manufacturing,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C5AE83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1 057.85</w:t>
            </w:r>
          </w:p>
        </w:tc>
        <w:tc>
          <w:tcPr>
            <w:tcW w:w="957" w:type="dxa"/>
            <w:tcBorders>
              <w:top w:val="nil"/>
              <w:left w:val="nil"/>
              <w:bottom w:val="single" w:sz="4" w:space="0" w:color="000000"/>
              <w:right w:val="single" w:sz="4" w:space="0" w:color="000000"/>
            </w:tcBorders>
            <w:shd w:val="clear" w:color="auto" w:fill="auto"/>
            <w:noWrap/>
            <w:vAlign w:val="bottom"/>
            <w:hideMark/>
          </w:tcPr>
          <w:p w14:paraId="268C19F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18.85</w:t>
            </w:r>
          </w:p>
        </w:tc>
        <w:tc>
          <w:tcPr>
            <w:tcW w:w="1418" w:type="dxa"/>
            <w:tcBorders>
              <w:top w:val="nil"/>
              <w:left w:val="nil"/>
              <w:bottom w:val="single" w:sz="4" w:space="0" w:color="000000"/>
              <w:right w:val="single" w:sz="4" w:space="0" w:color="000000"/>
            </w:tcBorders>
            <w:shd w:val="clear" w:color="auto" w:fill="auto"/>
            <w:noWrap/>
            <w:vAlign w:val="bottom"/>
            <w:hideMark/>
          </w:tcPr>
          <w:p w14:paraId="67CC0BB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97.05</w:t>
            </w:r>
          </w:p>
        </w:tc>
      </w:tr>
      <w:tr w:rsidR="00A0308E" w:rsidRPr="003B10E2" w14:paraId="650ABC9E"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C52626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Well Lead Medical,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F94C7B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698.50</w:t>
            </w:r>
          </w:p>
        </w:tc>
        <w:tc>
          <w:tcPr>
            <w:tcW w:w="957" w:type="dxa"/>
            <w:tcBorders>
              <w:top w:val="nil"/>
              <w:left w:val="nil"/>
              <w:bottom w:val="single" w:sz="4" w:space="0" w:color="000000"/>
              <w:right w:val="single" w:sz="4" w:space="0" w:color="000000"/>
            </w:tcBorders>
            <w:shd w:val="clear" w:color="auto" w:fill="auto"/>
            <w:noWrap/>
            <w:vAlign w:val="bottom"/>
            <w:hideMark/>
          </w:tcPr>
          <w:p w14:paraId="59BF160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17.01</w:t>
            </w:r>
          </w:p>
        </w:tc>
        <w:tc>
          <w:tcPr>
            <w:tcW w:w="1418" w:type="dxa"/>
            <w:tcBorders>
              <w:top w:val="nil"/>
              <w:left w:val="nil"/>
              <w:bottom w:val="single" w:sz="4" w:space="0" w:color="000000"/>
              <w:right w:val="single" w:sz="4" w:space="0" w:color="000000"/>
            </w:tcBorders>
            <w:shd w:val="clear" w:color="auto" w:fill="auto"/>
            <w:noWrap/>
            <w:vAlign w:val="bottom"/>
            <w:hideMark/>
          </w:tcPr>
          <w:p w14:paraId="12BC836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39.18</w:t>
            </w:r>
          </w:p>
        </w:tc>
      </w:tr>
      <w:tr w:rsidR="00A0308E" w:rsidRPr="003B10E2" w14:paraId="15DE8DD2"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7F2F94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Wenfeng Great World Chain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F52DB2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651.73</w:t>
            </w:r>
          </w:p>
        </w:tc>
        <w:tc>
          <w:tcPr>
            <w:tcW w:w="957" w:type="dxa"/>
            <w:tcBorders>
              <w:top w:val="nil"/>
              <w:left w:val="nil"/>
              <w:bottom w:val="single" w:sz="4" w:space="0" w:color="000000"/>
              <w:right w:val="single" w:sz="4" w:space="0" w:color="000000"/>
            </w:tcBorders>
            <w:shd w:val="clear" w:color="auto" w:fill="auto"/>
            <w:noWrap/>
            <w:vAlign w:val="bottom"/>
            <w:hideMark/>
          </w:tcPr>
          <w:p w14:paraId="58AD913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2.52</w:t>
            </w:r>
          </w:p>
        </w:tc>
        <w:tc>
          <w:tcPr>
            <w:tcW w:w="1418" w:type="dxa"/>
            <w:tcBorders>
              <w:top w:val="nil"/>
              <w:left w:val="nil"/>
              <w:bottom w:val="single" w:sz="4" w:space="0" w:color="000000"/>
              <w:right w:val="single" w:sz="4" w:space="0" w:color="000000"/>
            </w:tcBorders>
            <w:shd w:val="clear" w:color="auto" w:fill="auto"/>
            <w:noWrap/>
            <w:vAlign w:val="bottom"/>
            <w:hideMark/>
          </w:tcPr>
          <w:p w14:paraId="15A92AE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20.05</w:t>
            </w:r>
          </w:p>
        </w:tc>
      </w:tr>
      <w:tr w:rsidR="00A0308E" w:rsidRPr="003B10E2" w14:paraId="56B9331F"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5F37ED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Western Mining Company,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955D7D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3 488.37</w:t>
            </w:r>
          </w:p>
        </w:tc>
        <w:tc>
          <w:tcPr>
            <w:tcW w:w="957" w:type="dxa"/>
            <w:tcBorders>
              <w:top w:val="nil"/>
              <w:left w:val="nil"/>
              <w:bottom w:val="single" w:sz="4" w:space="0" w:color="000000"/>
              <w:right w:val="single" w:sz="4" w:space="0" w:color="000000"/>
            </w:tcBorders>
            <w:shd w:val="clear" w:color="auto" w:fill="auto"/>
            <w:noWrap/>
            <w:vAlign w:val="bottom"/>
            <w:hideMark/>
          </w:tcPr>
          <w:p w14:paraId="2D4750B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10.46</w:t>
            </w:r>
          </w:p>
        </w:tc>
        <w:tc>
          <w:tcPr>
            <w:tcW w:w="1418" w:type="dxa"/>
            <w:tcBorders>
              <w:top w:val="nil"/>
              <w:left w:val="nil"/>
              <w:bottom w:val="single" w:sz="4" w:space="0" w:color="000000"/>
              <w:right w:val="single" w:sz="4" w:space="0" w:color="000000"/>
            </w:tcBorders>
            <w:shd w:val="clear" w:color="auto" w:fill="auto"/>
            <w:noWrap/>
            <w:vAlign w:val="bottom"/>
            <w:hideMark/>
          </w:tcPr>
          <w:p w14:paraId="23F059F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225.90</w:t>
            </w:r>
          </w:p>
        </w:tc>
      </w:tr>
      <w:tr w:rsidR="00A0308E" w:rsidRPr="003B10E2" w14:paraId="3400DDD3"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9EB21E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Western Region Gold,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C80552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1 191.70</w:t>
            </w:r>
          </w:p>
        </w:tc>
        <w:tc>
          <w:tcPr>
            <w:tcW w:w="957" w:type="dxa"/>
            <w:tcBorders>
              <w:top w:val="nil"/>
              <w:left w:val="nil"/>
              <w:bottom w:val="single" w:sz="4" w:space="0" w:color="000000"/>
              <w:right w:val="single" w:sz="4" w:space="0" w:color="000000"/>
            </w:tcBorders>
            <w:shd w:val="clear" w:color="auto" w:fill="auto"/>
            <w:noWrap/>
            <w:vAlign w:val="bottom"/>
            <w:hideMark/>
          </w:tcPr>
          <w:p w14:paraId="124EFEB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13.25</w:t>
            </w:r>
          </w:p>
        </w:tc>
        <w:tc>
          <w:tcPr>
            <w:tcW w:w="1418" w:type="dxa"/>
            <w:tcBorders>
              <w:top w:val="nil"/>
              <w:left w:val="nil"/>
              <w:bottom w:val="single" w:sz="4" w:space="0" w:color="000000"/>
              <w:right w:val="single" w:sz="4" w:space="0" w:color="000000"/>
            </w:tcBorders>
            <w:shd w:val="clear" w:color="auto" w:fill="auto"/>
            <w:noWrap/>
            <w:vAlign w:val="bottom"/>
            <w:hideMark/>
          </w:tcPr>
          <w:p w14:paraId="7B8EE55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141.70</w:t>
            </w:r>
          </w:p>
        </w:tc>
      </w:tr>
      <w:tr w:rsidR="00A0308E" w:rsidRPr="003B10E2" w14:paraId="06EBA25C"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04AA98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Western Superconducting 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B55F9D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5 046.03</w:t>
            </w:r>
          </w:p>
        </w:tc>
        <w:tc>
          <w:tcPr>
            <w:tcW w:w="957" w:type="dxa"/>
            <w:tcBorders>
              <w:top w:val="nil"/>
              <w:left w:val="nil"/>
              <w:bottom w:val="single" w:sz="4" w:space="0" w:color="000000"/>
              <w:right w:val="single" w:sz="4" w:space="0" w:color="000000"/>
            </w:tcBorders>
            <w:shd w:val="clear" w:color="auto" w:fill="auto"/>
            <w:noWrap/>
            <w:vAlign w:val="bottom"/>
            <w:hideMark/>
          </w:tcPr>
          <w:p w14:paraId="5C5E21C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77.70</w:t>
            </w:r>
          </w:p>
        </w:tc>
        <w:tc>
          <w:tcPr>
            <w:tcW w:w="1418" w:type="dxa"/>
            <w:tcBorders>
              <w:top w:val="nil"/>
              <w:left w:val="nil"/>
              <w:bottom w:val="single" w:sz="4" w:space="0" w:color="000000"/>
              <w:right w:val="single" w:sz="4" w:space="0" w:color="000000"/>
            </w:tcBorders>
            <w:shd w:val="clear" w:color="auto" w:fill="auto"/>
            <w:noWrap/>
            <w:vAlign w:val="bottom"/>
            <w:hideMark/>
          </w:tcPr>
          <w:p w14:paraId="2243324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344.08</w:t>
            </w:r>
          </w:p>
        </w:tc>
      </w:tr>
      <w:tr w:rsidR="00A0308E" w:rsidRPr="003B10E2" w14:paraId="7AC0C738"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8C0667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Wetown Electric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8286C5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373.33</w:t>
            </w:r>
          </w:p>
        </w:tc>
        <w:tc>
          <w:tcPr>
            <w:tcW w:w="957" w:type="dxa"/>
            <w:tcBorders>
              <w:top w:val="nil"/>
              <w:left w:val="nil"/>
              <w:bottom w:val="single" w:sz="4" w:space="0" w:color="000000"/>
              <w:right w:val="single" w:sz="4" w:space="0" w:color="000000"/>
            </w:tcBorders>
            <w:shd w:val="clear" w:color="auto" w:fill="auto"/>
            <w:noWrap/>
            <w:vAlign w:val="bottom"/>
            <w:hideMark/>
          </w:tcPr>
          <w:p w14:paraId="31D09EB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17.10</w:t>
            </w:r>
          </w:p>
        </w:tc>
        <w:tc>
          <w:tcPr>
            <w:tcW w:w="1418" w:type="dxa"/>
            <w:tcBorders>
              <w:top w:val="nil"/>
              <w:left w:val="nil"/>
              <w:bottom w:val="single" w:sz="4" w:space="0" w:color="000000"/>
              <w:right w:val="single" w:sz="4" w:space="0" w:color="000000"/>
            </w:tcBorders>
            <w:shd w:val="clear" w:color="auto" w:fill="auto"/>
            <w:noWrap/>
            <w:vAlign w:val="bottom"/>
            <w:hideMark/>
          </w:tcPr>
          <w:p w14:paraId="2B65C84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44.36</w:t>
            </w:r>
          </w:p>
        </w:tc>
      </w:tr>
      <w:tr w:rsidR="00A0308E" w:rsidRPr="003B10E2" w14:paraId="3F321646"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0A7AC79"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WG Tech JiangXi,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4B9084F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468.67</w:t>
            </w:r>
          </w:p>
        </w:tc>
        <w:tc>
          <w:tcPr>
            <w:tcW w:w="957" w:type="dxa"/>
            <w:tcBorders>
              <w:top w:val="nil"/>
              <w:left w:val="nil"/>
              <w:bottom w:val="single" w:sz="4" w:space="0" w:color="000000"/>
              <w:right w:val="single" w:sz="4" w:space="0" w:color="000000"/>
            </w:tcBorders>
            <w:shd w:val="clear" w:color="auto" w:fill="auto"/>
            <w:noWrap/>
            <w:vAlign w:val="bottom"/>
            <w:hideMark/>
          </w:tcPr>
          <w:p w14:paraId="024A880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27.37</w:t>
            </w:r>
          </w:p>
        </w:tc>
        <w:tc>
          <w:tcPr>
            <w:tcW w:w="1418" w:type="dxa"/>
            <w:tcBorders>
              <w:top w:val="nil"/>
              <w:left w:val="nil"/>
              <w:bottom w:val="single" w:sz="4" w:space="0" w:color="000000"/>
              <w:right w:val="single" w:sz="4" w:space="0" w:color="000000"/>
            </w:tcBorders>
            <w:shd w:val="clear" w:color="auto" w:fill="auto"/>
            <w:noWrap/>
            <w:vAlign w:val="bottom"/>
            <w:hideMark/>
          </w:tcPr>
          <w:p w14:paraId="005104C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115.26</w:t>
            </w:r>
          </w:p>
        </w:tc>
      </w:tr>
      <w:tr w:rsidR="00A0308E" w:rsidRPr="003B10E2" w14:paraId="0158FA7B"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F8D582F"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Whirlpool China,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6C7CEE1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804.46</w:t>
            </w:r>
          </w:p>
        </w:tc>
        <w:tc>
          <w:tcPr>
            <w:tcW w:w="957" w:type="dxa"/>
            <w:tcBorders>
              <w:top w:val="nil"/>
              <w:left w:val="nil"/>
              <w:bottom w:val="single" w:sz="4" w:space="0" w:color="000000"/>
              <w:right w:val="single" w:sz="4" w:space="0" w:color="000000"/>
            </w:tcBorders>
            <w:shd w:val="clear" w:color="auto" w:fill="auto"/>
            <w:noWrap/>
            <w:vAlign w:val="bottom"/>
            <w:hideMark/>
          </w:tcPr>
          <w:p w14:paraId="0FC6111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7.50</w:t>
            </w:r>
          </w:p>
        </w:tc>
        <w:tc>
          <w:tcPr>
            <w:tcW w:w="1418" w:type="dxa"/>
            <w:tcBorders>
              <w:top w:val="nil"/>
              <w:left w:val="nil"/>
              <w:bottom w:val="single" w:sz="4" w:space="0" w:color="000000"/>
              <w:right w:val="single" w:sz="4" w:space="0" w:color="000000"/>
            </w:tcBorders>
            <w:shd w:val="clear" w:color="auto" w:fill="auto"/>
            <w:noWrap/>
            <w:vAlign w:val="bottom"/>
            <w:hideMark/>
          </w:tcPr>
          <w:p w14:paraId="3C897BA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7.30</w:t>
            </w:r>
          </w:p>
        </w:tc>
      </w:tr>
      <w:tr w:rsidR="00A0308E" w:rsidRPr="003B10E2" w14:paraId="5494BCB7"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D8DE12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Will Semiconductor Shanghai,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7027B6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12 226.20</w:t>
            </w:r>
          </w:p>
        </w:tc>
        <w:tc>
          <w:tcPr>
            <w:tcW w:w="957" w:type="dxa"/>
            <w:tcBorders>
              <w:top w:val="nil"/>
              <w:left w:val="nil"/>
              <w:bottom w:val="single" w:sz="4" w:space="0" w:color="000000"/>
              <w:right w:val="single" w:sz="4" w:space="0" w:color="000000"/>
            </w:tcBorders>
            <w:shd w:val="clear" w:color="auto" w:fill="auto"/>
            <w:noWrap/>
            <w:vAlign w:val="bottom"/>
            <w:hideMark/>
          </w:tcPr>
          <w:p w14:paraId="1545814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99.76</w:t>
            </w:r>
          </w:p>
        </w:tc>
        <w:tc>
          <w:tcPr>
            <w:tcW w:w="1418" w:type="dxa"/>
            <w:tcBorders>
              <w:top w:val="nil"/>
              <w:left w:val="nil"/>
              <w:bottom w:val="single" w:sz="4" w:space="0" w:color="000000"/>
              <w:right w:val="single" w:sz="4" w:space="0" w:color="000000"/>
            </w:tcBorders>
            <w:shd w:val="clear" w:color="auto" w:fill="auto"/>
            <w:noWrap/>
            <w:vAlign w:val="bottom"/>
            <w:hideMark/>
          </w:tcPr>
          <w:p w14:paraId="267E411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999.99</w:t>
            </w:r>
          </w:p>
        </w:tc>
      </w:tr>
      <w:tr w:rsidR="00A0308E" w:rsidRPr="003B10E2" w14:paraId="5B363D1F"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918A7B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Willfar Information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1E8407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2 174.80</w:t>
            </w:r>
          </w:p>
        </w:tc>
        <w:tc>
          <w:tcPr>
            <w:tcW w:w="957" w:type="dxa"/>
            <w:tcBorders>
              <w:top w:val="nil"/>
              <w:left w:val="nil"/>
              <w:bottom w:val="single" w:sz="4" w:space="0" w:color="000000"/>
              <w:right w:val="single" w:sz="4" w:space="0" w:color="000000"/>
            </w:tcBorders>
            <w:shd w:val="clear" w:color="auto" w:fill="auto"/>
            <w:noWrap/>
            <w:vAlign w:val="bottom"/>
            <w:hideMark/>
          </w:tcPr>
          <w:p w14:paraId="75FE45F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31.08</w:t>
            </w:r>
          </w:p>
        </w:tc>
        <w:tc>
          <w:tcPr>
            <w:tcW w:w="1418" w:type="dxa"/>
            <w:tcBorders>
              <w:top w:val="nil"/>
              <w:left w:val="nil"/>
              <w:bottom w:val="single" w:sz="4" w:space="0" w:color="000000"/>
              <w:right w:val="single" w:sz="4" w:space="0" w:color="000000"/>
            </w:tcBorders>
            <w:shd w:val="clear" w:color="auto" w:fill="auto"/>
            <w:noWrap/>
            <w:vAlign w:val="bottom"/>
            <w:hideMark/>
          </w:tcPr>
          <w:p w14:paraId="36CFC14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122.46</w:t>
            </w:r>
          </w:p>
        </w:tc>
      </w:tr>
      <w:tr w:rsidR="00A0308E" w:rsidRPr="003B10E2" w14:paraId="320DE9BF"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AD3ABEC"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WindSun,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3577588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586.01</w:t>
            </w:r>
          </w:p>
        </w:tc>
        <w:tc>
          <w:tcPr>
            <w:tcW w:w="957" w:type="dxa"/>
            <w:tcBorders>
              <w:top w:val="nil"/>
              <w:left w:val="nil"/>
              <w:bottom w:val="single" w:sz="4" w:space="0" w:color="000000"/>
              <w:right w:val="single" w:sz="4" w:space="0" w:color="000000"/>
            </w:tcBorders>
            <w:shd w:val="clear" w:color="auto" w:fill="auto"/>
            <w:noWrap/>
            <w:vAlign w:val="bottom"/>
            <w:hideMark/>
          </w:tcPr>
          <w:p w14:paraId="3E8BD3B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29.92</w:t>
            </w:r>
          </w:p>
        </w:tc>
        <w:tc>
          <w:tcPr>
            <w:tcW w:w="1418" w:type="dxa"/>
            <w:tcBorders>
              <w:top w:val="nil"/>
              <w:left w:val="nil"/>
              <w:bottom w:val="single" w:sz="4" w:space="0" w:color="000000"/>
              <w:right w:val="single" w:sz="4" w:space="0" w:color="000000"/>
            </w:tcBorders>
            <w:shd w:val="clear" w:color="auto" w:fill="auto"/>
            <w:noWrap/>
            <w:vAlign w:val="bottom"/>
            <w:hideMark/>
          </w:tcPr>
          <w:p w14:paraId="1545CE7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54.04</w:t>
            </w:r>
          </w:p>
        </w:tc>
      </w:tr>
      <w:tr w:rsidR="00A0308E" w:rsidRPr="003B10E2" w14:paraId="1EAE95C5"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ACD014D"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Wingtech Technology,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05B7DAA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8 863.26</w:t>
            </w:r>
          </w:p>
        </w:tc>
        <w:tc>
          <w:tcPr>
            <w:tcW w:w="957" w:type="dxa"/>
            <w:tcBorders>
              <w:top w:val="nil"/>
              <w:left w:val="nil"/>
              <w:bottom w:val="single" w:sz="4" w:space="0" w:color="000000"/>
              <w:right w:val="single" w:sz="4" w:space="0" w:color="000000"/>
            </w:tcBorders>
            <w:shd w:val="clear" w:color="auto" w:fill="auto"/>
            <w:noWrap/>
            <w:vAlign w:val="bottom"/>
            <w:hideMark/>
          </w:tcPr>
          <w:p w14:paraId="794C709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50.82</w:t>
            </w:r>
          </w:p>
        </w:tc>
        <w:tc>
          <w:tcPr>
            <w:tcW w:w="1418" w:type="dxa"/>
            <w:tcBorders>
              <w:top w:val="nil"/>
              <w:left w:val="nil"/>
              <w:bottom w:val="single" w:sz="4" w:space="0" w:color="000000"/>
              <w:right w:val="single" w:sz="4" w:space="0" w:color="000000"/>
            </w:tcBorders>
            <w:shd w:val="clear" w:color="auto" w:fill="auto"/>
            <w:noWrap/>
            <w:vAlign w:val="bottom"/>
            <w:hideMark/>
          </w:tcPr>
          <w:p w14:paraId="0489347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831.31</w:t>
            </w:r>
          </w:p>
        </w:tc>
      </w:tr>
      <w:tr w:rsidR="00A0308E" w:rsidRPr="003B10E2" w14:paraId="2F98BD4D"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AB4668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Winsan Shanghai Industrial,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5CF341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19.09</w:t>
            </w:r>
          </w:p>
        </w:tc>
        <w:tc>
          <w:tcPr>
            <w:tcW w:w="957" w:type="dxa"/>
            <w:tcBorders>
              <w:top w:val="nil"/>
              <w:left w:val="nil"/>
              <w:bottom w:val="single" w:sz="4" w:space="0" w:color="000000"/>
              <w:right w:val="single" w:sz="4" w:space="0" w:color="000000"/>
            </w:tcBorders>
            <w:shd w:val="clear" w:color="auto" w:fill="auto"/>
            <w:noWrap/>
            <w:vAlign w:val="bottom"/>
            <w:hideMark/>
          </w:tcPr>
          <w:p w14:paraId="590D724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0.40</w:t>
            </w:r>
          </w:p>
        </w:tc>
        <w:tc>
          <w:tcPr>
            <w:tcW w:w="1418" w:type="dxa"/>
            <w:tcBorders>
              <w:top w:val="nil"/>
              <w:left w:val="nil"/>
              <w:bottom w:val="single" w:sz="4" w:space="0" w:color="000000"/>
              <w:right w:val="single" w:sz="4" w:space="0" w:color="000000"/>
            </w:tcBorders>
            <w:shd w:val="clear" w:color="auto" w:fill="auto"/>
            <w:noWrap/>
            <w:vAlign w:val="bottom"/>
            <w:hideMark/>
          </w:tcPr>
          <w:p w14:paraId="73E4E7A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3.71</w:t>
            </w:r>
          </w:p>
        </w:tc>
      </w:tr>
      <w:tr w:rsidR="00A0308E" w:rsidRPr="003B10E2" w14:paraId="6901E62D"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1A30AB8"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Wintime Energy,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36DEDCD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4 290.88</w:t>
            </w:r>
          </w:p>
        </w:tc>
        <w:tc>
          <w:tcPr>
            <w:tcW w:w="957" w:type="dxa"/>
            <w:tcBorders>
              <w:top w:val="nil"/>
              <w:left w:val="nil"/>
              <w:bottom w:val="single" w:sz="4" w:space="0" w:color="000000"/>
              <w:right w:val="single" w:sz="4" w:space="0" w:color="000000"/>
            </w:tcBorders>
            <w:shd w:val="clear" w:color="auto" w:fill="auto"/>
            <w:noWrap/>
            <w:vAlign w:val="bottom"/>
            <w:hideMark/>
          </w:tcPr>
          <w:p w14:paraId="1ECB974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1.38</w:t>
            </w:r>
          </w:p>
        </w:tc>
        <w:tc>
          <w:tcPr>
            <w:tcW w:w="1418" w:type="dxa"/>
            <w:tcBorders>
              <w:top w:val="nil"/>
              <w:left w:val="nil"/>
              <w:bottom w:val="single" w:sz="4" w:space="0" w:color="000000"/>
              <w:right w:val="single" w:sz="4" w:space="0" w:color="000000"/>
            </w:tcBorders>
            <w:shd w:val="clear" w:color="auto" w:fill="auto"/>
            <w:noWrap/>
            <w:vAlign w:val="bottom"/>
            <w:hideMark/>
          </w:tcPr>
          <w:p w14:paraId="037635F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295.63</w:t>
            </w:r>
          </w:p>
        </w:tc>
      </w:tr>
      <w:tr w:rsidR="00A0308E" w:rsidRPr="003B10E2" w14:paraId="273CB8EE"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8E8403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Wolong Electric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0F3443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2 194.10</w:t>
            </w:r>
          </w:p>
        </w:tc>
        <w:tc>
          <w:tcPr>
            <w:tcW w:w="957" w:type="dxa"/>
            <w:tcBorders>
              <w:top w:val="nil"/>
              <w:left w:val="nil"/>
              <w:bottom w:val="single" w:sz="4" w:space="0" w:color="000000"/>
              <w:right w:val="single" w:sz="4" w:space="0" w:color="000000"/>
            </w:tcBorders>
            <w:shd w:val="clear" w:color="auto" w:fill="auto"/>
            <w:noWrap/>
            <w:vAlign w:val="bottom"/>
            <w:hideMark/>
          </w:tcPr>
          <w:p w14:paraId="1F8D80A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11.92</w:t>
            </w:r>
          </w:p>
        </w:tc>
        <w:tc>
          <w:tcPr>
            <w:tcW w:w="1418" w:type="dxa"/>
            <w:tcBorders>
              <w:top w:val="nil"/>
              <w:left w:val="nil"/>
              <w:bottom w:val="single" w:sz="4" w:space="0" w:color="000000"/>
              <w:right w:val="single" w:sz="4" w:space="0" w:color="000000"/>
            </w:tcBorders>
            <w:shd w:val="clear" w:color="auto" w:fill="auto"/>
            <w:noWrap/>
            <w:vAlign w:val="bottom"/>
            <w:hideMark/>
          </w:tcPr>
          <w:p w14:paraId="128C30E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73.09</w:t>
            </w:r>
          </w:p>
        </w:tc>
      </w:tr>
      <w:tr w:rsidR="00A0308E" w:rsidRPr="003B10E2" w14:paraId="7123A314"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F8F3FF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Wolong Real Estate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596388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523.50</w:t>
            </w:r>
          </w:p>
        </w:tc>
        <w:tc>
          <w:tcPr>
            <w:tcW w:w="957" w:type="dxa"/>
            <w:tcBorders>
              <w:top w:val="nil"/>
              <w:left w:val="nil"/>
              <w:bottom w:val="single" w:sz="4" w:space="0" w:color="000000"/>
              <w:right w:val="single" w:sz="4" w:space="0" w:color="000000"/>
            </w:tcBorders>
            <w:shd w:val="clear" w:color="auto" w:fill="auto"/>
            <w:noWrap/>
            <w:vAlign w:val="bottom"/>
            <w:hideMark/>
          </w:tcPr>
          <w:p w14:paraId="3F0383A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5.34</w:t>
            </w:r>
          </w:p>
        </w:tc>
        <w:tc>
          <w:tcPr>
            <w:tcW w:w="1418" w:type="dxa"/>
            <w:tcBorders>
              <w:top w:val="nil"/>
              <w:left w:val="nil"/>
              <w:bottom w:val="single" w:sz="4" w:space="0" w:color="000000"/>
              <w:right w:val="single" w:sz="4" w:space="0" w:color="000000"/>
            </w:tcBorders>
            <w:shd w:val="clear" w:color="auto" w:fill="auto"/>
            <w:noWrap/>
            <w:vAlign w:val="bottom"/>
            <w:hideMark/>
          </w:tcPr>
          <w:p w14:paraId="04DEC47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26.46</w:t>
            </w:r>
          </w:p>
        </w:tc>
      </w:tr>
      <w:tr w:rsidR="00A0308E" w:rsidRPr="003B10E2" w14:paraId="47B59C75"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F3429A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WPG (Shanghai) Smart Water,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F2EE16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469.15</w:t>
            </w:r>
          </w:p>
        </w:tc>
        <w:tc>
          <w:tcPr>
            <w:tcW w:w="957" w:type="dxa"/>
            <w:tcBorders>
              <w:top w:val="nil"/>
              <w:left w:val="nil"/>
              <w:bottom w:val="single" w:sz="4" w:space="0" w:color="000000"/>
              <w:right w:val="single" w:sz="4" w:space="0" w:color="000000"/>
            </w:tcBorders>
            <w:shd w:val="clear" w:color="auto" w:fill="auto"/>
            <w:noWrap/>
            <w:vAlign w:val="bottom"/>
            <w:hideMark/>
          </w:tcPr>
          <w:p w14:paraId="14892DD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7.87</w:t>
            </w:r>
          </w:p>
        </w:tc>
        <w:tc>
          <w:tcPr>
            <w:tcW w:w="1418" w:type="dxa"/>
            <w:tcBorders>
              <w:top w:val="nil"/>
              <w:left w:val="nil"/>
              <w:bottom w:val="single" w:sz="4" w:space="0" w:color="000000"/>
              <w:right w:val="single" w:sz="4" w:space="0" w:color="000000"/>
            </w:tcBorders>
            <w:shd w:val="clear" w:color="auto" w:fill="auto"/>
            <w:noWrap/>
            <w:vAlign w:val="bottom"/>
            <w:hideMark/>
          </w:tcPr>
          <w:p w14:paraId="6DB1592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23.43</w:t>
            </w:r>
          </w:p>
        </w:tc>
      </w:tr>
      <w:tr w:rsidR="00A0308E" w:rsidRPr="003B10E2" w14:paraId="11FB1C6B"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D402161"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Wuchan Zhongda Group,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404D36C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3 679.51</w:t>
            </w:r>
          </w:p>
        </w:tc>
        <w:tc>
          <w:tcPr>
            <w:tcW w:w="957" w:type="dxa"/>
            <w:tcBorders>
              <w:top w:val="nil"/>
              <w:left w:val="nil"/>
              <w:bottom w:val="single" w:sz="4" w:space="0" w:color="000000"/>
              <w:right w:val="single" w:sz="4" w:space="0" w:color="000000"/>
            </w:tcBorders>
            <w:shd w:val="clear" w:color="auto" w:fill="auto"/>
            <w:noWrap/>
            <w:vAlign w:val="bottom"/>
            <w:hideMark/>
          </w:tcPr>
          <w:p w14:paraId="6D3BD83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5.06</w:t>
            </w:r>
          </w:p>
        </w:tc>
        <w:tc>
          <w:tcPr>
            <w:tcW w:w="1418" w:type="dxa"/>
            <w:tcBorders>
              <w:top w:val="nil"/>
              <w:left w:val="nil"/>
              <w:bottom w:val="single" w:sz="4" w:space="0" w:color="000000"/>
              <w:right w:val="single" w:sz="4" w:space="0" w:color="000000"/>
            </w:tcBorders>
            <w:shd w:val="clear" w:color="auto" w:fill="auto"/>
            <w:noWrap/>
            <w:vAlign w:val="bottom"/>
            <w:hideMark/>
          </w:tcPr>
          <w:p w14:paraId="2BE1D6D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145.17</w:t>
            </w:r>
          </w:p>
        </w:tc>
      </w:tr>
      <w:tr w:rsidR="00A0308E" w:rsidRPr="003B10E2" w14:paraId="1B92FC37"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97DFE7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Wuhan Citms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19769D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248.37</w:t>
            </w:r>
          </w:p>
        </w:tc>
        <w:tc>
          <w:tcPr>
            <w:tcW w:w="957" w:type="dxa"/>
            <w:tcBorders>
              <w:top w:val="nil"/>
              <w:left w:val="nil"/>
              <w:bottom w:val="single" w:sz="4" w:space="0" w:color="000000"/>
              <w:right w:val="single" w:sz="4" w:space="0" w:color="000000"/>
            </w:tcBorders>
            <w:shd w:val="clear" w:color="auto" w:fill="auto"/>
            <w:noWrap/>
            <w:vAlign w:val="bottom"/>
            <w:hideMark/>
          </w:tcPr>
          <w:p w14:paraId="48C4B58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15.25</w:t>
            </w:r>
          </w:p>
        </w:tc>
        <w:tc>
          <w:tcPr>
            <w:tcW w:w="1418" w:type="dxa"/>
            <w:tcBorders>
              <w:top w:val="nil"/>
              <w:left w:val="nil"/>
              <w:bottom w:val="single" w:sz="4" w:space="0" w:color="000000"/>
              <w:right w:val="single" w:sz="4" w:space="0" w:color="000000"/>
            </w:tcBorders>
            <w:shd w:val="clear" w:color="auto" w:fill="auto"/>
            <w:noWrap/>
            <w:vAlign w:val="bottom"/>
            <w:hideMark/>
          </w:tcPr>
          <w:p w14:paraId="3D73B92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36.16</w:t>
            </w:r>
          </w:p>
        </w:tc>
      </w:tr>
      <w:tr w:rsidR="00A0308E" w:rsidRPr="003B10E2" w14:paraId="54694061"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0E284C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Wuhan DDMC Culture &amp; Sports,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D0D768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265.08</w:t>
            </w:r>
          </w:p>
        </w:tc>
        <w:tc>
          <w:tcPr>
            <w:tcW w:w="957" w:type="dxa"/>
            <w:tcBorders>
              <w:top w:val="nil"/>
              <w:left w:val="nil"/>
              <w:bottom w:val="single" w:sz="4" w:space="0" w:color="000000"/>
              <w:right w:val="single" w:sz="4" w:space="0" w:color="000000"/>
            </w:tcBorders>
            <w:shd w:val="clear" w:color="auto" w:fill="auto"/>
            <w:noWrap/>
            <w:vAlign w:val="bottom"/>
            <w:hideMark/>
          </w:tcPr>
          <w:p w14:paraId="4887F80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3.24</w:t>
            </w:r>
          </w:p>
        </w:tc>
        <w:tc>
          <w:tcPr>
            <w:tcW w:w="1418" w:type="dxa"/>
            <w:tcBorders>
              <w:top w:val="nil"/>
              <w:left w:val="nil"/>
              <w:bottom w:val="single" w:sz="4" w:space="0" w:color="000000"/>
              <w:right w:val="single" w:sz="4" w:space="0" w:color="000000"/>
            </w:tcBorders>
            <w:shd w:val="clear" w:color="auto" w:fill="auto"/>
            <w:noWrap/>
            <w:vAlign w:val="bottom"/>
            <w:hideMark/>
          </w:tcPr>
          <w:p w14:paraId="2342CAC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48.99</w:t>
            </w:r>
          </w:p>
        </w:tc>
      </w:tr>
      <w:tr w:rsidR="00A0308E" w:rsidRPr="003B10E2" w14:paraId="0A1E5566"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4D7A32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Wuhan East Lake High Technology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F9AE7C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674.70</w:t>
            </w:r>
          </w:p>
        </w:tc>
        <w:tc>
          <w:tcPr>
            <w:tcW w:w="957" w:type="dxa"/>
            <w:tcBorders>
              <w:top w:val="nil"/>
              <w:left w:val="nil"/>
              <w:bottom w:val="single" w:sz="4" w:space="0" w:color="000000"/>
              <w:right w:val="single" w:sz="4" w:space="0" w:color="000000"/>
            </w:tcBorders>
            <w:shd w:val="clear" w:color="auto" w:fill="auto"/>
            <w:noWrap/>
            <w:vAlign w:val="bottom"/>
            <w:hideMark/>
          </w:tcPr>
          <w:p w14:paraId="34BBC57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6.06</w:t>
            </w:r>
          </w:p>
        </w:tc>
        <w:tc>
          <w:tcPr>
            <w:tcW w:w="1418" w:type="dxa"/>
            <w:tcBorders>
              <w:top w:val="nil"/>
              <w:left w:val="nil"/>
              <w:bottom w:val="single" w:sz="4" w:space="0" w:color="000000"/>
              <w:right w:val="single" w:sz="4" w:space="0" w:color="000000"/>
            </w:tcBorders>
            <w:shd w:val="clear" w:color="auto" w:fill="auto"/>
            <w:noWrap/>
            <w:vAlign w:val="bottom"/>
            <w:hideMark/>
          </w:tcPr>
          <w:p w14:paraId="22935B3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54.23</w:t>
            </w:r>
          </w:p>
        </w:tc>
      </w:tr>
      <w:tr w:rsidR="00A0308E" w:rsidRPr="003B10E2" w14:paraId="5CF4A1EA"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8BEE16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Wuhan Hanshang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DDAF55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531.81</w:t>
            </w:r>
          </w:p>
        </w:tc>
        <w:tc>
          <w:tcPr>
            <w:tcW w:w="957" w:type="dxa"/>
            <w:tcBorders>
              <w:top w:val="nil"/>
              <w:left w:val="nil"/>
              <w:bottom w:val="single" w:sz="4" w:space="0" w:color="000000"/>
              <w:right w:val="single" w:sz="4" w:space="0" w:color="000000"/>
            </w:tcBorders>
            <w:shd w:val="clear" w:color="auto" w:fill="auto"/>
            <w:noWrap/>
            <w:vAlign w:val="bottom"/>
            <w:hideMark/>
          </w:tcPr>
          <w:p w14:paraId="340366F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12.88</w:t>
            </w:r>
          </w:p>
        </w:tc>
        <w:tc>
          <w:tcPr>
            <w:tcW w:w="1418" w:type="dxa"/>
            <w:tcBorders>
              <w:top w:val="nil"/>
              <w:left w:val="nil"/>
              <w:bottom w:val="single" w:sz="4" w:space="0" w:color="000000"/>
              <w:right w:val="single" w:sz="4" w:space="0" w:color="000000"/>
            </w:tcBorders>
            <w:shd w:val="clear" w:color="auto" w:fill="auto"/>
            <w:noWrap/>
            <w:vAlign w:val="bottom"/>
            <w:hideMark/>
          </w:tcPr>
          <w:p w14:paraId="019219C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31.10</w:t>
            </w:r>
          </w:p>
        </w:tc>
      </w:tr>
      <w:tr w:rsidR="00A0308E" w:rsidRPr="003B10E2" w14:paraId="3AF2B7D4" w14:textId="77777777" w:rsidTr="00A0308E">
        <w:trPr>
          <w:trHeight w:val="300"/>
        </w:trPr>
        <w:tc>
          <w:tcPr>
            <w:tcW w:w="4815" w:type="dxa"/>
            <w:tcBorders>
              <w:top w:val="nil"/>
              <w:left w:val="single" w:sz="4" w:space="0" w:color="000000"/>
              <w:bottom w:val="single" w:sz="4" w:space="0" w:color="auto"/>
              <w:right w:val="single" w:sz="4" w:space="0" w:color="000000"/>
            </w:tcBorders>
            <w:shd w:val="clear" w:color="auto" w:fill="auto"/>
            <w:noWrap/>
            <w:vAlign w:val="bottom"/>
            <w:hideMark/>
          </w:tcPr>
          <w:p w14:paraId="2FF4830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Wuhan Keqian Biology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auto"/>
              <w:right w:val="single" w:sz="4" w:space="0" w:color="000000"/>
            </w:tcBorders>
            <w:shd w:val="clear" w:color="auto" w:fill="auto"/>
            <w:noWrap/>
            <w:vAlign w:val="bottom"/>
            <w:hideMark/>
          </w:tcPr>
          <w:p w14:paraId="52543E0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1 428.83</w:t>
            </w:r>
          </w:p>
        </w:tc>
        <w:tc>
          <w:tcPr>
            <w:tcW w:w="957" w:type="dxa"/>
            <w:tcBorders>
              <w:top w:val="nil"/>
              <w:left w:val="nil"/>
              <w:bottom w:val="single" w:sz="4" w:space="0" w:color="auto"/>
              <w:right w:val="single" w:sz="4" w:space="0" w:color="000000"/>
            </w:tcBorders>
            <w:shd w:val="clear" w:color="auto" w:fill="auto"/>
            <w:noWrap/>
            <w:vAlign w:val="bottom"/>
            <w:hideMark/>
          </w:tcPr>
          <w:p w14:paraId="04DC3DC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21.95</w:t>
            </w:r>
          </w:p>
        </w:tc>
        <w:tc>
          <w:tcPr>
            <w:tcW w:w="1418" w:type="dxa"/>
            <w:tcBorders>
              <w:top w:val="nil"/>
              <w:left w:val="nil"/>
              <w:bottom w:val="single" w:sz="4" w:space="0" w:color="auto"/>
              <w:right w:val="single" w:sz="4" w:space="0" w:color="000000"/>
            </w:tcBorders>
            <w:shd w:val="clear" w:color="auto" w:fill="auto"/>
            <w:noWrap/>
            <w:vAlign w:val="bottom"/>
            <w:hideMark/>
          </w:tcPr>
          <w:p w14:paraId="103ACDB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29.03</w:t>
            </w:r>
          </w:p>
        </w:tc>
      </w:tr>
      <w:tr w:rsidR="00A0308E" w:rsidRPr="003B10E2" w14:paraId="48612946"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830B6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Wuhan LinControl Automotive 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8F13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530.70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9B3E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73.49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85DB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36.57</w:t>
            </w:r>
          </w:p>
        </w:tc>
      </w:tr>
      <w:tr w:rsidR="00A0308E" w:rsidRPr="003B10E2" w14:paraId="5C6FD4DB" w14:textId="77777777" w:rsidTr="00A0308E">
        <w:trPr>
          <w:trHeight w:val="300"/>
        </w:trPr>
        <w:tc>
          <w:tcPr>
            <w:tcW w:w="481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27947C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Wuhan Sanzhen Industry 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nil"/>
              <w:bottom w:val="single" w:sz="4" w:space="0" w:color="000000"/>
              <w:right w:val="single" w:sz="4" w:space="0" w:color="000000"/>
            </w:tcBorders>
            <w:shd w:val="clear" w:color="auto" w:fill="auto"/>
            <w:noWrap/>
            <w:vAlign w:val="bottom"/>
            <w:hideMark/>
          </w:tcPr>
          <w:p w14:paraId="11C4A0D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588.87</w:t>
            </w:r>
          </w:p>
        </w:tc>
        <w:tc>
          <w:tcPr>
            <w:tcW w:w="957" w:type="dxa"/>
            <w:tcBorders>
              <w:top w:val="single" w:sz="4" w:space="0" w:color="auto"/>
              <w:left w:val="nil"/>
              <w:bottom w:val="single" w:sz="4" w:space="0" w:color="000000"/>
              <w:right w:val="single" w:sz="4" w:space="0" w:color="000000"/>
            </w:tcBorders>
            <w:shd w:val="clear" w:color="auto" w:fill="auto"/>
            <w:noWrap/>
            <w:vAlign w:val="bottom"/>
            <w:hideMark/>
          </w:tcPr>
          <w:p w14:paraId="3F5A833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5.93</w:t>
            </w:r>
          </w:p>
        </w:tc>
        <w:tc>
          <w:tcPr>
            <w:tcW w:w="1418" w:type="dxa"/>
            <w:tcBorders>
              <w:top w:val="single" w:sz="4" w:space="0" w:color="auto"/>
              <w:left w:val="nil"/>
              <w:bottom w:val="single" w:sz="4" w:space="0" w:color="000000"/>
              <w:right w:val="single" w:sz="4" w:space="0" w:color="000000"/>
            </w:tcBorders>
            <w:shd w:val="clear" w:color="auto" w:fill="auto"/>
            <w:noWrap/>
            <w:vAlign w:val="bottom"/>
            <w:hideMark/>
          </w:tcPr>
          <w:p w14:paraId="0E68902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7.93</w:t>
            </w:r>
          </w:p>
        </w:tc>
      </w:tr>
      <w:tr w:rsidR="00A0308E" w:rsidRPr="003B10E2" w14:paraId="2909BB95"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945AC7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Wuhan Xianglong Power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0F692C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455.50</w:t>
            </w:r>
          </w:p>
        </w:tc>
        <w:tc>
          <w:tcPr>
            <w:tcW w:w="957" w:type="dxa"/>
            <w:tcBorders>
              <w:top w:val="nil"/>
              <w:left w:val="nil"/>
              <w:bottom w:val="single" w:sz="4" w:space="0" w:color="000000"/>
              <w:right w:val="single" w:sz="4" w:space="0" w:color="000000"/>
            </w:tcBorders>
            <w:shd w:val="clear" w:color="auto" w:fill="auto"/>
            <w:noWrap/>
            <w:vAlign w:val="bottom"/>
            <w:hideMark/>
          </w:tcPr>
          <w:p w14:paraId="5E69703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8.68</w:t>
            </w:r>
          </w:p>
        </w:tc>
        <w:tc>
          <w:tcPr>
            <w:tcW w:w="1418" w:type="dxa"/>
            <w:tcBorders>
              <w:top w:val="nil"/>
              <w:left w:val="nil"/>
              <w:bottom w:val="single" w:sz="4" w:space="0" w:color="000000"/>
              <w:right w:val="single" w:sz="4" w:space="0" w:color="000000"/>
            </w:tcBorders>
            <w:shd w:val="clear" w:color="auto" w:fill="auto"/>
            <w:noWrap/>
            <w:vAlign w:val="bottom"/>
            <w:hideMark/>
          </w:tcPr>
          <w:p w14:paraId="0E0320B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102.88</w:t>
            </w:r>
          </w:p>
        </w:tc>
      </w:tr>
      <w:tr w:rsidR="00A0308E" w:rsidRPr="003B10E2" w14:paraId="073C36E0"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56E0D1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Wuhan Xingtu Xinke 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9F8C32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202.19</w:t>
            </w:r>
          </w:p>
        </w:tc>
        <w:tc>
          <w:tcPr>
            <w:tcW w:w="957" w:type="dxa"/>
            <w:tcBorders>
              <w:top w:val="nil"/>
              <w:left w:val="nil"/>
              <w:bottom w:val="single" w:sz="4" w:space="0" w:color="000000"/>
              <w:right w:val="single" w:sz="4" w:space="0" w:color="000000"/>
            </w:tcBorders>
            <w:shd w:val="clear" w:color="auto" w:fill="auto"/>
            <w:noWrap/>
            <w:vAlign w:val="bottom"/>
            <w:hideMark/>
          </w:tcPr>
          <w:p w14:paraId="7764B2E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19.63</w:t>
            </w:r>
          </w:p>
        </w:tc>
        <w:tc>
          <w:tcPr>
            <w:tcW w:w="1418" w:type="dxa"/>
            <w:tcBorders>
              <w:top w:val="nil"/>
              <w:left w:val="nil"/>
              <w:bottom w:val="single" w:sz="4" w:space="0" w:color="000000"/>
              <w:right w:val="single" w:sz="4" w:space="0" w:color="000000"/>
            </w:tcBorders>
            <w:shd w:val="clear" w:color="auto" w:fill="auto"/>
            <w:noWrap/>
            <w:vAlign w:val="bottom"/>
            <w:hideMark/>
          </w:tcPr>
          <w:p w14:paraId="6D30E13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62.69</w:t>
            </w:r>
          </w:p>
        </w:tc>
      </w:tr>
      <w:tr w:rsidR="00A0308E" w:rsidRPr="003B10E2" w14:paraId="12451C04"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C11DEA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Wuhan Yangtze Communications Industry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4979E1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646.19</w:t>
            </w:r>
          </w:p>
        </w:tc>
        <w:tc>
          <w:tcPr>
            <w:tcW w:w="957" w:type="dxa"/>
            <w:tcBorders>
              <w:top w:val="nil"/>
              <w:left w:val="nil"/>
              <w:bottom w:val="single" w:sz="4" w:space="0" w:color="000000"/>
              <w:right w:val="single" w:sz="4" w:space="0" w:color="000000"/>
            </w:tcBorders>
            <w:shd w:val="clear" w:color="auto" w:fill="auto"/>
            <w:noWrap/>
            <w:vAlign w:val="bottom"/>
            <w:hideMark/>
          </w:tcPr>
          <w:p w14:paraId="0799722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23.32</w:t>
            </w:r>
          </w:p>
        </w:tc>
        <w:tc>
          <w:tcPr>
            <w:tcW w:w="1418" w:type="dxa"/>
            <w:tcBorders>
              <w:top w:val="nil"/>
              <w:left w:val="nil"/>
              <w:bottom w:val="single" w:sz="4" w:space="0" w:color="000000"/>
              <w:right w:val="single" w:sz="4" w:space="0" w:color="000000"/>
            </w:tcBorders>
            <w:shd w:val="clear" w:color="auto" w:fill="auto"/>
            <w:noWrap/>
            <w:vAlign w:val="bottom"/>
            <w:hideMark/>
          </w:tcPr>
          <w:p w14:paraId="24BD6E8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350.46</w:t>
            </w:r>
          </w:p>
        </w:tc>
      </w:tr>
      <w:tr w:rsidR="00A0308E" w:rsidRPr="003B10E2" w14:paraId="687CB5AA"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0506E1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Wuhu Fuchun Dyeing &amp; Weaving,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89B46E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281.54</w:t>
            </w:r>
          </w:p>
        </w:tc>
        <w:tc>
          <w:tcPr>
            <w:tcW w:w="957" w:type="dxa"/>
            <w:tcBorders>
              <w:top w:val="nil"/>
              <w:left w:val="nil"/>
              <w:bottom w:val="single" w:sz="4" w:space="0" w:color="000000"/>
              <w:right w:val="single" w:sz="4" w:space="0" w:color="000000"/>
            </w:tcBorders>
            <w:shd w:val="clear" w:color="auto" w:fill="auto"/>
            <w:noWrap/>
            <w:vAlign w:val="bottom"/>
            <w:hideMark/>
          </w:tcPr>
          <w:p w14:paraId="67FB3B9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16.12</w:t>
            </w:r>
          </w:p>
        </w:tc>
        <w:tc>
          <w:tcPr>
            <w:tcW w:w="1418" w:type="dxa"/>
            <w:tcBorders>
              <w:top w:val="nil"/>
              <w:left w:val="nil"/>
              <w:bottom w:val="single" w:sz="4" w:space="0" w:color="000000"/>
              <w:right w:val="single" w:sz="4" w:space="0" w:color="000000"/>
            </w:tcBorders>
            <w:shd w:val="clear" w:color="auto" w:fill="auto"/>
            <w:noWrap/>
            <w:vAlign w:val="bottom"/>
            <w:hideMark/>
          </w:tcPr>
          <w:p w14:paraId="2C2A293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10.72</w:t>
            </w:r>
          </w:p>
        </w:tc>
      </w:tr>
      <w:tr w:rsidR="00A0308E" w:rsidRPr="003B10E2" w14:paraId="0001FD9D"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35236E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Wuxi Acryl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411880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642.53</w:t>
            </w:r>
          </w:p>
        </w:tc>
        <w:tc>
          <w:tcPr>
            <w:tcW w:w="957" w:type="dxa"/>
            <w:tcBorders>
              <w:top w:val="nil"/>
              <w:left w:val="nil"/>
              <w:bottom w:val="single" w:sz="4" w:space="0" w:color="000000"/>
              <w:right w:val="single" w:sz="4" w:space="0" w:color="000000"/>
            </w:tcBorders>
            <w:shd w:val="clear" w:color="auto" w:fill="auto"/>
            <w:noWrap/>
            <w:vAlign w:val="bottom"/>
            <w:hideMark/>
          </w:tcPr>
          <w:p w14:paraId="3F9C1FE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52.21</w:t>
            </w:r>
          </w:p>
        </w:tc>
        <w:tc>
          <w:tcPr>
            <w:tcW w:w="1418" w:type="dxa"/>
            <w:tcBorders>
              <w:top w:val="nil"/>
              <w:left w:val="nil"/>
              <w:bottom w:val="single" w:sz="4" w:space="0" w:color="000000"/>
              <w:right w:val="single" w:sz="4" w:space="0" w:color="000000"/>
            </w:tcBorders>
            <w:shd w:val="clear" w:color="auto" w:fill="auto"/>
            <w:noWrap/>
            <w:vAlign w:val="bottom"/>
            <w:hideMark/>
          </w:tcPr>
          <w:p w14:paraId="6381A77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57.08</w:t>
            </w:r>
          </w:p>
        </w:tc>
      </w:tr>
      <w:tr w:rsidR="00A0308E" w:rsidRPr="003B10E2" w14:paraId="17DE92E5"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76B15CC"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WuXi AppTec,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123021E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24 686.87</w:t>
            </w:r>
          </w:p>
        </w:tc>
        <w:tc>
          <w:tcPr>
            <w:tcW w:w="957" w:type="dxa"/>
            <w:tcBorders>
              <w:top w:val="nil"/>
              <w:left w:val="nil"/>
              <w:bottom w:val="single" w:sz="4" w:space="0" w:color="000000"/>
              <w:right w:val="single" w:sz="4" w:space="0" w:color="000000"/>
            </w:tcBorders>
            <w:shd w:val="clear" w:color="auto" w:fill="auto"/>
            <w:noWrap/>
            <w:vAlign w:val="bottom"/>
            <w:hideMark/>
          </w:tcPr>
          <w:p w14:paraId="5B92819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68.81</w:t>
            </w:r>
          </w:p>
        </w:tc>
        <w:tc>
          <w:tcPr>
            <w:tcW w:w="1418" w:type="dxa"/>
            <w:tcBorders>
              <w:top w:val="nil"/>
              <w:left w:val="nil"/>
              <w:bottom w:val="single" w:sz="4" w:space="0" w:color="000000"/>
              <w:right w:val="single" w:sz="4" w:space="0" w:color="000000"/>
            </w:tcBorders>
            <w:shd w:val="clear" w:color="auto" w:fill="auto"/>
            <w:noWrap/>
            <w:vAlign w:val="bottom"/>
            <w:hideMark/>
          </w:tcPr>
          <w:p w14:paraId="1E82B82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1 308.49</w:t>
            </w:r>
          </w:p>
        </w:tc>
      </w:tr>
      <w:tr w:rsidR="00A0308E" w:rsidRPr="003B10E2" w14:paraId="3A9FFF28"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0B62AE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Wuxi Autowell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799370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2 382.00</w:t>
            </w:r>
          </w:p>
        </w:tc>
        <w:tc>
          <w:tcPr>
            <w:tcW w:w="957" w:type="dxa"/>
            <w:tcBorders>
              <w:top w:val="nil"/>
              <w:left w:val="nil"/>
              <w:bottom w:val="single" w:sz="4" w:space="0" w:color="000000"/>
              <w:right w:val="single" w:sz="4" w:space="0" w:color="000000"/>
            </w:tcBorders>
            <w:shd w:val="clear" w:color="auto" w:fill="auto"/>
            <w:noWrap/>
            <w:vAlign w:val="bottom"/>
            <w:hideMark/>
          </w:tcPr>
          <w:p w14:paraId="4BE140E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172.50</w:t>
            </w:r>
          </w:p>
        </w:tc>
        <w:tc>
          <w:tcPr>
            <w:tcW w:w="1418" w:type="dxa"/>
            <w:tcBorders>
              <w:top w:val="nil"/>
              <w:left w:val="nil"/>
              <w:bottom w:val="single" w:sz="4" w:space="0" w:color="000000"/>
              <w:right w:val="single" w:sz="4" w:space="0" w:color="000000"/>
            </w:tcBorders>
            <w:shd w:val="clear" w:color="auto" w:fill="auto"/>
            <w:noWrap/>
            <w:vAlign w:val="bottom"/>
            <w:hideMark/>
          </w:tcPr>
          <w:p w14:paraId="1B84398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207.83</w:t>
            </w:r>
          </w:p>
        </w:tc>
      </w:tr>
      <w:tr w:rsidR="00A0308E" w:rsidRPr="003B10E2" w14:paraId="292BA5DD"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70C78D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Wuxi Chipown Micro-Electronics,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484019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973.26</w:t>
            </w:r>
          </w:p>
        </w:tc>
        <w:tc>
          <w:tcPr>
            <w:tcW w:w="957" w:type="dxa"/>
            <w:tcBorders>
              <w:top w:val="nil"/>
              <w:left w:val="nil"/>
              <w:bottom w:val="single" w:sz="4" w:space="0" w:color="000000"/>
              <w:right w:val="single" w:sz="4" w:space="0" w:color="000000"/>
            </w:tcBorders>
            <w:shd w:val="clear" w:color="auto" w:fill="auto"/>
            <w:noWrap/>
            <w:vAlign w:val="bottom"/>
            <w:hideMark/>
          </w:tcPr>
          <w:p w14:paraId="773D7D2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61.49</w:t>
            </w:r>
          </w:p>
        </w:tc>
        <w:tc>
          <w:tcPr>
            <w:tcW w:w="1418" w:type="dxa"/>
            <w:tcBorders>
              <w:top w:val="nil"/>
              <w:left w:val="nil"/>
              <w:bottom w:val="single" w:sz="4" w:space="0" w:color="000000"/>
              <w:right w:val="single" w:sz="4" w:space="0" w:color="000000"/>
            </w:tcBorders>
            <w:shd w:val="clear" w:color="auto" w:fill="auto"/>
            <w:noWrap/>
            <w:vAlign w:val="bottom"/>
            <w:hideMark/>
          </w:tcPr>
          <w:p w14:paraId="0CF8359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102.28</w:t>
            </w:r>
          </w:p>
        </w:tc>
      </w:tr>
      <w:tr w:rsidR="00A0308E" w:rsidRPr="003B10E2" w14:paraId="716757B5"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A86CCE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Wuxi Commercial Mansion Grand Orient,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06E930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580.73</w:t>
            </w:r>
          </w:p>
        </w:tc>
        <w:tc>
          <w:tcPr>
            <w:tcW w:w="957" w:type="dxa"/>
            <w:tcBorders>
              <w:top w:val="nil"/>
              <w:left w:val="nil"/>
              <w:bottom w:val="single" w:sz="4" w:space="0" w:color="000000"/>
              <w:right w:val="single" w:sz="4" w:space="0" w:color="000000"/>
            </w:tcBorders>
            <w:shd w:val="clear" w:color="auto" w:fill="auto"/>
            <w:noWrap/>
            <w:vAlign w:val="bottom"/>
            <w:hideMark/>
          </w:tcPr>
          <w:p w14:paraId="5D0C463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4.69</w:t>
            </w:r>
          </w:p>
        </w:tc>
        <w:tc>
          <w:tcPr>
            <w:tcW w:w="1418" w:type="dxa"/>
            <w:tcBorders>
              <w:top w:val="nil"/>
              <w:left w:val="nil"/>
              <w:bottom w:val="single" w:sz="4" w:space="0" w:color="000000"/>
              <w:right w:val="single" w:sz="4" w:space="0" w:color="000000"/>
            </w:tcBorders>
            <w:shd w:val="clear" w:color="auto" w:fill="auto"/>
            <w:noWrap/>
            <w:vAlign w:val="bottom"/>
            <w:hideMark/>
          </w:tcPr>
          <w:p w14:paraId="3AEEACC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19.57</w:t>
            </w:r>
          </w:p>
        </w:tc>
      </w:tr>
      <w:tr w:rsidR="00A0308E" w:rsidRPr="003B10E2" w14:paraId="1D655A5A"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49CBFE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Wuxi Delinhai Environmental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C7AD23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227.04</w:t>
            </w:r>
          </w:p>
        </w:tc>
        <w:tc>
          <w:tcPr>
            <w:tcW w:w="957" w:type="dxa"/>
            <w:tcBorders>
              <w:top w:val="nil"/>
              <w:left w:val="nil"/>
              <w:bottom w:val="single" w:sz="4" w:space="0" w:color="000000"/>
              <w:right w:val="single" w:sz="4" w:space="0" w:color="000000"/>
            </w:tcBorders>
            <w:shd w:val="clear" w:color="auto" w:fill="auto"/>
            <w:noWrap/>
            <w:vAlign w:val="bottom"/>
            <w:hideMark/>
          </w:tcPr>
          <w:p w14:paraId="7EDF64E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27.28</w:t>
            </w:r>
          </w:p>
        </w:tc>
        <w:tc>
          <w:tcPr>
            <w:tcW w:w="1418" w:type="dxa"/>
            <w:tcBorders>
              <w:top w:val="nil"/>
              <w:left w:val="nil"/>
              <w:bottom w:val="single" w:sz="4" w:space="0" w:color="000000"/>
              <w:right w:val="single" w:sz="4" w:space="0" w:color="000000"/>
            </w:tcBorders>
            <w:shd w:val="clear" w:color="auto" w:fill="auto"/>
            <w:noWrap/>
            <w:vAlign w:val="bottom"/>
            <w:hideMark/>
          </w:tcPr>
          <w:p w14:paraId="5B2E61A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2.18</w:t>
            </w:r>
          </w:p>
        </w:tc>
      </w:tr>
      <w:tr w:rsidR="00A0308E" w:rsidRPr="003B10E2" w14:paraId="0A5BF664"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447ECE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Wuxi ETEK Microelectronics,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657912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457.33</w:t>
            </w:r>
          </w:p>
        </w:tc>
        <w:tc>
          <w:tcPr>
            <w:tcW w:w="957" w:type="dxa"/>
            <w:tcBorders>
              <w:top w:val="nil"/>
              <w:left w:val="nil"/>
              <w:bottom w:val="single" w:sz="4" w:space="0" w:color="000000"/>
              <w:right w:val="single" w:sz="4" w:space="0" w:color="000000"/>
            </w:tcBorders>
            <w:shd w:val="clear" w:color="auto" w:fill="auto"/>
            <w:noWrap/>
            <w:vAlign w:val="bottom"/>
            <w:hideMark/>
          </w:tcPr>
          <w:p w14:paraId="4868C3C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51.06</w:t>
            </w:r>
          </w:p>
        </w:tc>
        <w:tc>
          <w:tcPr>
            <w:tcW w:w="1418" w:type="dxa"/>
            <w:tcBorders>
              <w:top w:val="nil"/>
              <w:left w:val="nil"/>
              <w:bottom w:val="single" w:sz="4" w:space="0" w:color="000000"/>
              <w:right w:val="single" w:sz="4" w:space="0" w:color="000000"/>
            </w:tcBorders>
            <w:shd w:val="clear" w:color="auto" w:fill="auto"/>
            <w:noWrap/>
            <w:vAlign w:val="bottom"/>
            <w:hideMark/>
          </w:tcPr>
          <w:p w14:paraId="762BD37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54.89</w:t>
            </w:r>
          </w:p>
        </w:tc>
      </w:tr>
      <w:tr w:rsidR="00A0308E" w:rsidRPr="003B10E2" w14:paraId="3D6ECAE2"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508078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Wuxi Hongsheng Heat Exchanger Manufacturing,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014F46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282.56</w:t>
            </w:r>
          </w:p>
        </w:tc>
        <w:tc>
          <w:tcPr>
            <w:tcW w:w="957" w:type="dxa"/>
            <w:tcBorders>
              <w:top w:val="nil"/>
              <w:left w:val="nil"/>
              <w:bottom w:val="single" w:sz="4" w:space="0" w:color="000000"/>
              <w:right w:val="single" w:sz="4" w:space="0" w:color="000000"/>
            </w:tcBorders>
            <w:shd w:val="clear" w:color="auto" w:fill="auto"/>
            <w:noWrap/>
            <w:vAlign w:val="bottom"/>
            <w:hideMark/>
          </w:tcPr>
          <w:p w14:paraId="5EEFBAC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20.19</w:t>
            </w:r>
          </w:p>
        </w:tc>
        <w:tc>
          <w:tcPr>
            <w:tcW w:w="1418" w:type="dxa"/>
            <w:tcBorders>
              <w:top w:val="nil"/>
              <w:left w:val="nil"/>
              <w:bottom w:val="single" w:sz="4" w:space="0" w:color="000000"/>
              <w:right w:val="single" w:sz="4" w:space="0" w:color="000000"/>
            </w:tcBorders>
            <w:shd w:val="clear" w:color="auto" w:fill="auto"/>
            <w:noWrap/>
            <w:vAlign w:val="bottom"/>
            <w:hideMark/>
          </w:tcPr>
          <w:p w14:paraId="2DDE1F9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22.40</w:t>
            </w:r>
          </w:p>
        </w:tc>
      </w:tr>
      <w:tr w:rsidR="00A0308E" w:rsidRPr="003B10E2" w14:paraId="777A4A53"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E6A1093"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Wuxi Huaguang Boiler,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260AB46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1 041.59</w:t>
            </w:r>
          </w:p>
        </w:tc>
        <w:tc>
          <w:tcPr>
            <w:tcW w:w="957" w:type="dxa"/>
            <w:tcBorders>
              <w:top w:val="nil"/>
              <w:left w:val="nil"/>
              <w:bottom w:val="single" w:sz="4" w:space="0" w:color="000000"/>
              <w:right w:val="single" w:sz="4" w:space="0" w:color="000000"/>
            </w:tcBorders>
            <w:shd w:val="clear" w:color="auto" w:fill="auto"/>
            <w:noWrap/>
            <w:vAlign w:val="bottom"/>
            <w:hideMark/>
          </w:tcPr>
          <w:p w14:paraId="03B723C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10.24</w:t>
            </w:r>
          </w:p>
        </w:tc>
        <w:tc>
          <w:tcPr>
            <w:tcW w:w="1418" w:type="dxa"/>
            <w:tcBorders>
              <w:top w:val="nil"/>
              <w:left w:val="nil"/>
              <w:bottom w:val="single" w:sz="4" w:space="0" w:color="000000"/>
              <w:right w:val="single" w:sz="4" w:space="0" w:color="000000"/>
            </w:tcBorders>
            <w:shd w:val="clear" w:color="auto" w:fill="auto"/>
            <w:noWrap/>
            <w:vAlign w:val="bottom"/>
            <w:hideMark/>
          </w:tcPr>
          <w:p w14:paraId="23E3DBF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88.71</w:t>
            </w:r>
          </w:p>
        </w:tc>
      </w:tr>
      <w:tr w:rsidR="00A0308E" w:rsidRPr="003B10E2" w14:paraId="03689022"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98249D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Wuxi Nce Power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6568D8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911.83</w:t>
            </w:r>
          </w:p>
        </w:tc>
        <w:tc>
          <w:tcPr>
            <w:tcW w:w="957" w:type="dxa"/>
            <w:tcBorders>
              <w:top w:val="nil"/>
              <w:left w:val="nil"/>
              <w:bottom w:val="single" w:sz="4" w:space="0" w:color="000000"/>
              <w:right w:val="single" w:sz="4" w:space="0" w:color="000000"/>
            </w:tcBorders>
            <w:shd w:val="clear" w:color="auto" w:fill="auto"/>
            <w:noWrap/>
            <w:vAlign w:val="bottom"/>
            <w:hideMark/>
          </w:tcPr>
          <w:p w14:paraId="41811DA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45.62</w:t>
            </w:r>
          </w:p>
        </w:tc>
        <w:tc>
          <w:tcPr>
            <w:tcW w:w="1418" w:type="dxa"/>
            <w:tcBorders>
              <w:top w:val="nil"/>
              <w:left w:val="nil"/>
              <w:bottom w:val="single" w:sz="4" w:space="0" w:color="000000"/>
              <w:right w:val="single" w:sz="4" w:space="0" w:color="000000"/>
            </w:tcBorders>
            <w:shd w:val="clear" w:color="auto" w:fill="auto"/>
            <w:noWrap/>
            <w:vAlign w:val="bottom"/>
            <w:hideMark/>
          </w:tcPr>
          <w:p w14:paraId="115BA22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206.28</w:t>
            </w:r>
          </w:p>
        </w:tc>
      </w:tr>
      <w:tr w:rsidR="00A0308E" w:rsidRPr="003B10E2" w14:paraId="054B6AB7"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D6E134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Wuxi New Hongtai Electrical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2E6B46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472.13</w:t>
            </w:r>
          </w:p>
        </w:tc>
        <w:tc>
          <w:tcPr>
            <w:tcW w:w="957" w:type="dxa"/>
            <w:tcBorders>
              <w:top w:val="nil"/>
              <w:left w:val="nil"/>
              <w:bottom w:val="single" w:sz="4" w:space="0" w:color="000000"/>
              <w:right w:val="single" w:sz="4" w:space="0" w:color="000000"/>
            </w:tcBorders>
            <w:shd w:val="clear" w:color="auto" w:fill="auto"/>
            <w:noWrap/>
            <w:vAlign w:val="bottom"/>
            <w:hideMark/>
          </w:tcPr>
          <w:p w14:paraId="47A4C2C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22.77</w:t>
            </w:r>
          </w:p>
        </w:tc>
        <w:tc>
          <w:tcPr>
            <w:tcW w:w="1418" w:type="dxa"/>
            <w:tcBorders>
              <w:top w:val="nil"/>
              <w:left w:val="nil"/>
              <w:bottom w:val="single" w:sz="4" w:space="0" w:color="000000"/>
              <w:right w:val="single" w:sz="4" w:space="0" w:color="000000"/>
            </w:tcBorders>
            <w:shd w:val="clear" w:color="auto" w:fill="auto"/>
            <w:noWrap/>
            <w:vAlign w:val="bottom"/>
            <w:hideMark/>
          </w:tcPr>
          <w:p w14:paraId="16D1AFA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24.32</w:t>
            </w:r>
          </w:p>
        </w:tc>
      </w:tr>
      <w:tr w:rsidR="00A0308E" w:rsidRPr="003B10E2" w14:paraId="7AA2BD11"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9499CF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Wuxi Paike New Materials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8166E5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1 438.59</w:t>
            </w:r>
          </w:p>
        </w:tc>
        <w:tc>
          <w:tcPr>
            <w:tcW w:w="957" w:type="dxa"/>
            <w:tcBorders>
              <w:top w:val="nil"/>
              <w:left w:val="nil"/>
              <w:bottom w:val="single" w:sz="4" w:space="0" w:color="000000"/>
              <w:right w:val="single" w:sz="4" w:space="0" w:color="000000"/>
            </w:tcBorders>
            <w:shd w:val="clear" w:color="auto" w:fill="auto"/>
            <w:noWrap/>
            <w:vAlign w:val="bottom"/>
            <w:hideMark/>
          </w:tcPr>
          <w:p w14:paraId="6F93E08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95.18</w:t>
            </w:r>
          </w:p>
        </w:tc>
        <w:tc>
          <w:tcPr>
            <w:tcW w:w="1418" w:type="dxa"/>
            <w:tcBorders>
              <w:top w:val="nil"/>
              <w:left w:val="nil"/>
              <w:bottom w:val="single" w:sz="4" w:space="0" w:color="000000"/>
              <w:right w:val="single" w:sz="4" w:space="0" w:color="000000"/>
            </w:tcBorders>
            <w:shd w:val="clear" w:color="auto" w:fill="auto"/>
            <w:noWrap/>
            <w:vAlign w:val="bottom"/>
            <w:hideMark/>
          </w:tcPr>
          <w:p w14:paraId="171ACFC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72.83</w:t>
            </w:r>
          </w:p>
        </w:tc>
      </w:tr>
      <w:tr w:rsidR="00A0308E" w:rsidRPr="003B10E2" w14:paraId="3F62A05C"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03C2DF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Wuxi Rural Commercial Bank,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FBC08B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1 435.57</w:t>
            </w:r>
          </w:p>
        </w:tc>
        <w:tc>
          <w:tcPr>
            <w:tcW w:w="957" w:type="dxa"/>
            <w:tcBorders>
              <w:top w:val="nil"/>
              <w:left w:val="nil"/>
              <w:bottom w:val="single" w:sz="4" w:space="0" w:color="000000"/>
              <w:right w:val="single" w:sz="4" w:space="0" w:color="000000"/>
            </w:tcBorders>
            <w:shd w:val="clear" w:color="auto" w:fill="auto"/>
            <w:noWrap/>
            <w:vAlign w:val="bottom"/>
            <w:hideMark/>
          </w:tcPr>
          <w:p w14:paraId="5BA71FD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5.51</w:t>
            </w:r>
          </w:p>
        </w:tc>
        <w:tc>
          <w:tcPr>
            <w:tcW w:w="1418" w:type="dxa"/>
            <w:tcBorders>
              <w:top w:val="nil"/>
              <w:left w:val="nil"/>
              <w:bottom w:val="single" w:sz="4" w:space="0" w:color="000000"/>
              <w:right w:val="single" w:sz="4" w:space="0" w:color="000000"/>
            </w:tcBorders>
            <w:shd w:val="clear" w:color="auto" w:fill="auto"/>
            <w:noWrap/>
            <w:vAlign w:val="bottom"/>
            <w:hideMark/>
          </w:tcPr>
          <w:p w14:paraId="357E0A6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47.43</w:t>
            </w:r>
          </w:p>
        </w:tc>
      </w:tr>
      <w:tr w:rsidR="00A0308E" w:rsidRPr="003B10E2" w14:paraId="2A20E9FA"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5AEBC1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Wuxi Shangji Automation,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B71BF6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2 763.24</w:t>
            </w:r>
          </w:p>
        </w:tc>
        <w:tc>
          <w:tcPr>
            <w:tcW w:w="957" w:type="dxa"/>
            <w:tcBorders>
              <w:top w:val="nil"/>
              <w:left w:val="nil"/>
              <w:bottom w:val="single" w:sz="4" w:space="0" w:color="000000"/>
              <w:right w:val="single" w:sz="4" w:space="0" w:color="000000"/>
            </w:tcBorders>
            <w:shd w:val="clear" w:color="auto" w:fill="auto"/>
            <w:noWrap/>
            <w:vAlign w:val="bottom"/>
            <w:hideMark/>
          </w:tcPr>
          <w:p w14:paraId="35C99DF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71.74</w:t>
            </w:r>
          </w:p>
        </w:tc>
        <w:tc>
          <w:tcPr>
            <w:tcW w:w="1418" w:type="dxa"/>
            <w:tcBorders>
              <w:top w:val="nil"/>
              <w:left w:val="nil"/>
              <w:bottom w:val="single" w:sz="4" w:space="0" w:color="000000"/>
              <w:right w:val="single" w:sz="4" w:space="0" w:color="000000"/>
            </w:tcBorders>
            <w:shd w:val="clear" w:color="auto" w:fill="auto"/>
            <w:noWrap/>
            <w:vAlign w:val="bottom"/>
            <w:hideMark/>
          </w:tcPr>
          <w:p w14:paraId="12BE507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150.61</w:t>
            </w:r>
          </w:p>
        </w:tc>
      </w:tr>
      <w:tr w:rsidR="00A0308E" w:rsidRPr="003B10E2" w14:paraId="4717C6C0"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BBCD70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Wuxi Taclink Optoelectronics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6917AF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3627064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79.50</w:t>
            </w:r>
          </w:p>
        </w:tc>
        <w:tc>
          <w:tcPr>
            <w:tcW w:w="1418" w:type="dxa"/>
            <w:tcBorders>
              <w:top w:val="nil"/>
              <w:left w:val="nil"/>
              <w:bottom w:val="single" w:sz="4" w:space="0" w:color="000000"/>
              <w:right w:val="single" w:sz="4" w:space="0" w:color="000000"/>
            </w:tcBorders>
            <w:shd w:val="clear" w:color="auto" w:fill="auto"/>
            <w:noWrap/>
            <w:vAlign w:val="bottom"/>
            <w:hideMark/>
          </w:tcPr>
          <w:p w14:paraId="1228ECF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244.83</w:t>
            </w:r>
          </w:p>
        </w:tc>
      </w:tr>
      <w:tr w:rsidR="00A0308E" w:rsidRPr="003B10E2" w14:paraId="7F17F1C0"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63099B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Wuxi Taiji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186569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2 089.83</w:t>
            </w:r>
          </w:p>
        </w:tc>
        <w:tc>
          <w:tcPr>
            <w:tcW w:w="957" w:type="dxa"/>
            <w:tcBorders>
              <w:top w:val="nil"/>
              <w:left w:val="nil"/>
              <w:bottom w:val="single" w:sz="4" w:space="0" w:color="000000"/>
              <w:right w:val="single" w:sz="4" w:space="0" w:color="000000"/>
            </w:tcBorders>
            <w:shd w:val="clear" w:color="auto" w:fill="auto"/>
            <w:noWrap/>
            <w:vAlign w:val="bottom"/>
            <w:hideMark/>
          </w:tcPr>
          <w:p w14:paraId="59B435B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7.09</w:t>
            </w:r>
          </w:p>
        </w:tc>
        <w:tc>
          <w:tcPr>
            <w:tcW w:w="1418" w:type="dxa"/>
            <w:tcBorders>
              <w:top w:val="nil"/>
              <w:left w:val="nil"/>
              <w:bottom w:val="single" w:sz="4" w:space="0" w:color="000000"/>
              <w:right w:val="single" w:sz="4" w:space="0" w:color="000000"/>
            </w:tcBorders>
            <w:shd w:val="clear" w:color="auto" w:fill="auto"/>
            <w:noWrap/>
            <w:vAlign w:val="bottom"/>
            <w:hideMark/>
          </w:tcPr>
          <w:p w14:paraId="717DB86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478.00</w:t>
            </w:r>
          </w:p>
        </w:tc>
      </w:tr>
      <w:tr w:rsidR="00A0308E" w:rsidRPr="003B10E2" w14:paraId="58A6AC11"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4A244B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Wuxi Unicomp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03304F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70521B1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153.86</w:t>
            </w:r>
          </w:p>
        </w:tc>
        <w:tc>
          <w:tcPr>
            <w:tcW w:w="1418" w:type="dxa"/>
            <w:tcBorders>
              <w:top w:val="nil"/>
              <w:left w:val="nil"/>
              <w:bottom w:val="single" w:sz="4" w:space="0" w:color="000000"/>
              <w:right w:val="single" w:sz="4" w:space="0" w:color="000000"/>
            </w:tcBorders>
            <w:shd w:val="clear" w:color="auto" w:fill="auto"/>
            <w:noWrap/>
            <w:vAlign w:val="bottom"/>
            <w:hideMark/>
          </w:tcPr>
          <w:p w14:paraId="18E65DB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93.17</w:t>
            </w:r>
          </w:p>
        </w:tc>
      </w:tr>
      <w:tr w:rsidR="00A0308E" w:rsidRPr="003B10E2" w14:paraId="41BF1C31"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D23FFE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WuXi Xinje Electric,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91D718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689.87</w:t>
            </w:r>
          </w:p>
        </w:tc>
        <w:tc>
          <w:tcPr>
            <w:tcW w:w="957" w:type="dxa"/>
            <w:tcBorders>
              <w:top w:val="nil"/>
              <w:left w:val="nil"/>
              <w:bottom w:val="single" w:sz="4" w:space="0" w:color="000000"/>
              <w:right w:val="single" w:sz="4" w:space="0" w:color="000000"/>
            </w:tcBorders>
            <w:shd w:val="clear" w:color="auto" w:fill="auto"/>
            <w:noWrap/>
            <w:vAlign w:val="bottom"/>
            <w:hideMark/>
          </w:tcPr>
          <w:p w14:paraId="3999006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35.07</w:t>
            </w:r>
          </w:p>
        </w:tc>
        <w:tc>
          <w:tcPr>
            <w:tcW w:w="1418" w:type="dxa"/>
            <w:tcBorders>
              <w:top w:val="nil"/>
              <w:left w:val="nil"/>
              <w:bottom w:val="single" w:sz="4" w:space="0" w:color="000000"/>
              <w:right w:val="single" w:sz="4" w:space="0" w:color="000000"/>
            </w:tcBorders>
            <w:shd w:val="clear" w:color="auto" w:fill="auto"/>
            <w:noWrap/>
            <w:vAlign w:val="bottom"/>
            <w:hideMark/>
          </w:tcPr>
          <w:p w14:paraId="3DB0C69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29.22</w:t>
            </w:r>
          </w:p>
        </w:tc>
      </w:tr>
      <w:tr w:rsidR="00A0308E" w:rsidRPr="003B10E2" w14:paraId="6795C251"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BA96A6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Wuxi Zhenhua Auto Parts,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D62D84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435.80</w:t>
            </w:r>
          </w:p>
        </w:tc>
        <w:tc>
          <w:tcPr>
            <w:tcW w:w="957" w:type="dxa"/>
            <w:tcBorders>
              <w:top w:val="nil"/>
              <w:left w:val="nil"/>
              <w:bottom w:val="single" w:sz="4" w:space="0" w:color="000000"/>
              <w:right w:val="single" w:sz="4" w:space="0" w:color="000000"/>
            </w:tcBorders>
            <w:shd w:val="clear" w:color="auto" w:fill="auto"/>
            <w:noWrap/>
            <w:vAlign w:val="bottom"/>
            <w:hideMark/>
          </w:tcPr>
          <w:p w14:paraId="240F780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15.57</w:t>
            </w:r>
          </w:p>
        </w:tc>
        <w:tc>
          <w:tcPr>
            <w:tcW w:w="1418" w:type="dxa"/>
            <w:tcBorders>
              <w:top w:val="nil"/>
              <w:left w:val="nil"/>
              <w:bottom w:val="single" w:sz="4" w:space="0" w:color="000000"/>
              <w:right w:val="single" w:sz="4" w:space="0" w:color="000000"/>
            </w:tcBorders>
            <w:shd w:val="clear" w:color="auto" w:fill="auto"/>
            <w:noWrap/>
            <w:vAlign w:val="bottom"/>
            <w:hideMark/>
          </w:tcPr>
          <w:p w14:paraId="007D724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62.02</w:t>
            </w:r>
          </w:p>
        </w:tc>
      </w:tr>
      <w:tr w:rsidR="00A0308E" w:rsidRPr="003B10E2" w14:paraId="0D08259A"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74C83E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Xi'an Bright Laser 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D6E12F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1 141.40</w:t>
            </w:r>
          </w:p>
        </w:tc>
        <w:tc>
          <w:tcPr>
            <w:tcW w:w="957" w:type="dxa"/>
            <w:tcBorders>
              <w:top w:val="nil"/>
              <w:left w:val="nil"/>
              <w:bottom w:val="single" w:sz="4" w:space="0" w:color="000000"/>
              <w:right w:val="single" w:sz="4" w:space="0" w:color="000000"/>
            </w:tcBorders>
            <w:shd w:val="clear" w:color="auto" w:fill="auto"/>
            <w:noWrap/>
            <w:vAlign w:val="bottom"/>
            <w:hideMark/>
          </w:tcPr>
          <w:p w14:paraId="12DB190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100.95</w:t>
            </w:r>
          </w:p>
        </w:tc>
        <w:tc>
          <w:tcPr>
            <w:tcW w:w="1418" w:type="dxa"/>
            <w:tcBorders>
              <w:top w:val="nil"/>
              <w:left w:val="nil"/>
              <w:bottom w:val="single" w:sz="4" w:space="0" w:color="000000"/>
              <w:right w:val="single" w:sz="4" w:space="0" w:color="000000"/>
            </w:tcBorders>
            <w:shd w:val="clear" w:color="auto" w:fill="auto"/>
            <w:noWrap/>
            <w:vAlign w:val="bottom"/>
            <w:hideMark/>
          </w:tcPr>
          <w:p w14:paraId="7A5AEB7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69.20</w:t>
            </w:r>
          </w:p>
        </w:tc>
      </w:tr>
      <w:tr w:rsidR="00A0308E" w:rsidRPr="003B10E2" w14:paraId="4E711BA9"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C9731A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Xi'An Qujiang Cultural Tourism,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F59A48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608.60</w:t>
            </w:r>
          </w:p>
        </w:tc>
        <w:tc>
          <w:tcPr>
            <w:tcW w:w="957" w:type="dxa"/>
            <w:tcBorders>
              <w:top w:val="nil"/>
              <w:left w:val="nil"/>
              <w:bottom w:val="single" w:sz="4" w:space="0" w:color="000000"/>
              <w:right w:val="single" w:sz="4" w:space="0" w:color="000000"/>
            </w:tcBorders>
            <w:shd w:val="clear" w:color="auto" w:fill="auto"/>
            <w:noWrap/>
            <w:vAlign w:val="bottom"/>
            <w:hideMark/>
          </w:tcPr>
          <w:p w14:paraId="4D0A5B8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17.05</w:t>
            </w:r>
          </w:p>
        </w:tc>
        <w:tc>
          <w:tcPr>
            <w:tcW w:w="1418" w:type="dxa"/>
            <w:tcBorders>
              <w:top w:val="nil"/>
              <w:left w:val="nil"/>
              <w:bottom w:val="single" w:sz="4" w:space="0" w:color="000000"/>
              <w:right w:val="single" w:sz="4" w:space="0" w:color="000000"/>
            </w:tcBorders>
            <w:shd w:val="clear" w:color="auto" w:fill="auto"/>
            <w:noWrap/>
            <w:vAlign w:val="bottom"/>
            <w:hideMark/>
          </w:tcPr>
          <w:p w14:paraId="2165837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287.39</w:t>
            </w:r>
          </w:p>
        </w:tc>
      </w:tr>
      <w:tr w:rsidR="00A0308E" w:rsidRPr="003B10E2" w14:paraId="4BD31E9F"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43EFB68"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Xi'An Shaangu Power,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5F3FBCE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2 063.59</w:t>
            </w:r>
          </w:p>
        </w:tc>
        <w:tc>
          <w:tcPr>
            <w:tcW w:w="957" w:type="dxa"/>
            <w:tcBorders>
              <w:top w:val="nil"/>
              <w:left w:val="nil"/>
              <w:bottom w:val="single" w:sz="4" w:space="0" w:color="000000"/>
              <w:right w:val="single" w:sz="4" w:space="0" w:color="000000"/>
            </w:tcBorders>
            <w:shd w:val="clear" w:color="auto" w:fill="auto"/>
            <w:noWrap/>
            <w:vAlign w:val="bottom"/>
            <w:hideMark/>
          </w:tcPr>
          <w:p w14:paraId="2B3E573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8.54</w:t>
            </w:r>
          </w:p>
        </w:tc>
        <w:tc>
          <w:tcPr>
            <w:tcW w:w="1418" w:type="dxa"/>
            <w:tcBorders>
              <w:top w:val="nil"/>
              <w:left w:val="nil"/>
              <w:bottom w:val="single" w:sz="4" w:space="0" w:color="000000"/>
              <w:right w:val="single" w:sz="4" w:space="0" w:color="000000"/>
            </w:tcBorders>
            <w:shd w:val="clear" w:color="auto" w:fill="auto"/>
            <w:noWrap/>
            <w:vAlign w:val="bottom"/>
            <w:hideMark/>
          </w:tcPr>
          <w:p w14:paraId="11A3968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77.11</w:t>
            </w:r>
          </w:p>
        </w:tc>
      </w:tr>
      <w:tr w:rsidR="00A0308E" w:rsidRPr="003B10E2" w14:paraId="38522887"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D4AA89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Xi'an Typical Industries,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432286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241.63</w:t>
            </w:r>
          </w:p>
        </w:tc>
        <w:tc>
          <w:tcPr>
            <w:tcW w:w="957" w:type="dxa"/>
            <w:tcBorders>
              <w:top w:val="nil"/>
              <w:left w:val="nil"/>
              <w:bottom w:val="single" w:sz="4" w:space="0" w:color="000000"/>
              <w:right w:val="single" w:sz="4" w:space="0" w:color="000000"/>
            </w:tcBorders>
            <w:shd w:val="clear" w:color="auto" w:fill="auto"/>
            <w:noWrap/>
            <w:vAlign w:val="bottom"/>
            <w:hideMark/>
          </w:tcPr>
          <w:p w14:paraId="0344F45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4.99</w:t>
            </w:r>
          </w:p>
        </w:tc>
        <w:tc>
          <w:tcPr>
            <w:tcW w:w="1418" w:type="dxa"/>
            <w:tcBorders>
              <w:top w:val="nil"/>
              <w:left w:val="nil"/>
              <w:bottom w:val="single" w:sz="4" w:space="0" w:color="000000"/>
              <w:right w:val="single" w:sz="4" w:space="0" w:color="000000"/>
            </w:tcBorders>
            <w:shd w:val="clear" w:color="auto" w:fill="auto"/>
            <w:noWrap/>
            <w:vAlign w:val="bottom"/>
            <w:hideMark/>
          </w:tcPr>
          <w:p w14:paraId="075DE62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11.40</w:t>
            </w:r>
          </w:p>
        </w:tc>
      </w:tr>
      <w:tr w:rsidR="00A0308E" w:rsidRPr="003B10E2" w14:paraId="67A2631D"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2E997C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Xiamen Amoytop Biotech,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670888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2 360.93</w:t>
            </w:r>
          </w:p>
        </w:tc>
        <w:tc>
          <w:tcPr>
            <w:tcW w:w="957" w:type="dxa"/>
            <w:tcBorders>
              <w:top w:val="nil"/>
              <w:left w:val="nil"/>
              <w:bottom w:val="single" w:sz="4" w:space="0" w:color="000000"/>
              <w:right w:val="single" w:sz="4" w:space="0" w:color="000000"/>
            </w:tcBorders>
            <w:shd w:val="clear" w:color="auto" w:fill="auto"/>
            <w:noWrap/>
            <w:vAlign w:val="bottom"/>
            <w:hideMark/>
          </w:tcPr>
          <w:p w14:paraId="7633929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41.47</w:t>
            </w:r>
          </w:p>
        </w:tc>
        <w:tc>
          <w:tcPr>
            <w:tcW w:w="1418" w:type="dxa"/>
            <w:tcBorders>
              <w:top w:val="nil"/>
              <w:left w:val="nil"/>
              <w:bottom w:val="single" w:sz="4" w:space="0" w:color="000000"/>
              <w:right w:val="single" w:sz="4" w:space="0" w:color="000000"/>
            </w:tcBorders>
            <w:shd w:val="clear" w:color="auto" w:fill="auto"/>
            <w:noWrap/>
            <w:vAlign w:val="bottom"/>
            <w:hideMark/>
          </w:tcPr>
          <w:p w14:paraId="338A9C7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32.84</w:t>
            </w:r>
          </w:p>
        </w:tc>
      </w:tr>
      <w:tr w:rsidR="00A0308E" w:rsidRPr="003B10E2" w14:paraId="648B7EF7"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BC14B77"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Xiamen Bank,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2178FEB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1 935.35</w:t>
            </w:r>
          </w:p>
        </w:tc>
        <w:tc>
          <w:tcPr>
            <w:tcW w:w="957" w:type="dxa"/>
            <w:tcBorders>
              <w:top w:val="nil"/>
              <w:left w:val="nil"/>
              <w:bottom w:val="single" w:sz="4" w:space="0" w:color="000000"/>
              <w:right w:val="single" w:sz="4" w:space="0" w:color="000000"/>
            </w:tcBorders>
            <w:shd w:val="clear" w:color="auto" w:fill="auto"/>
            <w:noWrap/>
            <w:vAlign w:val="bottom"/>
            <w:hideMark/>
          </w:tcPr>
          <w:p w14:paraId="39D01D8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5.24</w:t>
            </w:r>
          </w:p>
        </w:tc>
        <w:tc>
          <w:tcPr>
            <w:tcW w:w="1418" w:type="dxa"/>
            <w:tcBorders>
              <w:top w:val="nil"/>
              <w:left w:val="nil"/>
              <w:bottom w:val="single" w:sz="4" w:space="0" w:color="000000"/>
              <w:right w:val="single" w:sz="4" w:space="0" w:color="000000"/>
            </w:tcBorders>
            <w:shd w:val="clear" w:color="auto" w:fill="auto"/>
            <w:noWrap/>
            <w:vAlign w:val="bottom"/>
            <w:hideMark/>
          </w:tcPr>
          <w:p w14:paraId="000896B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38.55</w:t>
            </w:r>
          </w:p>
        </w:tc>
      </w:tr>
      <w:tr w:rsidR="00A0308E" w:rsidRPr="003B10E2" w14:paraId="6F09F9C3"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692AD4F"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XIAMEN C&amp;D,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540FA68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4 480.17</w:t>
            </w:r>
          </w:p>
        </w:tc>
        <w:tc>
          <w:tcPr>
            <w:tcW w:w="957" w:type="dxa"/>
            <w:tcBorders>
              <w:top w:val="nil"/>
              <w:left w:val="nil"/>
              <w:bottom w:val="single" w:sz="4" w:space="0" w:color="000000"/>
              <w:right w:val="single" w:sz="4" w:space="0" w:color="000000"/>
            </w:tcBorders>
            <w:shd w:val="clear" w:color="auto" w:fill="auto"/>
            <w:noWrap/>
            <w:vAlign w:val="bottom"/>
            <w:hideMark/>
          </w:tcPr>
          <w:p w14:paraId="7774B2C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11.18</w:t>
            </w:r>
          </w:p>
        </w:tc>
        <w:tc>
          <w:tcPr>
            <w:tcW w:w="1418" w:type="dxa"/>
            <w:tcBorders>
              <w:top w:val="nil"/>
              <w:left w:val="nil"/>
              <w:bottom w:val="single" w:sz="4" w:space="0" w:color="000000"/>
              <w:right w:val="single" w:sz="4" w:space="0" w:color="000000"/>
            </w:tcBorders>
            <w:shd w:val="clear" w:color="auto" w:fill="auto"/>
            <w:noWrap/>
            <w:vAlign w:val="bottom"/>
            <w:hideMark/>
          </w:tcPr>
          <w:p w14:paraId="52FA7FE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129.90</w:t>
            </w:r>
          </w:p>
        </w:tc>
      </w:tr>
      <w:tr w:rsidR="00A0308E" w:rsidRPr="003B10E2" w14:paraId="3825226B"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CBFB229"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Xiamen Faratronic,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1122C6B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4 474.49</w:t>
            </w:r>
          </w:p>
        </w:tc>
        <w:tc>
          <w:tcPr>
            <w:tcW w:w="957" w:type="dxa"/>
            <w:tcBorders>
              <w:top w:val="nil"/>
              <w:left w:val="nil"/>
              <w:bottom w:val="single" w:sz="4" w:space="0" w:color="000000"/>
              <w:right w:val="single" w:sz="4" w:space="0" w:color="000000"/>
            </w:tcBorders>
            <w:shd w:val="clear" w:color="auto" w:fill="auto"/>
            <w:noWrap/>
            <w:vAlign w:val="bottom"/>
            <w:hideMark/>
          </w:tcPr>
          <w:p w14:paraId="7E2DD24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142.10</w:t>
            </w:r>
          </w:p>
        </w:tc>
        <w:tc>
          <w:tcPr>
            <w:tcW w:w="1418" w:type="dxa"/>
            <w:tcBorders>
              <w:top w:val="nil"/>
              <w:left w:val="nil"/>
              <w:bottom w:val="single" w:sz="4" w:space="0" w:color="000000"/>
              <w:right w:val="single" w:sz="4" w:space="0" w:color="000000"/>
            </w:tcBorders>
            <w:shd w:val="clear" w:color="auto" w:fill="auto"/>
            <w:noWrap/>
            <w:vAlign w:val="bottom"/>
            <w:hideMark/>
          </w:tcPr>
          <w:p w14:paraId="3EEA289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179.00</w:t>
            </w:r>
          </w:p>
        </w:tc>
      </w:tr>
      <w:tr w:rsidR="00A0308E" w:rsidRPr="003B10E2" w14:paraId="4D94C487"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3A647B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Xiamen International Airport,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D1A70C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845.65</w:t>
            </w:r>
          </w:p>
        </w:tc>
        <w:tc>
          <w:tcPr>
            <w:tcW w:w="957" w:type="dxa"/>
            <w:tcBorders>
              <w:top w:val="nil"/>
              <w:left w:val="nil"/>
              <w:bottom w:val="single" w:sz="4" w:space="0" w:color="000000"/>
              <w:right w:val="single" w:sz="4" w:space="0" w:color="000000"/>
            </w:tcBorders>
            <w:shd w:val="clear" w:color="auto" w:fill="auto"/>
            <w:noWrap/>
            <w:vAlign w:val="bottom"/>
            <w:hideMark/>
          </w:tcPr>
          <w:p w14:paraId="1A6563B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20.29</w:t>
            </w:r>
          </w:p>
        </w:tc>
        <w:tc>
          <w:tcPr>
            <w:tcW w:w="1418" w:type="dxa"/>
            <w:tcBorders>
              <w:top w:val="nil"/>
              <w:left w:val="nil"/>
              <w:bottom w:val="single" w:sz="4" w:space="0" w:color="000000"/>
              <w:right w:val="single" w:sz="4" w:space="0" w:color="000000"/>
            </w:tcBorders>
            <w:shd w:val="clear" w:color="auto" w:fill="auto"/>
            <w:noWrap/>
            <w:vAlign w:val="bottom"/>
            <w:hideMark/>
          </w:tcPr>
          <w:p w14:paraId="3EAEA8F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29.43</w:t>
            </w:r>
          </w:p>
        </w:tc>
      </w:tr>
      <w:tr w:rsidR="00A0308E" w:rsidRPr="003B10E2" w14:paraId="6BDE736D"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F443CBE"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Xiamen ITG Group,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57DB2CB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2 596.15</w:t>
            </w:r>
          </w:p>
        </w:tc>
        <w:tc>
          <w:tcPr>
            <w:tcW w:w="957" w:type="dxa"/>
            <w:tcBorders>
              <w:top w:val="nil"/>
              <w:left w:val="nil"/>
              <w:bottom w:val="single" w:sz="4" w:space="0" w:color="000000"/>
              <w:right w:val="single" w:sz="4" w:space="0" w:color="000000"/>
            </w:tcBorders>
            <w:shd w:val="clear" w:color="auto" w:fill="auto"/>
            <w:noWrap/>
            <w:vAlign w:val="bottom"/>
            <w:hideMark/>
          </w:tcPr>
          <w:p w14:paraId="0E4F9E0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8.76</w:t>
            </w:r>
          </w:p>
        </w:tc>
        <w:tc>
          <w:tcPr>
            <w:tcW w:w="1418" w:type="dxa"/>
            <w:tcBorders>
              <w:top w:val="nil"/>
              <w:left w:val="nil"/>
              <w:bottom w:val="single" w:sz="4" w:space="0" w:color="000000"/>
              <w:right w:val="single" w:sz="4" w:space="0" w:color="000000"/>
            </w:tcBorders>
            <w:shd w:val="clear" w:color="auto" w:fill="auto"/>
            <w:noWrap/>
            <w:vAlign w:val="bottom"/>
            <w:hideMark/>
          </w:tcPr>
          <w:p w14:paraId="1F6E772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138.46</w:t>
            </w:r>
          </w:p>
        </w:tc>
      </w:tr>
      <w:tr w:rsidR="00A0308E" w:rsidRPr="003B10E2" w14:paraId="29DAB603"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FFF0F6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Xiamen King Long Motor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6FE2D4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813.83</w:t>
            </w:r>
          </w:p>
        </w:tc>
        <w:tc>
          <w:tcPr>
            <w:tcW w:w="957" w:type="dxa"/>
            <w:tcBorders>
              <w:top w:val="nil"/>
              <w:left w:val="nil"/>
              <w:bottom w:val="single" w:sz="4" w:space="0" w:color="000000"/>
              <w:right w:val="single" w:sz="4" w:space="0" w:color="000000"/>
            </w:tcBorders>
            <w:shd w:val="clear" w:color="auto" w:fill="auto"/>
            <w:noWrap/>
            <w:vAlign w:val="bottom"/>
            <w:hideMark/>
          </w:tcPr>
          <w:p w14:paraId="601C786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8.11</w:t>
            </w:r>
          </w:p>
        </w:tc>
        <w:tc>
          <w:tcPr>
            <w:tcW w:w="1418" w:type="dxa"/>
            <w:tcBorders>
              <w:top w:val="nil"/>
              <w:left w:val="nil"/>
              <w:bottom w:val="single" w:sz="4" w:space="0" w:color="000000"/>
              <w:right w:val="single" w:sz="4" w:space="0" w:color="000000"/>
            </w:tcBorders>
            <w:shd w:val="clear" w:color="auto" w:fill="auto"/>
            <w:noWrap/>
            <w:vAlign w:val="bottom"/>
            <w:hideMark/>
          </w:tcPr>
          <w:p w14:paraId="3F43DF4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236.51</w:t>
            </w:r>
          </w:p>
        </w:tc>
      </w:tr>
      <w:tr w:rsidR="00A0308E" w:rsidRPr="003B10E2" w14:paraId="1FA823AD"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685628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Xiamen Leading Optics,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6220C9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992.04</w:t>
            </w:r>
          </w:p>
        </w:tc>
        <w:tc>
          <w:tcPr>
            <w:tcW w:w="957" w:type="dxa"/>
            <w:tcBorders>
              <w:top w:val="nil"/>
              <w:left w:val="nil"/>
              <w:bottom w:val="single" w:sz="4" w:space="0" w:color="000000"/>
              <w:right w:val="single" w:sz="4" w:space="0" w:color="000000"/>
            </w:tcBorders>
            <w:shd w:val="clear" w:color="auto" w:fill="auto"/>
            <w:noWrap/>
            <w:vAlign w:val="bottom"/>
            <w:hideMark/>
          </w:tcPr>
          <w:p w14:paraId="634AE3F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17.40</w:t>
            </w:r>
          </w:p>
        </w:tc>
        <w:tc>
          <w:tcPr>
            <w:tcW w:w="1418" w:type="dxa"/>
            <w:tcBorders>
              <w:top w:val="nil"/>
              <w:left w:val="nil"/>
              <w:bottom w:val="single" w:sz="4" w:space="0" w:color="000000"/>
              <w:right w:val="single" w:sz="4" w:space="0" w:color="000000"/>
            </w:tcBorders>
            <w:shd w:val="clear" w:color="auto" w:fill="auto"/>
            <w:noWrap/>
            <w:vAlign w:val="bottom"/>
            <w:hideMark/>
          </w:tcPr>
          <w:p w14:paraId="4B192B8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135.36</w:t>
            </w:r>
          </w:p>
        </w:tc>
      </w:tr>
      <w:tr w:rsidR="00A0308E" w:rsidRPr="003B10E2" w14:paraId="6D5165A3"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06D75D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Xiamen Solex High-Tech Industries,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24DC83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874.92</w:t>
            </w:r>
          </w:p>
        </w:tc>
        <w:tc>
          <w:tcPr>
            <w:tcW w:w="957" w:type="dxa"/>
            <w:tcBorders>
              <w:top w:val="nil"/>
              <w:left w:val="nil"/>
              <w:bottom w:val="single" w:sz="4" w:space="0" w:color="000000"/>
              <w:right w:val="single" w:sz="4" w:space="0" w:color="000000"/>
            </w:tcBorders>
            <w:shd w:val="clear" w:color="auto" w:fill="auto"/>
            <w:noWrap/>
            <w:vAlign w:val="bottom"/>
            <w:hideMark/>
          </w:tcPr>
          <w:p w14:paraId="0D05BD8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15.59</w:t>
            </w:r>
          </w:p>
        </w:tc>
        <w:tc>
          <w:tcPr>
            <w:tcW w:w="1418" w:type="dxa"/>
            <w:tcBorders>
              <w:top w:val="nil"/>
              <w:left w:val="nil"/>
              <w:bottom w:val="single" w:sz="4" w:space="0" w:color="000000"/>
              <w:right w:val="single" w:sz="4" w:space="0" w:color="000000"/>
            </w:tcBorders>
            <w:shd w:val="clear" w:color="auto" w:fill="auto"/>
            <w:noWrap/>
            <w:vAlign w:val="bottom"/>
            <w:hideMark/>
          </w:tcPr>
          <w:p w14:paraId="30454AC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33.19</w:t>
            </w:r>
          </w:p>
        </w:tc>
      </w:tr>
      <w:tr w:rsidR="00A0308E" w:rsidRPr="003B10E2" w14:paraId="5EEAA5E5"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6B51FC4"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Xiamen Tungsten,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4D907E4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3 753.84</w:t>
            </w:r>
          </w:p>
        </w:tc>
        <w:tc>
          <w:tcPr>
            <w:tcW w:w="957" w:type="dxa"/>
            <w:tcBorders>
              <w:top w:val="nil"/>
              <w:left w:val="nil"/>
              <w:bottom w:val="single" w:sz="4" w:space="0" w:color="000000"/>
              <w:right w:val="single" w:sz="4" w:space="0" w:color="000000"/>
            </w:tcBorders>
            <w:shd w:val="clear" w:color="auto" w:fill="auto"/>
            <w:noWrap/>
            <w:vAlign w:val="bottom"/>
            <w:hideMark/>
          </w:tcPr>
          <w:p w14:paraId="3B49BFC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18.91</w:t>
            </w:r>
          </w:p>
        </w:tc>
        <w:tc>
          <w:tcPr>
            <w:tcW w:w="1418" w:type="dxa"/>
            <w:tcBorders>
              <w:top w:val="nil"/>
              <w:left w:val="nil"/>
              <w:bottom w:val="single" w:sz="4" w:space="0" w:color="000000"/>
              <w:right w:val="single" w:sz="4" w:space="0" w:color="000000"/>
            </w:tcBorders>
            <w:shd w:val="clear" w:color="auto" w:fill="auto"/>
            <w:noWrap/>
            <w:vAlign w:val="bottom"/>
            <w:hideMark/>
          </w:tcPr>
          <w:p w14:paraId="174F793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115.94</w:t>
            </w:r>
          </w:p>
        </w:tc>
      </w:tr>
      <w:tr w:rsidR="00A0308E" w:rsidRPr="003B10E2" w14:paraId="6E47FD46"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AEB3DB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Xiamen XGMA Machinery,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DACB66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657.95</w:t>
            </w:r>
          </w:p>
        </w:tc>
        <w:tc>
          <w:tcPr>
            <w:tcW w:w="957" w:type="dxa"/>
            <w:tcBorders>
              <w:top w:val="nil"/>
              <w:left w:val="nil"/>
              <w:bottom w:val="single" w:sz="4" w:space="0" w:color="000000"/>
              <w:right w:val="single" w:sz="4" w:space="0" w:color="000000"/>
            </w:tcBorders>
            <w:shd w:val="clear" w:color="auto" w:fill="auto"/>
            <w:noWrap/>
            <w:vAlign w:val="bottom"/>
            <w:hideMark/>
          </w:tcPr>
          <w:p w14:paraId="45DD99F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2.65</w:t>
            </w:r>
          </w:p>
        </w:tc>
        <w:tc>
          <w:tcPr>
            <w:tcW w:w="1418" w:type="dxa"/>
            <w:tcBorders>
              <w:top w:val="nil"/>
              <w:left w:val="nil"/>
              <w:bottom w:val="single" w:sz="4" w:space="0" w:color="000000"/>
              <w:right w:val="single" w:sz="4" w:space="0" w:color="000000"/>
            </w:tcBorders>
            <w:shd w:val="clear" w:color="auto" w:fill="auto"/>
            <w:noWrap/>
            <w:vAlign w:val="bottom"/>
            <w:hideMark/>
          </w:tcPr>
          <w:p w14:paraId="6168030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17.49</w:t>
            </w:r>
          </w:p>
        </w:tc>
      </w:tr>
      <w:tr w:rsidR="00A0308E" w:rsidRPr="003B10E2" w14:paraId="064AF243"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ACC644F"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Xiamen Xiangyu Group,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6E310A8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2 759.66</w:t>
            </w:r>
          </w:p>
        </w:tc>
        <w:tc>
          <w:tcPr>
            <w:tcW w:w="957" w:type="dxa"/>
            <w:tcBorders>
              <w:top w:val="nil"/>
              <w:left w:val="nil"/>
              <w:bottom w:val="single" w:sz="4" w:space="0" w:color="000000"/>
              <w:right w:val="single" w:sz="4" w:space="0" w:color="000000"/>
            </w:tcBorders>
            <w:shd w:val="clear" w:color="auto" w:fill="auto"/>
            <w:noWrap/>
            <w:vAlign w:val="bottom"/>
            <w:hideMark/>
          </w:tcPr>
          <w:p w14:paraId="6A6DE97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9.14</w:t>
            </w:r>
          </w:p>
        </w:tc>
        <w:tc>
          <w:tcPr>
            <w:tcW w:w="1418" w:type="dxa"/>
            <w:tcBorders>
              <w:top w:val="nil"/>
              <w:left w:val="nil"/>
              <w:bottom w:val="single" w:sz="4" w:space="0" w:color="000000"/>
              <w:right w:val="single" w:sz="4" w:space="0" w:color="000000"/>
            </w:tcBorders>
            <w:shd w:val="clear" w:color="auto" w:fill="auto"/>
            <w:noWrap/>
            <w:vAlign w:val="bottom"/>
            <w:hideMark/>
          </w:tcPr>
          <w:p w14:paraId="15A216A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121.28</w:t>
            </w:r>
          </w:p>
        </w:tc>
      </w:tr>
      <w:tr w:rsidR="00A0308E" w:rsidRPr="003B10E2" w14:paraId="73DE5F59" w14:textId="77777777" w:rsidTr="00A0308E">
        <w:trPr>
          <w:trHeight w:val="300"/>
        </w:trPr>
        <w:tc>
          <w:tcPr>
            <w:tcW w:w="4815" w:type="dxa"/>
            <w:tcBorders>
              <w:top w:val="nil"/>
              <w:left w:val="single" w:sz="4" w:space="0" w:color="000000"/>
              <w:bottom w:val="single" w:sz="4" w:space="0" w:color="auto"/>
              <w:right w:val="single" w:sz="4" w:space="0" w:color="000000"/>
            </w:tcBorders>
            <w:shd w:val="clear" w:color="auto" w:fill="auto"/>
            <w:noWrap/>
            <w:vAlign w:val="bottom"/>
            <w:hideMark/>
          </w:tcPr>
          <w:p w14:paraId="043CAAA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Xian Manareco New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auto"/>
              <w:right w:val="single" w:sz="4" w:space="0" w:color="000000"/>
            </w:tcBorders>
            <w:shd w:val="clear" w:color="auto" w:fill="auto"/>
            <w:noWrap/>
            <w:vAlign w:val="bottom"/>
            <w:hideMark/>
          </w:tcPr>
          <w:p w14:paraId="266C09A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296.91</w:t>
            </w:r>
          </w:p>
        </w:tc>
        <w:tc>
          <w:tcPr>
            <w:tcW w:w="957" w:type="dxa"/>
            <w:tcBorders>
              <w:top w:val="nil"/>
              <w:left w:val="nil"/>
              <w:bottom w:val="single" w:sz="4" w:space="0" w:color="auto"/>
              <w:right w:val="single" w:sz="4" w:space="0" w:color="000000"/>
            </w:tcBorders>
            <w:shd w:val="clear" w:color="auto" w:fill="auto"/>
            <w:noWrap/>
            <w:vAlign w:val="bottom"/>
            <w:hideMark/>
          </w:tcPr>
          <w:p w14:paraId="19BC54D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30.23</w:t>
            </w:r>
          </w:p>
        </w:tc>
        <w:tc>
          <w:tcPr>
            <w:tcW w:w="1418" w:type="dxa"/>
            <w:tcBorders>
              <w:top w:val="nil"/>
              <w:left w:val="nil"/>
              <w:bottom w:val="single" w:sz="4" w:space="0" w:color="auto"/>
              <w:right w:val="single" w:sz="4" w:space="0" w:color="000000"/>
            </w:tcBorders>
            <w:shd w:val="clear" w:color="auto" w:fill="auto"/>
            <w:noWrap/>
            <w:vAlign w:val="bottom"/>
            <w:hideMark/>
          </w:tcPr>
          <w:p w14:paraId="690EB26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22.41</w:t>
            </w:r>
          </w:p>
        </w:tc>
      </w:tr>
      <w:tr w:rsidR="00A0308E" w:rsidRPr="003B10E2" w14:paraId="31BBB7DE"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CBBF0"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Xiangpiaopiao Food,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2C18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1 249.03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71BA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3BC33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42.26</w:t>
            </w:r>
          </w:p>
        </w:tc>
      </w:tr>
      <w:tr w:rsidR="00A0308E" w:rsidRPr="003B10E2" w14:paraId="23A8676F" w14:textId="77777777" w:rsidTr="00A0308E">
        <w:trPr>
          <w:trHeight w:val="300"/>
        </w:trPr>
        <w:tc>
          <w:tcPr>
            <w:tcW w:w="481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98998A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Xiangtan Electric Manufacturing,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nil"/>
              <w:bottom w:val="single" w:sz="4" w:space="0" w:color="000000"/>
              <w:right w:val="single" w:sz="4" w:space="0" w:color="000000"/>
            </w:tcBorders>
            <w:shd w:val="clear" w:color="auto" w:fill="auto"/>
            <w:noWrap/>
            <w:vAlign w:val="bottom"/>
            <w:hideMark/>
          </w:tcPr>
          <w:p w14:paraId="7EB2838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2 763.93</w:t>
            </w:r>
          </w:p>
        </w:tc>
        <w:tc>
          <w:tcPr>
            <w:tcW w:w="957" w:type="dxa"/>
            <w:tcBorders>
              <w:top w:val="single" w:sz="4" w:space="0" w:color="auto"/>
              <w:left w:val="nil"/>
              <w:bottom w:val="single" w:sz="4" w:space="0" w:color="000000"/>
              <w:right w:val="single" w:sz="4" w:space="0" w:color="000000"/>
            </w:tcBorders>
            <w:shd w:val="clear" w:color="auto" w:fill="auto"/>
            <w:noWrap/>
            <w:vAlign w:val="bottom"/>
            <w:hideMark/>
          </w:tcPr>
          <w:p w14:paraId="216BCC3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17.10</w:t>
            </w:r>
          </w:p>
        </w:tc>
        <w:tc>
          <w:tcPr>
            <w:tcW w:w="1418" w:type="dxa"/>
            <w:tcBorders>
              <w:top w:val="single" w:sz="4" w:space="0" w:color="auto"/>
              <w:left w:val="nil"/>
              <w:bottom w:val="single" w:sz="4" w:space="0" w:color="000000"/>
              <w:right w:val="single" w:sz="4" w:space="0" w:color="000000"/>
            </w:tcBorders>
            <w:shd w:val="clear" w:color="auto" w:fill="auto"/>
            <w:noWrap/>
            <w:vAlign w:val="bottom"/>
            <w:hideMark/>
          </w:tcPr>
          <w:p w14:paraId="3F8670F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171.52</w:t>
            </w:r>
          </w:p>
        </w:tc>
      </w:tr>
      <w:tr w:rsidR="00A0308E" w:rsidRPr="003B10E2" w14:paraId="004A15AA"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E94CD8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Xiangyang Changyuan Donggu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D9DF42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484.72</w:t>
            </w:r>
          </w:p>
        </w:tc>
        <w:tc>
          <w:tcPr>
            <w:tcW w:w="957" w:type="dxa"/>
            <w:tcBorders>
              <w:top w:val="nil"/>
              <w:left w:val="nil"/>
              <w:bottom w:val="single" w:sz="4" w:space="0" w:color="000000"/>
              <w:right w:val="single" w:sz="4" w:space="0" w:color="000000"/>
            </w:tcBorders>
            <w:shd w:val="clear" w:color="auto" w:fill="auto"/>
            <w:noWrap/>
            <w:vAlign w:val="bottom"/>
            <w:hideMark/>
          </w:tcPr>
          <w:p w14:paraId="2FAC983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14.96</w:t>
            </w:r>
          </w:p>
        </w:tc>
        <w:tc>
          <w:tcPr>
            <w:tcW w:w="1418" w:type="dxa"/>
            <w:tcBorders>
              <w:top w:val="nil"/>
              <w:left w:val="nil"/>
              <w:bottom w:val="single" w:sz="4" w:space="0" w:color="000000"/>
              <w:right w:val="single" w:sz="4" w:space="0" w:color="000000"/>
            </w:tcBorders>
            <w:shd w:val="clear" w:color="auto" w:fill="auto"/>
            <w:noWrap/>
            <w:vAlign w:val="bottom"/>
            <w:hideMark/>
          </w:tcPr>
          <w:p w14:paraId="0B596A2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12.56</w:t>
            </w:r>
          </w:p>
        </w:tc>
      </w:tr>
      <w:tr w:rsidR="00A0308E" w:rsidRPr="003B10E2" w14:paraId="26A324C2"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52DD6C7"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Xiangyu Medical,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3A9556B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922.09</w:t>
            </w:r>
          </w:p>
        </w:tc>
        <w:tc>
          <w:tcPr>
            <w:tcW w:w="957" w:type="dxa"/>
            <w:tcBorders>
              <w:top w:val="nil"/>
              <w:left w:val="nil"/>
              <w:bottom w:val="single" w:sz="4" w:space="0" w:color="000000"/>
              <w:right w:val="single" w:sz="4" w:space="0" w:color="000000"/>
            </w:tcBorders>
            <w:shd w:val="clear" w:color="auto" w:fill="auto"/>
            <w:noWrap/>
            <w:vAlign w:val="bottom"/>
            <w:hideMark/>
          </w:tcPr>
          <w:p w14:paraId="0E2CFBE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41.18</w:t>
            </w:r>
          </w:p>
        </w:tc>
        <w:tc>
          <w:tcPr>
            <w:tcW w:w="1418" w:type="dxa"/>
            <w:tcBorders>
              <w:top w:val="nil"/>
              <w:left w:val="nil"/>
              <w:bottom w:val="single" w:sz="4" w:space="0" w:color="000000"/>
              <w:right w:val="single" w:sz="4" w:space="0" w:color="000000"/>
            </w:tcBorders>
            <w:shd w:val="clear" w:color="auto" w:fill="auto"/>
            <w:noWrap/>
            <w:vAlign w:val="bottom"/>
            <w:hideMark/>
          </w:tcPr>
          <w:p w14:paraId="6EC8C10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27.98</w:t>
            </w:r>
          </w:p>
        </w:tc>
      </w:tr>
      <w:tr w:rsidR="00A0308E" w:rsidRPr="003B10E2" w14:paraId="07C73EC7"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BC5E4E4"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Xianhe,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51EAE46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2 183.47</w:t>
            </w:r>
          </w:p>
        </w:tc>
        <w:tc>
          <w:tcPr>
            <w:tcW w:w="957" w:type="dxa"/>
            <w:tcBorders>
              <w:top w:val="nil"/>
              <w:left w:val="nil"/>
              <w:bottom w:val="single" w:sz="4" w:space="0" w:color="000000"/>
              <w:right w:val="single" w:sz="4" w:space="0" w:color="000000"/>
            </w:tcBorders>
            <w:shd w:val="clear" w:color="auto" w:fill="auto"/>
            <w:noWrap/>
            <w:vAlign w:val="bottom"/>
            <w:hideMark/>
          </w:tcPr>
          <w:p w14:paraId="3B4A357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22.10</w:t>
            </w:r>
          </w:p>
        </w:tc>
        <w:tc>
          <w:tcPr>
            <w:tcW w:w="1418" w:type="dxa"/>
            <w:tcBorders>
              <w:top w:val="nil"/>
              <w:left w:val="nil"/>
              <w:bottom w:val="single" w:sz="4" w:space="0" w:color="000000"/>
              <w:right w:val="single" w:sz="4" w:space="0" w:color="000000"/>
            </w:tcBorders>
            <w:shd w:val="clear" w:color="auto" w:fill="auto"/>
            <w:noWrap/>
            <w:vAlign w:val="bottom"/>
            <w:hideMark/>
          </w:tcPr>
          <w:p w14:paraId="28F2DAF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63.13</w:t>
            </w:r>
          </w:p>
        </w:tc>
      </w:tr>
      <w:tr w:rsidR="00A0308E" w:rsidRPr="003B10E2" w14:paraId="166BB687"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1C0143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Xianheng International Science&amp;Technology,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0D527A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693.04</w:t>
            </w:r>
          </w:p>
        </w:tc>
        <w:tc>
          <w:tcPr>
            <w:tcW w:w="957" w:type="dxa"/>
            <w:tcBorders>
              <w:top w:val="nil"/>
              <w:left w:val="nil"/>
              <w:bottom w:val="single" w:sz="4" w:space="0" w:color="000000"/>
              <w:right w:val="single" w:sz="4" w:space="0" w:color="000000"/>
            </w:tcBorders>
            <w:shd w:val="clear" w:color="auto" w:fill="auto"/>
            <w:noWrap/>
            <w:vAlign w:val="bottom"/>
            <w:hideMark/>
          </w:tcPr>
          <w:p w14:paraId="4C5DF93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12.38</w:t>
            </w:r>
          </w:p>
        </w:tc>
        <w:tc>
          <w:tcPr>
            <w:tcW w:w="1418" w:type="dxa"/>
            <w:tcBorders>
              <w:top w:val="nil"/>
              <w:left w:val="nil"/>
              <w:bottom w:val="single" w:sz="4" w:space="0" w:color="000000"/>
              <w:right w:val="single" w:sz="4" w:space="0" w:color="000000"/>
            </w:tcBorders>
            <w:shd w:val="clear" w:color="auto" w:fill="auto"/>
            <w:noWrap/>
            <w:vAlign w:val="bottom"/>
            <w:hideMark/>
          </w:tcPr>
          <w:p w14:paraId="4C2DDC5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13.19</w:t>
            </w:r>
          </w:p>
        </w:tc>
      </w:tr>
      <w:tr w:rsidR="00A0308E" w:rsidRPr="003B10E2" w14:paraId="2FFFBD02"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D460B3F"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Xilinmen Furniture,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432A3E3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1 377.15</w:t>
            </w:r>
          </w:p>
        </w:tc>
        <w:tc>
          <w:tcPr>
            <w:tcW w:w="957" w:type="dxa"/>
            <w:tcBorders>
              <w:top w:val="nil"/>
              <w:left w:val="nil"/>
              <w:bottom w:val="single" w:sz="4" w:space="0" w:color="000000"/>
              <w:right w:val="single" w:sz="4" w:space="0" w:color="000000"/>
            </w:tcBorders>
            <w:shd w:val="clear" w:color="auto" w:fill="auto"/>
            <w:noWrap/>
            <w:vAlign w:val="bottom"/>
            <w:hideMark/>
          </w:tcPr>
          <w:p w14:paraId="46A08A2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25.40</w:t>
            </w:r>
          </w:p>
        </w:tc>
        <w:tc>
          <w:tcPr>
            <w:tcW w:w="1418" w:type="dxa"/>
            <w:tcBorders>
              <w:top w:val="nil"/>
              <w:left w:val="nil"/>
              <w:bottom w:val="single" w:sz="4" w:space="0" w:color="000000"/>
              <w:right w:val="single" w:sz="4" w:space="0" w:color="000000"/>
            </w:tcBorders>
            <w:shd w:val="clear" w:color="auto" w:fill="auto"/>
            <w:noWrap/>
            <w:vAlign w:val="bottom"/>
            <w:hideMark/>
          </w:tcPr>
          <w:p w14:paraId="17E10EC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373.33</w:t>
            </w:r>
          </w:p>
        </w:tc>
      </w:tr>
      <w:tr w:rsidR="00A0308E" w:rsidRPr="003B10E2" w14:paraId="5B57A1BF"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102C6BA"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Xinfengming Group,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628E8E9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2 395.34</w:t>
            </w:r>
          </w:p>
        </w:tc>
        <w:tc>
          <w:tcPr>
            <w:tcW w:w="957" w:type="dxa"/>
            <w:tcBorders>
              <w:top w:val="nil"/>
              <w:left w:val="nil"/>
              <w:bottom w:val="single" w:sz="4" w:space="0" w:color="000000"/>
              <w:right w:val="single" w:sz="4" w:space="0" w:color="000000"/>
            </w:tcBorders>
            <w:shd w:val="clear" w:color="auto" w:fill="auto"/>
            <w:noWrap/>
            <w:vAlign w:val="bottom"/>
            <w:hideMark/>
          </w:tcPr>
          <w:p w14:paraId="1201C3A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11.19</w:t>
            </w:r>
          </w:p>
        </w:tc>
        <w:tc>
          <w:tcPr>
            <w:tcW w:w="1418" w:type="dxa"/>
            <w:tcBorders>
              <w:top w:val="nil"/>
              <w:left w:val="nil"/>
              <w:bottom w:val="single" w:sz="4" w:space="0" w:color="000000"/>
              <w:right w:val="single" w:sz="4" w:space="0" w:color="000000"/>
            </w:tcBorders>
            <w:shd w:val="clear" w:color="auto" w:fill="auto"/>
            <w:noWrap/>
            <w:vAlign w:val="bottom"/>
            <w:hideMark/>
          </w:tcPr>
          <w:p w14:paraId="68BAA4F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69.90</w:t>
            </w:r>
          </w:p>
        </w:tc>
      </w:tr>
      <w:tr w:rsidR="00A0308E" w:rsidRPr="003B10E2" w14:paraId="40CD5E03"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BE50C8E"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Xingtong Shipping,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2D1F7A3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541.04</w:t>
            </w:r>
          </w:p>
        </w:tc>
        <w:tc>
          <w:tcPr>
            <w:tcW w:w="957" w:type="dxa"/>
            <w:tcBorders>
              <w:top w:val="nil"/>
              <w:left w:val="nil"/>
              <w:bottom w:val="single" w:sz="4" w:space="0" w:color="000000"/>
              <w:right w:val="single" w:sz="4" w:space="0" w:color="000000"/>
            </w:tcBorders>
            <w:shd w:val="clear" w:color="auto" w:fill="auto"/>
            <w:noWrap/>
            <w:vAlign w:val="bottom"/>
            <w:hideMark/>
          </w:tcPr>
          <w:p w14:paraId="2B9FF5D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19.33</w:t>
            </w:r>
          </w:p>
        </w:tc>
        <w:tc>
          <w:tcPr>
            <w:tcW w:w="1418" w:type="dxa"/>
            <w:tcBorders>
              <w:top w:val="nil"/>
              <w:left w:val="nil"/>
              <w:bottom w:val="single" w:sz="4" w:space="0" w:color="000000"/>
              <w:right w:val="single" w:sz="4" w:space="0" w:color="000000"/>
            </w:tcBorders>
            <w:shd w:val="clear" w:color="auto" w:fill="auto"/>
            <w:noWrap/>
            <w:vAlign w:val="bottom"/>
            <w:hideMark/>
          </w:tcPr>
          <w:p w14:paraId="32A6B72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55.22</w:t>
            </w:r>
          </w:p>
        </w:tc>
      </w:tr>
      <w:tr w:rsidR="00A0308E" w:rsidRPr="003B10E2" w14:paraId="16F704AC"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19C62D2"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Xinhu Zhongbao,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0787E1F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3 056.80</w:t>
            </w:r>
          </w:p>
        </w:tc>
        <w:tc>
          <w:tcPr>
            <w:tcW w:w="957" w:type="dxa"/>
            <w:tcBorders>
              <w:top w:val="nil"/>
              <w:left w:val="nil"/>
              <w:bottom w:val="single" w:sz="4" w:space="0" w:color="000000"/>
              <w:right w:val="single" w:sz="4" w:space="0" w:color="000000"/>
            </w:tcBorders>
            <w:shd w:val="clear" w:color="auto" w:fill="auto"/>
            <w:noWrap/>
            <w:vAlign w:val="bottom"/>
            <w:hideMark/>
          </w:tcPr>
          <w:p w14:paraId="02F3914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2.54</w:t>
            </w:r>
          </w:p>
        </w:tc>
        <w:tc>
          <w:tcPr>
            <w:tcW w:w="1418" w:type="dxa"/>
            <w:tcBorders>
              <w:top w:val="nil"/>
              <w:left w:val="nil"/>
              <w:bottom w:val="single" w:sz="4" w:space="0" w:color="000000"/>
              <w:right w:val="single" w:sz="4" w:space="0" w:color="000000"/>
            </w:tcBorders>
            <w:shd w:val="clear" w:color="auto" w:fill="auto"/>
            <w:noWrap/>
            <w:vAlign w:val="bottom"/>
            <w:hideMark/>
          </w:tcPr>
          <w:p w14:paraId="55180EA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222.67</w:t>
            </w:r>
          </w:p>
        </w:tc>
      </w:tr>
      <w:tr w:rsidR="00A0308E" w:rsidRPr="003B10E2" w14:paraId="71C34EF4"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D7B097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Xinhua Winshare Publishing and Media,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426B89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1 820.86</w:t>
            </w:r>
          </w:p>
        </w:tc>
        <w:tc>
          <w:tcPr>
            <w:tcW w:w="957" w:type="dxa"/>
            <w:tcBorders>
              <w:top w:val="nil"/>
              <w:left w:val="nil"/>
              <w:bottom w:val="single" w:sz="4" w:space="0" w:color="000000"/>
              <w:right w:val="single" w:sz="4" w:space="0" w:color="000000"/>
            </w:tcBorders>
            <w:shd w:val="clear" w:color="auto" w:fill="auto"/>
            <w:noWrap/>
            <w:vAlign w:val="bottom"/>
            <w:hideMark/>
          </w:tcPr>
          <w:p w14:paraId="2C83CEE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16.43</w:t>
            </w:r>
          </w:p>
        </w:tc>
        <w:tc>
          <w:tcPr>
            <w:tcW w:w="1418" w:type="dxa"/>
            <w:tcBorders>
              <w:top w:val="nil"/>
              <w:left w:val="nil"/>
              <w:bottom w:val="single" w:sz="4" w:space="0" w:color="000000"/>
              <w:right w:val="single" w:sz="4" w:space="0" w:color="000000"/>
            </w:tcBorders>
            <w:shd w:val="clear" w:color="auto" w:fill="auto"/>
            <w:noWrap/>
            <w:vAlign w:val="bottom"/>
            <w:hideMark/>
          </w:tcPr>
          <w:p w14:paraId="57A50BD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165.00</w:t>
            </w:r>
          </w:p>
        </w:tc>
      </w:tr>
      <w:tr w:rsidR="00A0308E" w:rsidRPr="003B10E2" w14:paraId="622D725C"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CB8D468"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Xinhuanet,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09B99E0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2 451.51</w:t>
            </w:r>
          </w:p>
        </w:tc>
        <w:tc>
          <w:tcPr>
            <w:tcW w:w="957" w:type="dxa"/>
            <w:tcBorders>
              <w:top w:val="nil"/>
              <w:left w:val="nil"/>
              <w:bottom w:val="single" w:sz="4" w:space="0" w:color="000000"/>
              <w:right w:val="single" w:sz="4" w:space="0" w:color="000000"/>
            </w:tcBorders>
            <w:shd w:val="clear" w:color="auto" w:fill="auto"/>
            <w:noWrap/>
            <w:vAlign w:val="bottom"/>
            <w:hideMark/>
          </w:tcPr>
          <w:p w14:paraId="30F0635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33.75</w:t>
            </w:r>
          </w:p>
        </w:tc>
        <w:tc>
          <w:tcPr>
            <w:tcW w:w="1418" w:type="dxa"/>
            <w:tcBorders>
              <w:top w:val="nil"/>
              <w:left w:val="nil"/>
              <w:bottom w:val="single" w:sz="4" w:space="0" w:color="000000"/>
              <w:right w:val="single" w:sz="4" w:space="0" w:color="000000"/>
            </w:tcBorders>
            <w:shd w:val="clear" w:color="auto" w:fill="auto"/>
            <w:noWrap/>
            <w:vAlign w:val="bottom"/>
            <w:hideMark/>
          </w:tcPr>
          <w:p w14:paraId="111EB5B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1 102.49</w:t>
            </w:r>
          </w:p>
        </w:tc>
      </w:tr>
      <w:tr w:rsidR="00A0308E" w:rsidRPr="003B10E2" w14:paraId="20F561FE"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489279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Xining Special Steel,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CBF879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428.55</w:t>
            </w:r>
          </w:p>
        </w:tc>
        <w:tc>
          <w:tcPr>
            <w:tcW w:w="957" w:type="dxa"/>
            <w:tcBorders>
              <w:top w:val="nil"/>
              <w:left w:val="nil"/>
              <w:bottom w:val="single" w:sz="4" w:space="0" w:color="000000"/>
              <w:right w:val="single" w:sz="4" w:space="0" w:color="000000"/>
            </w:tcBorders>
            <w:shd w:val="clear" w:color="auto" w:fill="auto"/>
            <w:noWrap/>
            <w:vAlign w:val="bottom"/>
            <w:hideMark/>
          </w:tcPr>
          <w:p w14:paraId="7AC29D1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2.93</w:t>
            </w:r>
          </w:p>
        </w:tc>
        <w:tc>
          <w:tcPr>
            <w:tcW w:w="1418" w:type="dxa"/>
            <w:tcBorders>
              <w:top w:val="nil"/>
              <w:left w:val="nil"/>
              <w:bottom w:val="single" w:sz="4" w:space="0" w:color="000000"/>
              <w:right w:val="single" w:sz="4" w:space="0" w:color="000000"/>
            </w:tcBorders>
            <w:shd w:val="clear" w:color="auto" w:fill="auto"/>
            <w:noWrap/>
            <w:vAlign w:val="bottom"/>
            <w:hideMark/>
          </w:tcPr>
          <w:p w14:paraId="1711CD1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8.07</w:t>
            </w:r>
          </w:p>
        </w:tc>
      </w:tr>
      <w:tr w:rsidR="00A0308E" w:rsidRPr="003B10E2" w14:paraId="2888E040"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0BD0C1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Xinjiang Ba Yi Iron &amp; Steel,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F84A3E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883.85</w:t>
            </w:r>
          </w:p>
        </w:tc>
        <w:tc>
          <w:tcPr>
            <w:tcW w:w="957" w:type="dxa"/>
            <w:tcBorders>
              <w:top w:val="nil"/>
              <w:left w:val="nil"/>
              <w:bottom w:val="single" w:sz="4" w:space="0" w:color="000000"/>
              <w:right w:val="single" w:sz="4" w:space="0" w:color="000000"/>
            </w:tcBorders>
            <w:shd w:val="clear" w:color="auto" w:fill="auto"/>
            <w:noWrap/>
            <w:vAlign w:val="bottom"/>
            <w:hideMark/>
          </w:tcPr>
          <w:p w14:paraId="4E90591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4.12</w:t>
            </w:r>
          </w:p>
        </w:tc>
        <w:tc>
          <w:tcPr>
            <w:tcW w:w="1418" w:type="dxa"/>
            <w:tcBorders>
              <w:top w:val="nil"/>
              <w:left w:val="nil"/>
              <w:bottom w:val="single" w:sz="4" w:space="0" w:color="000000"/>
              <w:right w:val="single" w:sz="4" w:space="0" w:color="000000"/>
            </w:tcBorders>
            <w:shd w:val="clear" w:color="auto" w:fill="auto"/>
            <w:noWrap/>
            <w:vAlign w:val="bottom"/>
            <w:hideMark/>
          </w:tcPr>
          <w:p w14:paraId="12B7998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48.40</w:t>
            </w:r>
          </w:p>
        </w:tc>
      </w:tr>
      <w:tr w:rsidR="00A0308E" w:rsidRPr="003B10E2" w14:paraId="4C3AE600"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60FD0CB"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Xinjiang Bai Hua Cun,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47C9B18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328.12</w:t>
            </w:r>
          </w:p>
        </w:tc>
        <w:tc>
          <w:tcPr>
            <w:tcW w:w="957" w:type="dxa"/>
            <w:tcBorders>
              <w:top w:val="nil"/>
              <w:left w:val="nil"/>
              <w:bottom w:val="single" w:sz="4" w:space="0" w:color="000000"/>
              <w:right w:val="single" w:sz="4" w:space="0" w:color="000000"/>
            </w:tcBorders>
            <w:shd w:val="clear" w:color="auto" w:fill="auto"/>
            <w:noWrap/>
            <w:vAlign w:val="bottom"/>
            <w:hideMark/>
          </w:tcPr>
          <w:p w14:paraId="1FAD0B5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6.25</w:t>
            </w:r>
          </w:p>
        </w:tc>
        <w:tc>
          <w:tcPr>
            <w:tcW w:w="1418" w:type="dxa"/>
            <w:tcBorders>
              <w:top w:val="nil"/>
              <w:left w:val="nil"/>
              <w:bottom w:val="single" w:sz="4" w:space="0" w:color="000000"/>
              <w:right w:val="single" w:sz="4" w:space="0" w:color="000000"/>
            </w:tcBorders>
            <w:shd w:val="clear" w:color="auto" w:fill="auto"/>
            <w:noWrap/>
            <w:vAlign w:val="bottom"/>
            <w:hideMark/>
          </w:tcPr>
          <w:p w14:paraId="4C9A083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12.00</w:t>
            </w:r>
          </w:p>
        </w:tc>
      </w:tr>
      <w:tr w:rsidR="00A0308E" w:rsidRPr="003B10E2" w14:paraId="04CAE302"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A965FA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Xinjiang Baodi Mining,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5E122E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6903B99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7.95</w:t>
            </w:r>
          </w:p>
        </w:tc>
        <w:tc>
          <w:tcPr>
            <w:tcW w:w="1418" w:type="dxa"/>
            <w:tcBorders>
              <w:top w:val="nil"/>
              <w:left w:val="nil"/>
              <w:bottom w:val="single" w:sz="4" w:space="0" w:color="000000"/>
              <w:right w:val="single" w:sz="4" w:space="0" w:color="000000"/>
            </w:tcBorders>
            <w:shd w:val="clear" w:color="auto" w:fill="auto"/>
            <w:noWrap/>
            <w:vAlign w:val="bottom"/>
            <w:hideMark/>
          </w:tcPr>
          <w:p w14:paraId="4EF414B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29.15</w:t>
            </w:r>
          </w:p>
        </w:tc>
      </w:tr>
      <w:tr w:rsidR="00A0308E" w:rsidRPr="003B10E2" w14:paraId="191DA0D7"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6737E3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Xinjiang Daqo New Energy,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7BF0B6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11 705.44</w:t>
            </w:r>
          </w:p>
        </w:tc>
        <w:tc>
          <w:tcPr>
            <w:tcW w:w="957" w:type="dxa"/>
            <w:tcBorders>
              <w:top w:val="nil"/>
              <w:left w:val="nil"/>
              <w:bottom w:val="single" w:sz="4" w:space="0" w:color="000000"/>
              <w:right w:val="single" w:sz="4" w:space="0" w:color="000000"/>
            </w:tcBorders>
            <w:shd w:val="clear" w:color="auto" w:fill="auto"/>
            <w:noWrap/>
            <w:vAlign w:val="bottom"/>
            <w:hideMark/>
          </w:tcPr>
          <w:p w14:paraId="07256A6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43.45</w:t>
            </w:r>
          </w:p>
        </w:tc>
        <w:tc>
          <w:tcPr>
            <w:tcW w:w="1418" w:type="dxa"/>
            <w:tcBorders>
              <w:top w:val="nil"/>
              <w:left w:val="nil"/>
              <w:bottom w:val="single" w:sz="4" w:space="0" w:color="000000"/>
              <w:right w:val="single" w:sz="4" w:space="0" w:color="000000"/>
            </w:tcBorders>
            <w:shd w:val="clear" w:color="auto" w:fill="auto"/>
            <w:noWrap/>
            <w:vAlign w:val="bottom"/>
            <w:hideMark/>
          </w:tcPr>
          <w:p w14:paraId="4170A2A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405.15</w:t>
            </w:r>
          </w:p>
        </w:tc>
      </w:tr>
      <w:tr w:rsidR="00A0308E" w:rsidRPr="003B10E2" w14:paraId="58377DC1"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0B0115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Xinjiang East Universe Group Gas,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D967AD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388.28</w:t>
            </w:r>
          </w:p>
        </w:tc>
        <w:tc>
          <w:tcPr>
            <w:tcW w:w="957" w:type="dxa"/>
            <w:tcBorders>
              <w:top w:val="nil"/>
              <w:left w:val="nil"/>
              <w:bottom w:val="single" w:sz="4" w:space="0" w:color="000000"/>
              <w:right w:val="single" w:sz="4" w:space="0" w:color="000000"/>
            </w:tcBorders>
            <w:shd w:val="clear" w:color="auto" w:fill="auto"/>
            <w:noWrap/>
            <w:vAlign w:val="bottom"/>
            <w:hideMark/>
          </w:tcPr>
          <w:p w14:paraId="30F37F7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14.65</w:t>
            </w:r>
          </w:p>
        </w:tc>
        <w:tc>
          <w:tcPr>
            <w:tcW w:w="1418" w:type="dxa"/>
            <w:tcBorders>
              <w:top w:val="nil"/>
              <w:left w:val="nil"/>
              <w:bottom w:val="single" w:sz="4" w:space="0" w:color="000000"/>
              <w:right w:val="single" w:sz="4" w:space="0" w:color="000000"/>
            </w:tcBorders>
            <w:shd w:val="clear" w:color="auto" w:fill="auto"/>
            <w:noWrap/>
            <w:vAlign w:val="bottom"/>
            <w:hideMark/>
          </w:tcPr>
          <w:p w14:paraId="086CFD2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13.19</w:t>
            </w:r>
          </w:p>
        </w:tc>
      </w:tr>
      <w:tr w:rsidR="00A0308E" w:rsidRPr="003B10E2" w14:paraId="5037F509"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3E039B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Xinjiang Guannong Fruit &amp; Antler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C1405B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985.33</w:t>
            </w:r>
          </w:p>
        </w:tc>
        <w:tc>
          <w:tcPr>
            <w:tcW w:w="957" w:type="dxa"/>
            <w:tcBorders>
              <w:top w:val="nil"/>
              <w:left w:val="nil"/>
              <w:bottom w:val="single" w:sz="4" w:space="0" w:color="000000"/>
              <w:right w:val="single" w:sz="4" w:space="0" w:color="000000"/>
            </w:tcBorders>
            <w:shd w:val="clear" w:color="auto" w:fill="auto"/>
            <w:noWrap/>
            <w:vAlign w:val="bottom"/>
            <w:hideMark/>
          </w:tcPr>
          <w:p w14:paraId="172B1EB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9.01</w:t>
            </w:r>
          </w:p>
        </w:tc>
        <w:tc>
          <w:tcPr>
            <w:tcW w:w="1418" w:type="dxa"/>
            <w:tcBorders>
              <w:top w:val="nil"/>
              <w:left w:val="nil"/>
              <w:bottom w:val="single" w:sz="4" w:space="0" w:color="000000"/>
              <w:right w:val="single" w:sz="4" w:space="0" w:color="000000"/>
            </w:tcBorders>
            <w:shd w:val="clear" w:color="auto" w:fill="auto"/>
            <w:noWrap/>
            <w:vAlign w:val="bottom"/>
            <w:hideMark/>
          </w:tcPr>
          <w:p w14:paraId="6C45E39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70.39</w:t>
            </w:r>
          </w:p>
        </w:tc>
      </w:tr>
      <w:tr w:rsidR="00A0308E" w:rsidRPr="003B10E2" w14:paraId="5035FDA5"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DC03F80"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Xinjiang Joinworld,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2350D43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1 467.05</w:t>
            </w:r>
          </w:p>
        </w:tc>
        <w:tc>
          <w:tcPr>
            <w:tcW w:w="957" w:type="dxa"/>
            <w:tcBorders>
              <w:top w:val="nil"/>
              <w:left w:val="nil"/>
              <w:bottom w:val="single" w:sz="4" w:space="0" w:color="000000"/>
              <w:right w:val="single" w:sz="4" w:space="0" w:color="000000"/>
            </w:tcBorders>
            <w:shd w:val="clear" w:color="auto" w:fill="auto"/>
            <w:noWrap/>
            <w:vAlign w:val="bottom"/>
            <w:hideMark/>
          </w:tcPr>
          <w:p w14:paraId="6EE9023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7.78</w:t>
            </w:r>
          </w:p>
        </w:tc>
        <w:tc>
          <w:tcPr>
            <w:tcW w:w="1418" w:type="dxa"/>
            <w:tcBorders>
              <w:top w:val="nil"/>
              <w:left w:val="nil"/>
              <w:bottom w:val="single" w:sz="4" w:space="0" w:color="000000"/>
              <w:right w:val="single" w:sz="4" w:space="0" w:color="000000"/>
            </w:tcBorders>
            <w:shd w:val="clear" w:color="auto" w:fill="auto"/>
            <w:noWrap/>
            <w:vAlign w:val="bottom"/>
            <w:hideMark/>
          </w:tcPr>
          <w:p w14:paraId="7C07BEF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47.67</w:t>
            </w:r>
          </w:p>
        </w:tc>
      </w:tr>
      <w:tr w:rsidR="00A0308E" w:rsidRPr="003B10E2" w14:paraId="633EA5FA"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2507CC8"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Xinjiang Korla Pear,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24CFD65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210.64</w:t>
            </w:r>
          </w:p>
        </w:tc>
        <w:tc>
          <w:tcPr>
            <w:tcW w:w="957" w:type="dxa"/>
            <w:tcBorders>
              <w:top w:val="nil"/>
              <w:left w:val="nil"/>
              <w:bottom w:val="single" w:sz="4" w:space="0" w:color="000000"/>
              <w:right w:val="single" w:sz="4" w:space="0" w:color="000000"/>
            </w:tcBorders>
            <w:shd w:val="clear" w:color="auto" w:fill="auto"/>
            <w:noWrap/>
            <w:vAlign w:val="bottom"/>
            <w:hideMark/>
          </w:tcPr>
          <w:p w14:paraId="545E2DE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10.19</w:t>
            </w:r>
          </w:p>
        </w:tc>
        <w:tc>
          <w:tcPr>
            <w:tcW w:w="1418" w:type="dxa"/>
            <w:tcBorders>
              <w:top w:val="nil"/>
              <w:left w:val="nil"/>
              <w:bottom w:val="single" w:sz="4" w:space="0" w:color="000000"/>
              <w:right w:val="single" w:sz="4" w:space="0" w:color="000000"/>
            </w:tcBorders>
            <w:shd w:val="clear" w:color="auto" w:fill="auto"/>
            <w:noWrap/>
            <w:vAlign w:val="bottom"/>
            <w:hideMark/>
          </w:tcPr>
          <w:p w14:paraId="3C13EB8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13.22</w:t>
            </w:r>
          </w:p>
        </w:tc>
      </w:tr>
      <w:tr w:rsidR="00A0308E" w:rsidRPr="003B10E2" w14:paraId="42606C39"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5725A2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Xinjiang Qingsong Building Materials and Chemicals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EF9B7C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935.85</w:t>
            </w:r>
          </w:p>
        </w:tc>
        <w:tc>
          <w:tcPr>
            <w:tcW w:w="957" w:type="dxa"/>
            <w:tcBorders>
              <w:top w:val="nil"/>
              <w:left w:val="nil"/>
              <w:bottom w:val="single" w:sz="4" w:space="0" w:color="000000"/>
              <w:right w:val="single" w:sz="4" w:space="0" w:color="000000"/>
            </w:tcBorders>
            <w:shd w:val="clear" w:color="auto" w:fill="auto"/>
            <w:noWrap/>
            <w:vAlign w:val="bottom"/>
            <w:hideMark/>
          </w:tcPr>
          <w:p w14:paraId="0D0C21E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4.85</w:t>
            </w:r>
          </w:p>
        </w:tc>
        <w:tc>
          <w:tcPr>
            <w:tcW w:w="1418" w:type="dxa"/>
            <w:tcBorders>
              <w:top w:val="nil"/>
              <w:left w:val="nil"/>
              <w:bottom w:val="single" w:sz="4" w:space="0" w:color="000000"/>
              <w:right w:val="single" w:sz="4" w:space="0" w:color="000000"/>
            </w:tcBorders>
            <w:shd w:val="clear" w:color="auto" w:fill="auto"/>
            <w:noWrap/>
            <w:vAlign w:val="bottom"/>
            <w:hideMark/>
          </w:tcPr>
          <w:p w14:paraId="257CDE1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157.61</w:t>
            </w:r>
          </w:p>
        </w:tc>
      </w:tr>
      <w:tr w:rsidR="00A0308E" w:rsidRPr="003B10E2" w14:paraId="28B9A6F7"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824A11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Xinjiang Sailimu Modern Agriculture,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0440BA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384.85</w:t>
            </w:r>
          </w:p>
        </w:tc>
        <w:tc>
          <w:tcPr>
            <w:tcW w:w="957" w:type="dxa"/>
            <w:tcBorders>
              <w:top w:val="nil"/>
              <w:left w:val="nil"/>
              <w:bottom w:val="single" w:sz="4" w:space="0" w:color="000000"/>
              <w:right w:val="single" w:sz="4" w:space="0" w:color="000000"/>
            </w:tcBorders>
            <w:shd w:val="clear" w:color="auto" w:fill="auto"/>
            <w:noWrap/>
            <w:vAlign w:val="bottom"/>
            <w:hideMark/>
          </w:tcPr>
          <w:p w14:paraId="4D7EDC0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4.73</w:t>
            </w:r>
          </w:p>
        </w:tc>
        <w:tc>
          <w:tcPr>
            <w:tcW w:w="1418" w:type="dxa"/>
            <w:tcBorders>
              <w:top w:val="nil"/>
              <w:left w:val="nil"/>
              <w:bottom w:val="single" w:sz="4" w:space="0" w:color="000000"/>
              <w:right w:val="single" w:sz="4" w:space="0" w:color="000000"/>
            </w:tcBorders>
            <w:shd w:val="clear" w:color="auto" w:fill="auto"/>
            <w:noWrap/>
            <w:vAlign w:val="bottom"/>
            <w:hideMark/>
          </w:tcPr>
          <w:p w14:paraId="16CBEFC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32.03</w:t>
            </w:r>
          </w:p>
        </w:tc>
      </w:tr>
      <w:tr w:rsidR="00A0308E" w:rsidRPr="003B10E2" w14:paraId="2A0C9E67"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547222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Xinjiang Talimu Agriculture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4F5220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413.79</w:t>
            </w:r>
          </w:p>
        </w:tc>
        <w:tc>
          <w:tcPr>
            <w:tcW w:w="957" w:type="dxa"/>
            <w:tcBorders>
              <w:top w:val="nil"/>
              <w:left w:val="nil"/>
              <w:bottom w:val="single" w:sz="4" w:space="0" w:color="000000"/>
              <w:right w:val="single" w:sz="4" w:space="0" w:color="000000"/>
            </w:tcBorders>
            <w:shd w:val="clear" w:color="auto" w:fill="auto"/>
            <w:noWrap/>
            <w:vAlign w:val="bottom"/>
            <w:hideMark/>
          </w:tcPr>
          <w:p w14:paraId="0B266E4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7.75</w:t>
            </w:r>
          </w:p>
        </w:tc>
        <w:tc>
          <w:tcPr>
            <w:tcW w:w="1418" w:type="dxa"/>
            <w:tcBorders>
              <w:top w:val="nil"/>
              <w:left w:val="nil"/>
              <w:bottom w:val="single" w:sz="4" w:space="0" w:color="000000"/>
              <w:right w:val="single" w:sz="4" w:space="0" w:color="000000"/>
            </w:tcBorders>
            <w:shd w:val="clear" w:color="auto" w:fill="auto"/>
            <w:noWrap/>
            <w:vAlign w:val="bottom"/>
            <w:hideMark/>
          </w:tcPr>
          <w:p w14:paraId="5C61ABE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26.64</w:t>
            </w:r>
          </w:p>
        </w:tc>
      </w:tr>
      <w:tr w:rsidR="00A0308E" w:rsidRPr="003B10E2" w14:paraId="1C54A711"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12594F5"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Xinjiang Tianfu Energy,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59D0560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1 161.81</w:t>
            </w:r>
          </w:p>
        </w:tc>
        <w:tc>
          <w:tcPr>
            <w:tcW w:w="957" w:type="dxa"/>
            <w:tcBorders>
              <w:top w:val="nil"/>
              <w:left w:val="nil"/>
              <w:bottom w:val="single" w:sz="4" w:space="0" w:color="000000"/>
              <w:right w:val="single" w:sz="4" w:space="0" w:color="000000"/>
            </w:tcBorders>
            <w:shd w:val="clear" w:color="auto" w:fill="auto"/>
            <w:noWrap/>
            <w:vAlign w:val="bottom"/>
            <w:hideMark/>
          </w:tcPr>
          <w:p w14:paraId="2881B21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7.21</w:t>
            </w:r>
          </w:p>
        </w:tc>
        <w:tc>
          <w:tcPr>
            <w:tcW w:w="1418" w:type="dxa"/>
            <w:tcBorders>
              <w:top w:val="nil"/>
              <w:left w:val="nil"/>
              <w:bottom w:val="single" w:sz="4" w:space="0" w:color="000000"/>
              <w:right w:val="single" w:sz="4" w:space="0" w:color="000000"/>
            </w:tcBorders>
            <w:shd w:val="clear" w:color="auto" w:fill="auto"/>
            <w:noWrap/>
            <w:vAlign w:val="bottom"/>
            <w:hideMark/>
          </w:tcPr>
          <w:p w14:paraId="129940B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179.08</w:t>
            </w:r>
          </w:p>
        </w:tc>
      </w:tr>
      <w:tr w:rsidR="00A0308E" w:rsidRPr="003B10E2" w14:paraId="3B1990D1"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699F0F1"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Xinjiang Tianrun Dairy,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0ABD4F7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788.66</w:t>
            </w:r>
          </w:p>
        </w:tc>
        <w:tc>
          <w:tcPr>
            <w:tcW w:w="957" w:type="dxa"/>
            <w:tcBorders>
              <w:top w:val="nil"/>
              <w:left w:val="nil"/>
              <w:bottom w:val="single" w:sz="4" w:space="0" w:color="000000"/>
              <w:right w:val="single" w:sz="4" w:space="0" w:color="000000"/>
            </w:tcBorders>
            <w:shd w:val="clear" w:color="auto" w:fill="auto"/>
            <w:noWrap/>
            <w:vAlign w:val="bottom"/>
            <w:hideMark/>
          </w:tcPr>
          <w:p w14:paraId="1B9ED3F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17.60</w:t>
            </w:r>
          </w:p>
        </w:tc>
        <w:tc>
          <w:tcPr>
            <w:tcW w:w="1418" w:type="dxa"/>
            <w:tcBorders>
              <w:top w:val="nil"/>
              <w:left w:val="nil"/>
              <w:bottom w:val="single" w:sz="4" w:space="0" w:color="000000"/>
              <w:right w:val="single" w:sz="4" w:space="0" w:color="000000"/>
            </w:tcBorders>
            <w:shd w:val="clear" w:color="auto" w:fill="auto"/>
            <w:noWrap/>
            <w:vAlign w:val="bottom"/>
            <w:hideMark/>
          </w:tcPr>
          <w:p w14:paraId="373659A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117.46</w:t>
            </w:r>
          </w:p>
        </w:tc>
      </w:tr>
      <w:tr w:rsidR="00A0308E" w:rsidRPr="003B10E2" w14:paraId="16448201"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ED56A2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Xinjiang Tianye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C565E4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1 134.97</w:t>
            </w:r>
          </w:p>
        </w:tc>
        <w:tc>
          <w:tcPr>
            <w:tcW w:w="957" w:type="dxa"/>
            <w:tcBorders>
              <w:top w:val="nil"/>
              <w:left w:val="nil"/>
              <w:bottom w:val="single" w:sz="4" w:space="0" w:color="000000"/>
              <w:right w:val="single" w:sz="4" w:space="0" w:color="000000"/>
            </w:tcBorders>
            <w:shd w:val="clear" w:color="auto" w:fill="auto"/>
            <w:noWrap/>
            <w:vAlign w:val="bottom"/>
            <w:hideMark/>
          </w:tcPr>
          <w:p w14:paraId="586B397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4.75</w:t>
            </w:r>
          </w:p>
        </w:tc>
        <w:tc>
          <w:tcPr>
            <w:tcW w:w="1418" w:type="dxa"/>
            <w:tcBorders>
              <w:top w:val="nil"/>
              <w:left w:val="nil"/>
              <w:bottom w:val="single" w:sz="4" w:space="0" w:color="000000"/>
              <w:right w:val="single" w:sz="4" w:space="0" w:color="000000"/>
            </w:tcBorders>
            <w:shd w:val="clear" w:color="auto" w:fill="auto"/>
            <w:noWrap/>
            <w:vAlign w:val="bottom"/>
            <w:hideMark/>
          </w:tcPr>
          <w:p w14:paraId="248826C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23.02</w:t>
            </w:r>
          </w:p>
        </w:tc>
      </w:tr>
      <w:tr w:rsidR="00A0308E" w:rsidRPr="003B10E2" w14:paraId="1B7F6FA9"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D3C0E7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Xinjiang Torch Gas,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402FA1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265.55</w:t>
            </w:r>
          </w:p>
        </w:tc>
        <w:tc>
          <w:tcPr>
            <w:tcW w:w="957" w:type="dxa"/>
            <w:tcBorders>
              <w:top w:val="nil"/>
              <w:left w:val="nil"/>
              <w:bottom w:val="single" w:sz="4" w:space="0" w:color="000000"/>
              <w:right w:val="single" w:sz="4" w:space="0" w:color="000000"/>
            </w:tcBorders>
            <w:shd w:val="clear" w:color="auto" w:fill="auto"/>
            <w:noWrap/>
            <w:vAlign w:val="bottom"/>
            <w:hideMark/>
          </w:tcPr>
          <w:p w14:paraId="6141138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13.41</w:t>
            </w:r>
          </w:p>
        </w:tc>
        <w:tc>
          <w:tcPr>
            <w:tcW w:w="1418" w:type="dxa"/>
            <w:tcBorders>
              <w:top w:val="nil"/>
              <w:left w:val="nil"/>
              <w:bottom w:val="single" w:sz="4" w:space="0" w:color="000000"/>
              <w:right w:val="single" w:sz="4" w:space="0" w:color="000000"/>
            </w:tcBorders>
            <w:shd w:val="clear" w:color="auto" w:fill="auto"/>
            <w:noWrap/>
            <w:vAlign w:val="bottom"/>
            <w:hideMark/>
          </w:tcPr>
          <w:p w14:paraId="1898083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16.03</w:t>
            </w:r>
          </w:p>
        </w:tc>
      </w:tr>
      <w:tr w:rsidR="00A0308E" w:rsidRPr="003B10E2" w14:paraId="6859A2B9"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2EB65C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Xinjiang Winka Times Department Store,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BAC9D2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449.63</w:t>
            </w:r>
          </w:p>
        </w:tc>
        <w:tc>
          <w:tcPr>
            <w:tcW w:w="957" w:type="dxa"/>
            <w:tcBorders>
              <w:top w:val="nil"/>
              <w:left w:val="nil"/>
              <w:bottom w:val="single" w:sz="4" w:space="0" w:color="000000"/>
              <w:right w:val="single" w:sz="4" w:space="0" w:color="000000"/>
            </w:tcBorders>
            <w:shd w:val="clear" w:color="auto" w:fill="auto"/>
            <w:noWrap/>
            <w:vAlign w:val="bottom"/>
            <w:hideMark/>
          </w:tcPr>
          <w:p w14:paraId="4814849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6.83</w:t>
            </w:r>
          </w:p>
        </w:tc>
        <w:tc>
          <w:tcPr>
            <w:tcW w:w="1418" w:type="dxa"/>
            <w:tcBorders>
              <w:top w:val="nil"/>
              <w:left w:val="nil"/>
              <w:bottom w:val="single" w:sz="4" w:space="0" w:color="000000"/>
              <w:right w:val="single" w:sz="4" w:space="0" w:color="000000"/>
            </w:tcBorders>
            <w:shd w:val="clear" w:color="auto" w:fill="auto"/>
            <w:noWrap/>
            <w:vAlign w:val="bottom"/>
            <w:hideMark/>
          </w:tcPr>
          <w:p w14:paraId="562F1C3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119.27</w:t>
            </w:r>
          </w:p>
        </w:tc>
      </w:tr>
      <w:tr w:rsidR="00A0308E" w:rsidRPr="003B10E2" w14:paraId="22A6CD64"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1C4770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Xinjiang Xintai Natural Gas,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91685D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1 467.16</w:t>
            </w:r>
          </w:p>
        </w:tc>
        <w:tc>
          <w:tcPr>
            <w:tcW w:w="957" w:type="dxa"/>
            <w:tcBorders>
              <w:top w:val="nil"/>
              <w:left w:val="nil"/>
              <w:bottom w:val="single" w:sz="4" w:space="0" w:color="000000"/>
              <w:right w:val="single" w:sz="4" w:space="0" w:color="000000"/>
            </w:tcBorders>
            <w:shd w:val="clear" w:color="auto" w:fill="auto"/>
            <w:noWrap/>
            <w:vAlign w:val="bottom"/>
            <w:hideMark/>
          </w:tcPr>
          <w:p w14:paraId="70190AC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24.73</w:t>
            </w:r>
          </w:p>
        </w:tc>
        <w:tc>
          <w:tcPr>
            <w:tcW w:w="1418" w:type="dxa"/>
            <w:tcBorders>
              <w:top w:val="nil"/>
              <w:left w:val="nil"/>
              <w:bottom w:val="single" w:sz="4" w:space="0" w:color="000000"/>
              <w:right w:val="single" w:sz="4" w:space="0" w:color="000000"/>
            </w:tcBorders>
            <w:shd w:val="clear" w:color="auto" w:fill="auto"/>
            <w:noWrap/>
            <w:vAlign w:val="bottom"/>
            <w:hideMark/>
          </w:tcPr>
          <w:p w14:paraId="0BBE67F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106.90</w:t>
            </w:r>
          </w:p>
        </w:tc>
      </w:tr>
      <w:tr w:rsidR="00A0308E" w:rsidRPr="003B10E2" w14:paraId="2E521BDF"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4222F5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Xinjiang Xuefeng Sci-Tech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E7E4D4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833.53</w:t>
            </w:r>
          </w:p>
        </w:tc>
        <w:tc>
          <w:tcPr>
            <w:tcW w:w="957" w:type="dxa"/>
            <w:tcBorders>
              <w:top w:val="nil"/>
              <w:left w:val="nil"/>
              <w:bottom w:val="single" w:sz="4" w:space="0" w:color="000000"/>
              <w:right w:val="single" w:sz="4" w:space="0" w:color="000000"/>
            </w:tcBorders>
            <w:shd w:val="clear" w:color="auto" w:fill="auto"/>
            <w:noWrap/>
            <w:vAlign w:val="bottom"/>
            <w:hideMark/>
          </w:tcPr>
          <w:p w14:paraId="2E66A92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8.22</w:t>
            </w:r>
          </w:p>
        </w:tc>
        <w:tc>
          <w:tcPr>
            <w:tcW w:w="1418" w:type="dxa"/>
            <w:tcBorders>
              <w:top w:val="nil"/>
              <w:left w:val="nil"/>
              <w:bottom w:val="single" w:sz="4" w:space="0" w:color="000000"/>
              <w:right w:val="single" w:sz="4" w:space="0" w:color="000000"/>
            </w:tcBorders>
            <w:shd w:val="clear" w:color="auto" w:fill="auto"/>
            <w:noWrap/>
            <w:vAlign w:val="bottom"/>
            <w:hideMark/>
          </w:tcPr>
          <w:p w14:paraId="3375192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100.40</w:t>
            </w:r>
          </w:p>
        </w:tc>
      </w:tr>
      <w:tr w:rsidR="00A0308E" w:rsidRPr="003B10E2" w14:paraId="5F22BB8B"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F0410C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Xinjiang Yilite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A04892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1 786.61</w:t>
            </w:r>
          </w:p>
        </w:tc>
        <w:tc>
          <w:tcPr>
            <w:tcW w:w="957" w:type="dxa"/>
            <w:tcBorders>
              <w:top w:val="nil"/>
              <w:left w:val="nil"/>
              <w:bottom w:val="single" w:sz="4" w:space="0" w:color="000000"/>
              <w:right w:val="single" w:sz="4" w:space="0" w:color="000000"/>
            </w:tcBorders>
            <w:shd w:val="clear" w:color="auto" w:fill="auto"/>
            <w:noWrap/>
            <w:vAlign w:val="bottom"/>
            <w:hideMark/>
          </w:tcPr>
          <w:p w14:paraId="1B0F1F8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27.05</w:t>
            </w:r>
          </w:p>
        </w:tc>
        <w:tc>
          <w:tcPr>
            <w:tcW w:w="1418" w:type="dxa"/>
            <w:tcBorders>
              <w:top w:val="nil"/>
              <w:left w:val="nil"/>
              <w:bottom w:val="single" w:sz="4" w:space="0" w:color="000000"/>
              <w:right w:val="single" w:sz="4" w:space="0" w:color="000000"/>
            </w:tcBorders>
            <w:shd w:val="clear" w:color="auto" w:fill="auto"/>
            <w:noWrap/>
            <w:vAlign w:val="bottom"/>
            <w:hideMark/>
          </w:tcPr>
          <w:p w14:paraId="2E39168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138.15</w:t>
            </w:r>
          </w:p>
        </w:tc>
      </w:tr>
      <w:tr w:rsidR="00A0308E" w:rsidRPr="003B10E2" w14:paraId="488FB6C7"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281B6A9"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Xinjiang Youhao Group,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5549523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309.51</w:t>
            </w:r>
          </w:p>
        </w:tc>
        <w:tc>
          <w:tcPr>
            <w:tcW w:w="957" w:type="dxa"/>
            <w:tcBorders>
              <w:top w:val="nil"/>
              <w:left w:val="nil"/>
              <w:bottom w:val="single" w:sz="4" w:space="0" w:color="000000"/>
              <w:right w:val="single" w:sz="4" w:space="0" w:color="000000"/>
            </w:tcBorders>
            <w:shd w:val="clear" w:color="auto" w:fill="auto"/>
            <w:noWrap/>
            <w:vAlign w:val="bottom"/>
            <w:hideMark/>
          </w:tcPr>
          <w:p w14:paraId="78E3627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7.10</w:t>
            </w:r>
          </w:p>
        </w:tc>
        <w:tc>
          <w:tcPr>
            <w:tcW w:w="1418" w:type="dxa"/>
            <w:tcBorders>
              <w:top w:val="nil"/>
              <w:left w:val="nil"/>
              <w:bottom w:val="single" w:sz="4" w:space="0" w:color="000000"/>
              <w:right w:val="single" w:sz="4" w:space="0" w:color="000000"/>
            </w:tcBorders>
            <w:shd w:val="clear" w:color="auto" w:fill="auto"/>
            <w:noWrap/>
            <w:vAlign w:val="bottom"/>
            <w:hideMark/>
          </w:tcPr>
          <w:p w14:paraId="464462D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11.32</w:t>
            </w:r>
          </w:p>
        </w:tc>
      </w:tr>
      <w:tr w:rsidR="00A0308E" w:rsidRPr="003B10E2" w14:paraId="3F05B62C"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C63DBBD"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Xinya Electronic,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2DF1CDA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394.83</w:t>
            </w:r>
          </w:p>
        </w:tc>
        <w:tc>
          <w:tcPr>
            <w:tcW w:w="957" w:type="dxa"/>
            <w:tcBorders>
              <w:top w:val="nil"/>
              <w:left w:val="nil"/>
              <w:bottom w:val="single" w:sz="4" w:space="0" w:color="000000"/>
              <w:right w:val="single" w:sz="4" w:space="0" w:color="000000"/>
            </w:tcBorders>
            <w:shd w:val="clear" w:color="auto" w:fill="auto"/>
            <w:noWrap/>
            <w:vAlign w:val="bottom"/>
            <w:hideMark/>
          </w:tcPr>
          <w:p w14:paraId="306A8FE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20.68</w:t>
            </w:r>
          </w:p>
        </w:tc>
        <w:tc>
          <w:tcPr>
            <w:tcW w:w="1418" w:type="dxa"/>
            <w:tcBorders>
              <w:top w:val="nil"/>
              <w:left w:val="nil"/>
              <w:bottom w:val="single" w:sz="4" w:space="0" w:color="000000"/>
              <w:right w:val="single" w:sz="4" w:space="0" w:color="000000"/>
            </w:tcBorders>
            <w:shd w:val="clear" w:color="auto" w:fill="auto"/>
            <w:noWrap/>
            <w:vAlign w:val="bottom"/>
            <w:hideMark/>
          </w:tcPr>
          <w:p w14:paraId="031E5DE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370.84</w:t>
            </w:r>
          </w:p>
        </w:tc>
      </w:tr>
      <w:tr w:rsidR="00A0308E" w:rsidRPr="003B10E2" w14:paraId="751B193F"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92A797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XinYaQiang Silicon Chemistry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D83E0D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618.06</w:t>
            </w:r>
          </w:p>
        </w:tc>
        <w:tc>
          <w:tcPr>
            <w:tcW w:w="957" w:type="dxa"/>
            <w:tcBorders>
              <w:top w:val="nil"/>
              <w:left w:val="nil"/>
              <w:bottom w:val="single" w:sz="4" w:space="0" w:color="000000"/>
              <w:right w:val="single" w:sz="4" w:space="0" w:color="000000"/>
            </w:tcBorders>
            <w:shd w:val="clear" w:color="auto" w:fill="auto"/>
            <w:noWrap/>
            <w:vAlign w:val="bottom"/>
            <w:hideMark/>
          </w:tcPr>
          <w:p w14:paraId="5756756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28.39</w:t>
            </w:r>
          </w:p>
        </w:tc>
        <w:tc>
          <w:tcPr>
            <w:tcW w:w="1418" w:type="dxa"/>
            <w:tcBorders>
              <w:top w:val="nil"/>
              <w:left w:val="nil"/>
              <w:bottom w:val="single" w:sz="4" w:space="0" w:color="000000"/>
              <w:right w:val="single" w:sz="4" w:space="0" w:color="000000"/>
            </w:tcBorders>
            <w:shd w:val="clear" w:color="auto" w:fill="auto"/>
            <w:noWrap/>
            <w:vAlign w:val="bottom"/>
            <w:hideMark/>
          </w:tcPr>
          <w:p w14:paraId="2AE382B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56.67</w:t>
            </w:r>
          </w:p>
        </w:tc>
      </w:tr>
      <w:tr w:rsidR="00A0308E" w:rsidRPr="003B10E2" w14:paraId="0174B52C"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BA4738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Xinyu Iron &amp; Steel,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EF0122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1 735.94</w:t>
            </w:r>
          </w:p>
        </w:tc>
        <w:tc>
          <w:tcPr>
            <w:tcW w:w="957" w:type="dxa"/>
            <w:tcBorders>
              <w:top w:val="nil"/>
              <w:left w:val="nil"/>
              <w:bottom w:val="single" w:sz="4" w:space="0" w:color="000000"/>
              <w:right w:val="single" w:sz="4" w:space="0" w:color="000000"/>
            </w:tcBorders>
            <w:shd w:val="clear" w:color="auto" w:fill="auto"/>
            <w:noWrap/>
            <w:vAlign w:val="bottom"/>
            <w:hideMark/>
          </w:tcPr>
          <w:p w14:paraId="3AF61AE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3.89</w:t>
            </w:r>
          </w:p>
        </w:tc>
        <w:tc>
          <w:tcPr>
            <w:tcW w:w="1418" w:type="dxa"/>
            <w:tcBorders>
              <w:top w:val="nil"/>
              <w:left w:val="nil"/>
              <w:bottom w:val="single" w:sz="4" w:space="0" w:color="000000"/>
              <w:right w:val="single" w:sz="4" w:space="0" w:color="000000"/>
            </w:tcBorders>
            <w:shd w:val="clear" w:color="auto" w:fill="auto"/>
            <w:noWrap/>
            <w:vAlign w:val="bottom"/>
            <w:hideMark/>
          </w:tcPr>
          <w:p w14:paraId="0E7389A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46.99</w:t>
            </w:r>
          </w:p>
        </w:tc>
      </w:tr>
      <w:tr w:rsidR="00A0308E" w:rsidRPr="003B10E2" w14:paraId="5218F8F7"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55702D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XTC New Energy Materials (Xiamen),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615ED1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1 740.29</w:t>
            </w:r>
          </w:p>
        </w:tc>
        <w:tc>
          <w:tcPr>
            <w:tcW w:w="957" w:type="dxa"/>
            <w:tcBorders>
              <w:top w:val="nil"/>
              <w:left w:val="nil"/>
              <w:bottom w:val="single" w:sz="4" w:space="0" w:color="000000"/>
              <w:right w:val="single" w:sz="4" w:space="0" w:color="000000"/>
            </w:tcBorders>
            <w:shd w:val="clear" w:color="auto" w:fill="auto"/>
            <w:noWrap/>
            <w:vAlign w:val="bottom"/>
            <w:hideMark/>
          </w:tcPr>
          <w:p w14:paraId="32358D0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49.43</w:t>
            </w:r>
          </w:p>
        </w:tc>
        <w:tc>
          <w:tcPr>
            <w:tcW w:w="1418" w:type="dxa"/>
            <w:tcBorders>
              <w:top w:val="nil"/>
              <w:left w:val="nil"/>
              <w:bottom w:val="single" w:sz="4" w:space="0" w:color="000000"/>
              <w:right w:val="single" w:sz="4" w:space="0" w:color="000000"/>
            </w:tcBorders>
            <w:shd w:val="clear" w:color="auto" w:fill="auto"/>
            <w:noWrap/>
            <w:vAlign w:val="bottom"/>
            <w:hideMark/>
          </w:tcPr>
          <w:p w14:paraId="4B713C0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75.21</w:t>
            </w:r>
          </w:p>
        </w:tc>
      </w:tr>
      <w:tr w:rsidR="00A0308E" w:rsidRPr="003B10E2" w14:paraId="0A1F43AD"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313F17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Xuancheng Valin Precision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F229AD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255.28</w:t>
            </w:r>
          </w:p>
        </w:tc>
        <w:tc>
          <w:tcPr>
            <w:tcW w:w="957" w:type="dxa"/>
            <w:tcBorders>
              <w:top w:val="nil"/>
              <w:left w:val="nil"/>
              <w:bottom w:val="single" w:sz="4" w:space="0" w:color="000000"/>
              <w:right w:val="single" w:sz="4" w:space="0" w:color="000000"/>
            </w:tcBorders>
            <w:shd w:val="clear" w:color="auto" w:fill="auto"/>
            <w:noWrap/>
            <w:vAlign w:val="bottom"/>
            <w:hideMark/>
          </w:tcPr>
          <w:p w14:paraId="7D9A668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13.68</w:t>
            </w:r>
          </w:p>
        </w:tc>
        <w:tc>
          <w:tcPr>
            <w:tcW w:w="1418" w:type="dxa"/>
            <w:tcBorders>
              <w:top w:val="nil"/>
              <w:left w:val="nil"/>
              <w:bottom w:val="single" w:sz="4" w:space="0" w:color="000000"/>
              <w:right w:val="single" w:sz="4" w:space="0" w:color="000000"/>
            </w:tcBorders>
            <w:shd w:val="clear" w:color="auto" w:fill="auto"/>
            <w:noWrap/>
            <w:vAlign w:val="bottom"/>
            <w:hideMark/>
          </w:tcPr>
          <w:p w14:paraId="275BDC4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28.74</w:t>
            </w:r>
          </w:p>
        </w:tc>
      </w:tr>
      <w:tr w:rsidR="00A0308E" w:rsidRPr="003B10E2" w14:paraId="67E5ABC3"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C74052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Yabao Pharmaceutical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9F7C4E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727.38</w:t>
            </w:r>
          </w:p>
        </w:tc>
        <w:tc>
          <w:tcPr>
            <w:tcW w:w="957" w:type="dxa"/>
            <w:tcBorders>
              <w:top w:val="nil"/>
              <w:left w:val="nil"/>
              <w:bottom w:val="single" w:sz="4" w:space="0" w:color="000000"/>
              <w:right w:val="single" w:sz="4" w:space="0" w:color="000000"/>
            </w:tcBorders>
            <w:shd w:val="clear" w:color="auto" w:fill="auto"/>
            <w:noWrap/>
            <w:vAlign w:val="bottom"/>
            <w:hideMark/>
          </w:tcPr>
          <w:p w14:paraId="714989E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6.75</w:t>
            </w:r>
          </w:p>
        </w:tc>
        <w:tc>
          <w:tcPr>
            <w:tcW w:w="1418" w:type="dxa"/>
            <w:tcBorders>
              <w:top w:val="nil"/>
              <w:left w:val="nil"/>
              <w:bottom w:val="single" w:sz="4" w:space="0" w:color="000000"/>
              <w:right w:val="single" w:sz="4" w:space="0" w:color="000000"/>
            </w:tcBorders>
            <w:shd w:val="clear" w:color="auto" w:fill="auto"/>
            <w:noWrap/>
            <w:vAlign w:val="bottom"/>
            <w:hideMark/>
          </w:tcPr>
          <w:p w14:paraId="2D3BBD9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71.93</w:t>
            </w:r>
          </w:p>
        </w:tc>
      </w:tr>
      <w:tr w:rsidR="00A0308E" w:rsidRPr="003B10E2" w14:paraId="4B64A0A7"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0FB4A7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Yang Quan Coal Industry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365271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4 298.07</w:t>
            </w:r>
          </w:p>
        </w:tc>
        <w:tc>
          <w:tcPr>
            <w:tcW w:w="957" w:type="dxa"/>
            <w:tcBorders>
              <w:top w:val="nil"/>
              <w:left w:val="nil"/>
              <w:bottom w:val="single" w:sz="4" w:space="0" w:color="000000"/>
              <w:right w:val="single" w:sz="4" w:space="0" w:color="000000"/>
            </w:tcBorders>
            <w:shd w:val="clear" w:color="auto" w:fill="auto"/>
            <w:noWrap/>
            <w:vAlign w:val="bottom"/>
            <w:hideMark/>
          </w:tcPr>
          <w:p w14:paraId="0A98EE6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12.77</w:t>
            </w:r>
          </w:p>
        </w:tc>
        <w:tc>
          <w:tcPr>
            <w:tcW w:w="1418" w:type="dxa"/>
            <w:tcBorders>
              <w:top w:val="nil"/>
              <w:left w:val="nil"/>
              <w:bottom w:val="single" w:sz="4" w:space="0" w:color="000000"/>
              <w:right w:val="single" w:sz="4" w:space="0" w:color="000000"/>
            </w:tcBorders>
            <w:shd w:val="clear" w:color="auto" w:fill="auto"/>
            <w:noWrap/>
            <w:vAlign w:val="bottom"/>
            <w:hideMark/>
          </w:tcPr>
          <w:p w14:paraId="27FDB71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247.32</w:t>
            </w:r>
          </w:p>
        </w:tc>
      </w:tr>
      <w:tr w:rsidR="00A0308E" w:rsidRPr="003B10E2" w14:paraId="212468BB"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E73F737"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Yangmei Chemical,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71DFDCE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1 017.49</w:t>
            </w:r>
          </w:p>
        </w:tc>
        <w:tc>
          <w:tcPr>
            <w:tcW w:w="957" w:type="dxa"/>
            <w:tcBorders>
              <w:top w:val="nil"/>
              <w:left w:val="nil"/>
              <w:bottom w:val="single" w:sz="4" w:space="0" w:color="000000"/>
              <w:right w:val="single" w:sz="4" w:space="0" w:color="000000"/>
            </w:tcBorders>
            <w:shd w:val="clear" w:color="auto" w:fill="auto"/>
            <w:noWrap/>
            <w:vAlign w:val="bottom"/>
            <w:hideMark/>
          </w:tcPr>
          <w:p w14:paraId="342BA2A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3.06</w:t>
            </w:r>
          </w:p>
        </w:tc>
        <w:tc>
          <w:tcPr>
            <w:tcW w:w="1418" w:type="dxa"/>
            <w:tcBorders>
              <w:top w:val="nil"/>
              <w:left w:val="nil"/>
              <w:bottom w:val="single" w:sz="4" w:space="0" w:color="000000"/>
              <w:right w:val="single" w:sz="4" w:space="0" w:color="000000"/>
            </w:tcBorders>
            <w:shd w:val="clear" w:color="auto" w:fill="auto"/>
            <w:noWrap/>
            <w:vAlign w:val="bottom"/>
            <w:hideMark/>
          </w:tcPr>
          <w:p w14:paraId="090BB4D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16.74</w:t>
            </w:r>
          </w:p>
        </w:tc>
      </w:tr>
      <w:tr w:rsidR="00A0308E" w:rsidRPr="003B10E2" w14:paraId="08E2D335"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CD2874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Yangtze Optical Electronic,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39BA0B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0471F0C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39.69</w:t>
            </w:r>
          </w:p>
        </w:tc>
        <w:tc>
          <w:tcPr>
            <w:tcW w:w="1418" w:type="dxa"/>
            <w:tcBorders>
              <w:top w:val="nil"/>
              <w:left w:val="nil"/>
              <w:bottom w:val="single" w:sz="4" w:space="0" w:color="000000"/>
              <w:right w:val="single" w:sz="4" w:space="0" w:color="000000"/>
            </w:tcBorders>
            <w:shd w:val="clear" w:color="auto" w:fill="auto"/>
            <w:noWrap/>
            <w:vAlign w:val="bottom"/>
            <w:hideMark/>
          </w:tcPr>
          <w:p w14:paraId="222F3A7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20.00</w:t>
            </w:r>
          </w:p>
        </w:tc>
      </w:tr>
      <w:tr w:rsidR="00A0308E" w:rsidRPr="003B10E2" w14:paraId="5BB0F63D"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0CD41E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Yangtze Optical Fibre and Cable,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D66878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2 002.26</w:t>
            </w:r>
          </w:p>
        </w:tc>
        <w:tc>
          <w:tcPr>
            <w:tcW w:w="957" w:type="dxa"/>
            <w:tcBorders>
              <w:top w:val="nil"/>
              <w:left w:val="nil"/>
              <w:bottom w:val="single" w:sz="4" w:space="0" w:color="000000"/>
              <w:right w:val="single" w:sz="4" w:space="0" w:color="000000"/>
            </w:tcBorders>
            <w:shd w:val="clear" w:color="auto" w:fill="auto"/>
            <w:noWrap/>
            <w:vAlign w:val="bottom"/>
            <w:hideMark/>
          </w:tcPr>
          <w:p w14:paraId="416AE20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35.21</w:t>
            </w:r>
          </w:p>
        </w:tc>
        <w:tc>
          <w:tcPr>
            <w:tcW w:w="1418" w:type="dxa"/>
            <w:tcBorders>
              <w:top w:val="nil"/>
              <w:left w:val="nil"/>
              <w:bottom w:val="single" w:sz="4" w:space="0" w:color="000000"/>
              <w:right w:val="single" w:sz="4" w:space="0" w:color="000000"/>
            </w:tcBorders>
            <w:shd w:val="clear" w:color="auto" w:fill="auto"/>
            <w:noWrap/>
            <w:vAlign w:val="bottom"/>
            <w:hideMark/>
          </w:tcPr>
          <w:p w14:paraId="3C6DCF2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108.85</w:t>
            </w:r>
          </w:p>
        </w:tc>
      </w:tr>
      <w:tr w:rsidR="00A0308E" w:rsidRPr="003B10E2" w14:paraId="5D898C56" w14:textId="77777777" w:rsidTr="00A0308E">
        <w:trPr>
          <w:trHeight w:val="300"/>
        </w:trPr>
        <w:tc>
          <w:tcPr>
            <w:tcW w:w="4815" w:type="dxa"/>
            <w:tcBorders>
              <w:top w:val="nil"/>
              <w:left w:val="single" w:sz="4" w:space="0" w:color="000000"/>
              <w:bottom w:val="single" w:sz="4" w:space="0" w:color="auto"/>
              <w:right w:val="single" w:sz="4" w:space="0" w:color="000000"/>
            </w:tcBorders>
            <w:shd w:val="clear" w:color="auto" w:fill="auto"/>
            <w:noWrap/>
            <w:vAlign w:val="bottom"/>
            <w:hideMark/>
          </w:tcPr>
          <w:p w14:paraId="2EE371A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Yangzhou Jinquan Travelling Goods,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auto"/>
              <w:right w:val="single" w:sz="4" w:space="0" w:color="000000"/>
            </w:tcBorders>
            <w:shd w:val="clear" w:color="auto" w:fill="auto"/>
            <w:noWrap/>
            <w:vAlign w:val="bottom"/>
            <w:hideMark/>
          </w:tcPr>
          <w:p w14:paraId="668BF84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auto"/>
              <w:right w:val="single" w:sz="4" w:space="0" w:color="000000"/>
            </w:tcBorders>
            <w:shd w:val="clear" w:color="auto" w:fill="auto"/>
            <w:noWrap/>
            <w:vAlign w:val="bottom"/>
            <w:hideMark/>
          </w:tcPr>
          <w:p w14:paraId="22C1534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49.29</w:t>
            </w:r>
          </w:p>
        </w:tc>
        <w:tc>
          <w:tcPr>
            <w:tcW w:w="1418" w:type="dxa"/>
            <w:tcBorders>
              <w:top w:val="nil"/>
              <w:left w:val="nil"/>
              <w:bottom w:val="single" w:sz="4" w:space="0" w:color="auto"/>
              <w:right w:val="single" w:sz="4" w:space="0" w:color="000000"/>
            </w:tcBorders>
            <w:shd w:val="clear" w:color="auto" w:fill="auto"/>
            <w:noWrap/>
            <w:vAlign w:val="bottom"/>
            <w:hideMark/>
          </w:tcPr>
          <w:p w14:paraId="6DA4923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28.13</w:t>
            </w:r>
          </w:p>
        </w:tc>
      </w:tr>
      <w:tr w:rsidR="00A0308E" w:rsidRPr="003B10E2" w14:paraId="029BE249"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D9A8F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Yangzhou Yaxing Motor Coach,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3F0E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417.86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CF03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10.44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7177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308.29</w:t>
            </w:r>
          </w:p>
        </w:tc>
      </w:tr>
      <w:tr w:rsidR="00A0308E" w:rsidRPr="003B10E2" w14:paraId="5BC6B4C8" w14:textId="77777777" w:rsidTr="00A0308E">
        <w:trPr>
          <w:trHeight w:val="300"/>
        </w:trPr>
        <w:tc>
          <w:tcPr>
            <w:tcW w:w="481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144CAE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Yantai Eddie Precision Machinery,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nil"/>
              <w:bottom w:val="single" w:sz="4" w:space="0" w:color="000000"/>
              <w:right w:val="single" w:sz="4" w:space="0" w:color="000000"/>
            </w:tcBorders>
            <w:shd w:val="clear" w:color="auto" w:fill="auto"/>
            <w:noWrap/>
            <w:vAlign w:val="bottom"/>
            <w:hideMark/>
          </w:tcPr>
          <w:p w14:paraId="37281B1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2 012.77</w:t>
            </w:r>
          </w:p>
        </w:tc>
        <w:tc>
          <w:tcPr>
            <w:tcW w:w="957" w:type="dxa"/>
            <w:tcBorders>
              <w:top w:val="single" w:sz="4" w:space="0" w:color="auto"/>
              <w:left w:val="nil"/>
              <w:bottom w:val="single" w:sz="4" w:space="0" w:color="000000"/>
              <w:right w:val="single" w:sz="4" w:space="0" w:color="000000"/>
            </w:tcBorders>
            <w:shd w:val="clear" w:color="auto" w:fill="auto"/>
            <w:noWrap/>
            <w:vAlign w:val="bottom"/>
            <w:hideMark/>
          </w:tcPr>
          <w:p w14:paraId="18A3394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17.09</w:t>
            </w:r>
          </w:p>
        </w:tc>
        <w:tc>
          <w:tcPr>
            <w:tcW w:w="1418" w:type="dxa"/>
            <w:tcBorders>
              <w:top w:val="single" w:sz="4" w:space="0" w:color="auto"/>
              <w:left w:val="nil"/>
              <w:bottom w:val="single" w:sz="4" w:space="0" w:color="000000"/>
              <w:right w:val="single" w:sz="4" w:space="0" w:color="000000"/>
            </w:tcBorders>
            <w:shd w:val="clear" w:color="auto" w:fill="auto"/>
            <w:noWrap/>
            <w:vAlign w:val="bottom"/>
            <w:hideMark/>
          </w:tcPr>
          <w:p w14:paraId="48D984C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21.51</w:t>
            </w:r>
          </w:p>
        </w:tc>
      </w:tr>
      <w:tr w:rsidR="00A0308E" w:rsidRPr="003B10E2" w14:paraId="192D435B"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112403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Yantai North Andre Juice,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43726F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747.38</w:t>
            </w:r>
          </w:p>
        </w:tc>
        <w:tc>
          <w:tcPr>
            <w:tcW w:w="957" w:type="dxa"/>
            <w:tcBorders>
              <w:top w:val="nil"/>
              <w:left w:val="nil"/>
              <w:bottom w:val="single" w:sz="4" w:space="0" w:color="000000"/>
              <w:right w:val="single" w:sz="4" w:space="0" w:color="000000"/>
            </w:tcBorders>
            <w:shd w:val="clear" w:color="auto" w:fill="auto"/>
            <w:noWrap/>
            <w:vAlign w:val="bottom"/>
            <w:hideMark/>
          </w:tcPr>
          <w:p w14:paraId="32DFDF6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19.74</w:t>
            </w:r>
          </w:p>
        </w:tc>
        <w:tc>
          <w:tcPr>
            <w:tcW w:w="1418" w:type="dxa"/>
            <w:tcBorders>
              <w:top w:val="nil"/>
              <w:left w:val="nil"/>
              <w:bottom w:val="single" w:sz="4" w:space="0" w:color="000000"/>
              <w:right w:val="single" w:sz="4" w:space="0" w:color="000000"/>
            </w:tcBorders>
            <w:shd w:val="clear" w:color="auto" w:fill="auto"/>
            <w:noWrap/>
            <w:vAlign w:val="bottom"/>
            <w:hideMark/>
          </w:tcPr>
          <w:p w14:paraId="51893E7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121.57</w:t>
            </w:r>
          </w:p>
        </w:tc>
      </w:tr>
      <w:tr w:rsidR="00A0308E" w:rsidRPr="003B10E2" w14:paraId="55F79888"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87DA66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Yantai Yatong Precision Mechanical,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7661EB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73B5A6E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31.24</w:t>
            </w:r>
          </w:p>
        </w:tc>
        <w:tc>
          <w:tcPr>
            <w:tcW w:w="1418" w:type="dxa"/>
            <w:tcBorders>
              <w:top w:val="nil"/>
              <w:left w:val="nil"/>
              <w:bottom w:val="single" w:sz="4" w:space="0" w:color="000000"/>
              <w:right w:val="single" w:sz="4" w:space="0" w:color="000000"/>
            </w:tcBorders>
            <w:shd w:val="clear" w:color="auto" w:fill="auto"/>
            <w:noWrap/>
            <w:vAlign w:val="bottom"/>
            <w:hideMark/>
          </w:tcPr>
          <w:p w14:paraId="1AD0C3E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305.44</w:t>
            </w:r>
          </w:p>
        </w:tc>
      </w:tr>
      <w:tr w:rsidR="00A0308E" w:rsidRPr="003B10E2" w14:paraId="4C73BA24"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6A374A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Yantai Yuancheng Gold,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7BFA71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348.63</w:t>
            </w:r>
          </w:p>
        </w:tc>
        <w:tc>
          <w:tcPr>
            <w:tcW w:w="957" w:type="dxa"/>
            <w:tcBorders>
              <w:top w:val="nil"/>
              <w:left w:val="nil"/>
              <w:bottom w:val="single" w:sz="4" w:space="0" w:color="000000"/>
              <w:right w:val="single" w:sz="4" w:space="0" w:color="000000"/>
            </w:tcBorders>
            <w:shd w:val="clear" w:color="auto" w:fill="auto"/>
            <w:noWrap/>
            <w:vAlign w:val="bottom"/>
            <w:hideMark/>
          </w:tcPr>
          <w:p w14:paraId="2E7A684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11.11</w:t>
            </w:r>
          </w:p>
        </w:tc>
        <w:tc>
          <w:tcPr>
            <w:tcW w:w="1418" w:type="dxa"/>
            <w:tcBorders>
              <w:top w:val="nil"/>
              <w:left w:val="nil"/>
              <w:bottom w:val="single" w:sz="4" w:space="0" w:color="000000"/>
              <w:right w:val="single" w:sz="4" w:space="0" w:color="000000"/>
            </w:tcBorders>
            <w:shd w:val="clear" w:color="auto" w:fill="auto"/>
            <w:noWrap/>
            <w:vAlign w:val="bottom"/>
            <w:hideMark/>
          </w:tcPr>
          <w:p w14:paraId="28FEA7A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46.04</w:t>
            </w:r>
          </w:p>
        </w:tc>
      </w:tr>
      <w:tr w:rsidR="00A0308E" w:rsidRPr="003B10E2" w14:paraId="5BA02F9E"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EB8E18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Yanzhou Coal Mining,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5B1BC5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11 972.90</w:t>
            </w:r>
          </w:p>
        </w:tc>
        <w:tc>
          <w:tcPr>
            <w:tcW w:w="957" w:type="dxa"/>
            <w:tcBorders>
              <w:top w:val="nil"/>
              <w:left w:val="nil"/>
              <w:bottom w:val="single" w:sz="4" w:space="0" w:color="000000"/>
              <w:right w:val="single" w:sz="4" w:space="0" w:color="000000"/>
            </w:tcBorders>
            <w:shd w:val="clear" w:color="auto" w:fill="auto"/>
            <w:noWrap/>
            <w:vAlign w:val="bottom"/>
            <w:hideMark/>
          </w:tcPr>
          <w:p w14:paraId="6E92E81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28.18</w:t>
            </w:r>
          </w:p>
        </w:tc>
        <w:tc>
          <w:tcPr>
            <w:tcW w:w="1418" w:type="dxa"/>
            <w:tcBorders>
              <w:top w:val="nil"/>
              <w:left w:val="nil"/>
              <w:bottom w:val="single" w:sz="4" w:space="0" w:color="000000"/>
              <w:right w:val="single" w:sz="4" w:space="0" w:color="000000"/>
            </w:tcBorders>
            <w:shd w:val="clear" w:color="auto" w:fill="auto"/>
            <w:noWrap/>
            <w:vAlign w:val="bottom"/>
            <w:hideMark/>
          </w:tcPr>
          <w:p w14:paraId="14DF753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365.57</w:t>
            </w:r>
          </w:p>
        </w:tc>
      </w:tr>
      <w:tr w:rsidR="00A0308E" w:rsidRPr="003B10E2" w14:paraId="4128B6C7"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B4FB78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YAPP Automotive Systems,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C40D54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1 062.67</w:t>
            </w:r>
          </w:p>
        </w:tc>
        <w:tc>
          <w:tcPr>
            <w:tcW w:w="957" w:type="dxa"/>
            <w:tcBorders>
              <w:top w:val="nil"/>
              <w:left w:val="nil"/>
              <w:bottom w:val="single" w:sz="4" w:space="0" w:color="000000"/>
              <w:right w:val="single" w:sz="4" w:space="0" w:color="000000"/>
            </w:tcBorders>
            <w:shd w:val="clear" w:color="auto" w:fill="auto"/>
            <w:noWrap/>
            <w:vAlign w:val="bottom"/>
            <w:hideMark/>
          </w:tcPr>
          <w:p w14:paraId="4E426B0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14.77</w:t>
            </w:r>
          </w:p>
        </w:tc>
        <w:tc>
          <w:tcPr>
            <w:tcW w:w="1418" w:type="dxa"/>
            <w:tcBorders>
              <w:top w:val="nil"/>
              <w:left w:val="nil"/>
              <w:bottom w:val="single" w:sz="4" w:space="0" w:color="000000"/>
              <w:right w:val="single" w:sz="4" w:space="0" w:color="000000"/>
            </w:tcBorders>
            <w:shd w:val="clear" w:color="auto" w:fill="auto"/>
            <w:noWrap/>
            <w:vAlign w:val="bottom"/>
            <w:hideMark/>
          </w:tcPr>
          <w:p w14:paraId="6510661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71.58</w:t>
            </w:r>
          </w:p>
        </w:tc>
      </w:tr>
      <w:tr w:rsidR="00A0308E" w:rsidRPr="003B10E2" w14:paraId="3FA52A59"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1F8BBE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Ye Chiu Metal Recycling China,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E4D249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865.76</w:t>
            </w:r>
          </w:p>
        </w:tc>
        <w:tc>
          <w:tcPr>
            <w:tcW w:w="957" w:type="dxa"/>
            <w:tcBorders>
              <w:top w:val="nil"/>
              <w:left w:val="nil"/>
              <w:bottom w:val="single" w:sz="4" w:space="0" w:color="000000"/>
              <w:right w:val="single" w:sz="4" w:space="0" w:color="000000"/>
            </w:tcBorders>
            <w:shd w:val="clear" w:color="auto" w:fill="auto"/>
            <w:noWrap/>
            <w:vAlign w:val="bottom"/>
            <w:hideMark/>
          </w:tcPr>
          <w:p w14:paraId="0081C45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2.81</w:t>
            </w:r>
          </w:p>
        </w:tc>
        <w:tc>
          <w:tcPr>
            <w:tcW w:w="1418" w:type="dxa"/>
            <w:tcBorders>
              <w:top w:val="nil"/>
              <w:left w:val="nil"/>
              <w:bottom w:val="single" w:sz="4" w:space="0" w:color="000000"/>
              <w:right w:val="single" w:sz="4" w:space="0" w:color="000000"/>
            </w:tcBorders>
            <w:shd w:val="clear" w:color="auto" w:fill="auto"/>
            <w:noWrap/>
            <w:vAlign w:val="bottom"/>
            <w:hideMark/>
          </w:tcPr>
          <w:p w14:paraId="0D5637B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37.73</w:t>
            </w:r>
          </w:p>
        </w:tc>
      </w:tr>
      <w:tr w:rsidR="00A0308E" w:rsidRPr="003B10E2" w14:paraId="623C6FFD"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E5671C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Yibin Paper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557045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304.02</w:t>
            </w:r>
          </w:p>
        </w:tc>
        <w:tc>
          <w:tcPr>
            <w:tcW w:w="957" w:type="dxa"/>
            <w:tcBorders>
              <w:top w:val="nil"/>
              <w:left w:val="nil"/>
              <w:bottom w:val="single" w:sz="4" w:space="0" w:color="000000"/>
              <w:right w:val="single" w:sz="4" w:space="0" w:color="000000"/>
            </w:tcBorders>
            <w:shd w:val="clear" w:color="auto" w:fill="auto"/>
            <w:noWrap/>
            <w:vAlign w:val="bottom"/>
            <w:hideMark/>
          </w:tcPr>
          <w:p w14:paraId="464DF71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12.28</w:t>
            </w:r>
          </w:p>
        </w:tc>
        <w:tc>
          <w:tcPr>
            <w:tcW w:w="1418" w:type="dxa"/>
            <w:tcBorders>
              <w:top w:val="nil"/>
              <w:left w:val="nil"/>
              <w:bottom w:val="single" w:sz="4" w:space="0" w:color="000000"/>
              <w:right w:val="single" w:sz="4" w:space="0" w:color="000000"/>
            </w:tcBorders>
            <w:shd w:val="clear" w:color="auto" w:fill="auto"/>
            <w:noWrap/>
            <w:vAlign w:val="bottom"/>
            <w:hideMark/>
          </w:tcPr>
          <w:p w14:paraId="380CE86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13.77</w:t>
            </w:r>
          </w:p>
        </w:tc>
      </w:tr>
      <w:tr w:rsidR="00A0308E" w:rsidRPr="003B10E2" w14:paraId="359ADCA6"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3A11C1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Yifeng Pharmacy Chain,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6BEAC3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3 684.61</w:t>
            </w:r>
          </w:p>
        </w:tc>
        <w:tc>
          <w:tcPr>
            <w:tcW w:w="957" w:type="dxa"/>
            <w:tcBorders>
              <w:top w:val="nil"/>
              <w:left w:val="nil"/>
              <w:bottom w:val="single" w:sz="4" w:space="0" w:color="000000"/>
              <w:right w:val="single" w:sz="4" w:space="0" w:color="000000"/>
            </w:tcBorders>
            <w:shd w:val="clear" w:color="auto" w:fill="auto"/>
            <w:noWrap/>
            <w:vAlign w:val="bottom"/>
            <w:hideMark/>
          </w:tcPr>
          <w:p w14:paraId="2BE287D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36.63</w:t>
            </w:r>
          </w:p>
        </w:tc>
        <w:tc>
          <w:tcPr>
            <w:tcW w:w="1418" w:type="dxa"/>
            <w:tcBorders>
              <w:top w:val="nil"/>
              <w:left w:val="nil"/>
              <w:bottom w:val="single" w:sz="4" w:space="0" w:color="000000"/>
              <w:right w:val="single" w:sz="4" w:space="0" w:color="000000"/>
            </w:tcBorders>
            <w:shd w:val="clear" w:color="auto" w:fill="auto"/>
            <w:noWrap/>
            <w:vAlign w:val="bottom"/>
            <w:hideMark/>
          </w:tcPr>
          <w:p w14:paraId="2C82EBC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162.91</w:t>
            </w:r>
          </w:p>
        </w:tc>
      </w:tr>
      <w:tr w:rsidR="00A0308E" w:rsidRPr="003B10E2" w14:paraId="157E262F"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10F931D"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Yijiahe Technology,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1D8B8BF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1 078.21</w:t>
            </w:r>
          </w:p>
        </w:tc>
        <w:tc>
          <w:tcPr>
            <w:tcW w:w="957" w:type="dxa"/>
            <w:tcBorders>
              <w:top w:val="nil"/>
              <w:left w:val="nil"/>
              <w:bottom w:val="single" w:sz="4" w:space="0" w:color="000000"/>
              <w:right w:val="single" w:sz="4" w:space="0" w:color="000000"/>
            </w:tcBorders>
            <w:shd w:val="clear" w:color="auto" w:fill="auto"/>
            <w:noWrap/>
            <w:vAlign w:val="bottom"/>
            <w:hideMark/>
          </w:tcPr>
          <w:p w14:paraId="0D8540B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37.30</w:t>
            </w:r>
          </w:p>
        </w:tc>
        <w:tc>
          <w:tcPr>
            <w:tcW w:w="1418" w:type="dxa"/>
            <w:tcBorders>
              <w:top w:val="nil"/>
              <w:left w:val="nil"/>
              <w:bottom w:val="single" w:sz="4" w:space="0" w:color="000000"/>
              <w:right w:val="single" w:sz="4" w:space="0" w:color="000000"/>
            </w:tcBorders>
            <w:shd w:val="clear" w:color="auto" w:fill="auto"/>
            <w:noWrap/>
            <w:vAlign w:val="bottom"/>
            <w:hideMark/>
          </w:tcPr>
          <w:p w14:paraId="4C0FCED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76.70</w:t>
            </w:r>
          </w:p>
        </w:tc>
      </w:tr>
      <w:tr w:rsidR="00A0308E" w:rsidRPr="003B10E2" w14:paraId="35AA8BFD"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38B8F0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Yinchuan Xinhua Commercial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BFAAAA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515.33</w:t>
            </w:r>
          </w:p>
        </w:tc>
        <w:tc>
          <w:tcPr>
            <w:tcW w:w="957" w:type="dxa"/>
            <w:tcBorders>
              <w:top w:val="nil"/>
              <w:left w:val="nil"/>
              <w:bottom w:val="single" w:sz="4" w:space="0" w:color="000000"/>
              <w:right w:val="single" w:sz="4" w:space="0" w:color="000000"/>
            </w:tcBorders>
            <w:shd w:val="clear" w:color="auto" w:fill="auto"/>
            <w:noWrap/>
            <w:vAlign w:val="bottom"/>
            <w:hideMark/>
          </w:tcPr>
          <w:p w14:paraId="1A70A6F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16.32</w:t>
            </w:r>
          </w:p>
        </w:tc>
        <w:tc>
          <w:tcPr>
            <w:tcW w:w="1418" w:type="dxa"/>
            <w:tcBorders>
              <w:top w:val="nil"/>
              <w:left w:val="nil"/>
              <w:bottom w:val="single" w:sz="4" w:space="0" w:color="000000"/>
              <w:right w:val="single" w:sz="4" w:space="0" w:color="000000"/>
            </w:tcBorders>
            <w:shd w:val="clear" w:color="auto" w:fill="auto"/>
            <w:noWrap/>
            <w:vAlign w:val="bottom"/>
            <w:hideMark/>
          </w:tcPr>
          <w:p w14:paraId="6EC2790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29.45</w:t>
            </w:r>
          </w:p>
        </w:tc>
      </w:tr>
      <w:tr w:rsidR="00A0308E" w:rsidRPr="003B10E2" w14:paraId="3966DCFE"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AC93F7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Yindu Kitchen Equipment,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594171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1 201.95</w:t>
            </w:r>
          </w:p>
        </w:tc>
        <w:tc>
          <w:tcPr>
            <w:tcW w:w="957" w:type="dxa"/>
            <w:tcBorders>
              <w:top w:val="nil"/>
              <w:left w:val="nil"/>
              <w:bottom w:val="single" w:sz="4" w:space="0" w:color="000000"/>
              <w:right w:val="single" w:sz="4" w:space="0" w:color="000000"/>
            </w:tcBorders>
            <w:shd w:val="clear" w:color="auto" w:fill="auto"/>
            <w:noWrap/>
            <w:vAlign w:val="bottom"/>
            <w:hideMark/>
          </w:tcPr>
          <w:p w14:paraId="5D47829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20.44</w:t>
            </w:r>
          </w:p>
        </w:tc>
        <w:tc>
          <w:tcPr>
            <w:tcW w:w="1418" w:type="dxa"/>
            <w:tcBorders>
              <w:top w:val="nil"/>
              <w:left w:val="nil"/>
              <w:bottom w:val="single" w:sz="4" w:space="0" w:color="000000"/>
              <w:right w:val="single" w:sz="4" w:space="0" w:color="000000"/>
            </w:tcBorders>
            <w:shd w:val="clear" w:color="auto" w:fill="auto"/>
            <w:noWrap/>
            <w:vAlign w:val="bottom"/>
            <w:hideMark/>
          </w:tcPr>
          <w:p w14:paraId="1B69802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13.73</w:t>
            </w:r>
          </w:p>
        </w:tc>
      </w:tr>
      <w:tr w:rsidR="00A0308E" w:rsidRPr="003B10E2" w14:paraId="6C9E215B"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A38E14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Yingkou Jinchen Machinery,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32734F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933.86</w:t>
            </w:r>
          </w:p>
        </w:tc>
        <w:tc>
          <w:tcPr>
            <w:tcW w:w="957" w:type="dxa"/>
            <w:tcBorders>
              <w:top w:val="nil"/>
              <w:left w:val="nil"/>
              <w:bottom w:val="single" w:sz="4" w:space="0" w:color="000000"/>
              <w:right w:val="single" w:sz="4" w:space="0" w:color="000000"/>
            </w:tcBorders>
            <w:shd w:val="clear" w:color="auto" w:fill="auto"/>
            <w:noWrap/>
            <w:vAlign w:val="bottom"/>
            <w:hideMark/>
          </w:tcPr>
          <w:p w14:paraId="0226B45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57.38</w:t>
            </w:r>
          </w:p>
        </w:tc>
        <w:tc>
          <w:tcPr>
            <w:tcW w:w="1418" w:type="dxa"/>
            <w:tcBorders>
              <w:top w:val="nil"/>
              <w:left w:val="nil"/>
              <w:bottom w:val="single" w:sz="4" w:space="0" w:color="000000"/>
              <w:right w:val="single" w:sz="4" w:space="0" w:color="000000"/>
            </w:tcBorders>
            <w:shd w:val="clear" w:color="auto" w:fill="auto"/>
            <w:noWrap/>
            <w:vAlign w:val="bottom"/>
            <w:hideMark/>
          </w:tcPr>
          <w:p w14:paraId="21E1C06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81.73</w:t>
            </w:r>
          </w:p>
        </w:tc>
      </w:tr>
      <w:tr w:rsidR="00A0308E" w:rsidRPr="003B10E2" w14:paraId="7168025B"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97281EB"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Yiwu Huading Nylon,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08EED08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539.95</w:t>
            </w:r>
          </w:p>
        </w:tc>
        <w:tc>
          <w:tcPr>
            <w:tcW w:w="957" w:type="dxa"/>
            <w:tcBorders>
              <w:top w:val="nil"/>
              <w:left w:val="nil"/>
              <w:bottom w:val="single" w:sz="4" w:space="0" w:color="000000"/>
              <w:right w:val="single" w:sz="4" w:space="0" w:color="000000"/>
            </w:tcBorders>
            <w:shd w:val="clear" w:color="auto" w:fill="auto"/>
            <w:noWrap/>
            <w:vAlign w:val="bottom"/>
            <w:hideMark/>
          </w:tcPr>
          <w:p w14:paraId="4CC3128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3.38</w:t>
            </w:r>
          </w:p>
        </w:tc>
        <w:tc>
          <w:tcPr>
            <w:tcW w:w="1418" w:type="dxa"/>
            <w:tcBorders>
              <w:top w:val="nil"/>
              <w:left w:val="nil"/>
              <w:bottom w:val="single" w:sz="4" w:space="0" w:color="000000"/>
              <w:right w:val="single" w:sz="4" w:space="0" w:color="000000"/>
            </w:tcBorders>
            <w:shd w:val="clear" w:color="auto" w:fill="auto"/>
            <w:noWrap/>
            <w:vAlign w:val="bottom"/>
            <w:hideMark/>
          </w:tcPr>
          <w:p w14:paraId="72A9A69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12.78</w:t>
            </w:r>
          </w:p>
        </w:tc>
      </w:tr>
      <w:tr w:rsidR="00A0308E" w:rsidRPr="003B10E2" w14:paraId="53AAFCA6"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E2F5CA9"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Yongan Futures,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3A02A61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3 412.02</w:t>
            </w:r>
          </w:p>
        </w:tc>
        <w:tc>
          <w:tcPr>
            <w:tcW w:w="957" w:type="dxa"/>
            <w:tcBorders>
              <w:top w:val="nil"/>
              <w:left w:val="nil"/>
              <w:bottom w:val="single" w:sz="4" w:space="0" w:color="000000"/>
              <w:right w:val="single" w:sz="4" w:space="0" w:color="000000"/>
            </w:tcBorders>
            <w:shd w:val="clear" w:color="auto" w:fill="auto"/>
            <w:noWrap/>
            <w:vAlign w:val="bottom"/>
            <w:hideMark/>
          </w:tcPr>
          <w:p w14:paraId="12ABCE3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16.75</w:t>
            </w:r>
          </w:p>
        </w:tc>
        <w:tc>
          <w:tcPr>
            <w:tcW w:w="1418" w:type="dxa"/>
            <w:tcBorders>
              <w:top w:val="nil"/>
              <w:left w:val="nil"/>
              <w:bottom w:val="single" w:sz="4" w:space="0" w:color="000000"/>
              <w:right w:val="single" w:sz="4" w:space="0" w:color="000000"/>
            </w:tcBorders>
            <w:shd w:val="clear" w:color="auto" w:fill="auto"/>
            <w:noWrap/>
            <w:vAlign w:val="bottom"/>
            <w:hideMark/>
          </w:tcPr>
          <w:p w14:paraId="64134E2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40.14</w:t>
            </w:r>
          </w:p>
        </w:tc>
      </w:tr>
      <w:tr w:rsidR="00A0308E" w:rsidRPr="003B10E2" w14:paraId="033E3F64"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1AB4026"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Yonghui Superstores,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01C8D57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4 089.51</w:t>
            </w:r>
          </w:p>
        </w:tc>
        <w:tc>
          <w:tcPr>
            <w:tcW w:w="957" w:type="dxa"/>
            <w:tcBorders>
              <w:top w:val="nil"/>
              <w:left w:val="nil"/>
              <w:bottom w:val="single" w:sz="4" w:space="0" w:color="000000"/>
              <w:right w:val="single" w:sz="4" w:space="0" w:color="000000"/>
            </w:tcBorders>
            <w:shd w:val="clear" w:color="auto" w:fill="auto"/>
            <w:noWrap/>
            <w:vAlign w:val="bottom"/>
            <w:hideMark/>
          </w:tcPr>
          <w:p w14:paraId="10B1D9A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3.22</w:t>
            </w:r>
          </w:p>
        </w:tc>
        <w:tc>
          <w:tcPr>
            <w:tcW w:w="1418" w:type="dxa"/>
            <w:tcBorders>
              <w:top w:val="nil"/>
              <w:left w:val="nil"/>
              <w:bottom w:val="single" w:sz="4" w:space="0" w:color="000000"/>
              <w:right w:val="single" w:sz="4" w:space="0" w:color="000000"/>
            </w:tcBorders>
            <w:shd w:val="clear" w:color="auto" w:fill="auto"/>
            <w:noWrap/>
            <w:vAlign w:val="bottom"/>
            <w:hideMark/>
          </w:tcPr>
          <w:p w14:paraId="11F8721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39.71</w:t>
            </w:r>
          </w:p>
        </w:tc>
      </w:tr>
      <w:tr w:rsidR="00A0308E" w:rsidRPr="003B10E2" w14:paraId="3B576E22"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612A10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Yongyue Science &amp;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3B8E1F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302.20</w:t>
            </w:r>
          </w:p>
        </w:tc>
        <w:tc>
          <w:tcPr>
            <w:tcW w:w="957" w:type="dxa"/>
            <w:tcBorders>
              <w:top w:val="nil"/>
              <w:left w:val="nil"/>
              <w:bottom w:val="single" w:sz="4" w:space="0" w:color="000000"/>
              <w:right w:val="single" w:sz="4" w:space="0" w:color="000000"/>
            </w:tcBorders>
            <w:shd w:val="clear" w:color="auto" w:fill="auto"/>
            <w:noWrap/>
            <w:vAlign w:val="bottom"/>
            <w:hideMark/>
          </w:tcPr>
          <w:p w14:paraId="36C094D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5.96</w:t>
            </w:r>
          </w:p>
        </w:tc>
        <w:tc>
          <w:tcPr>
            <w:tcW w:w="1418" w:type="dxa"/>
            <w:tcBorders>
              <w:top w:val="nil"/>
              <w:left w:val="nil"/>
              <w:bottom w:val="single" w:sz="4" w:space="0" w:color="000000"/>
              <w:right w:val="single" w:sz="4" w:space="0" w:color="000000"/>
            </w:tcBorders>
            <w:shd w:val="clear" w:color="auto" w:fill="auto"/>
            <w:noWrap/>
            <w:vAlign w:val="bottom"/>
            <w:hideMark/>
          </w:tcPr>
          <w:p w14:paraId="151AAC7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9.06</w:t>
            </w:r>
          </w:p>
        </w:tc>
      </w:tr>
      <w:tr w:rsidR="00A0308E" w:rsidRPr="003B10E2" w14:paraId="466FF615"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428CF7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Yonyou Auto Information Technology Shanghai,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CABDC2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7829886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33.05</w:t>
            </w:r>
          </w:p>
        </w:tc>
        <w:tc>
          <w:tcPr>
            <w:tcW w:w="1418" w:type="dxa"/>
            <w:tcBorders>
              <w:top w:val="nil"/>
              <w:left w:val="nil"/>
              <w:bottom w:val="single" w:sz="4" w:space="0" w:color="000000"/>
              <w:right w:val="single" w:sz="4" w:space="0" w:color="000000"/>
            </w:tcBorders>
            <w:shd w:val="clear" w:color="auto" w:fill="auto"/>
            <w:noWrap/>
            <w:vAlign w:val="bottom"/>
            <w:hideMark/>
          </w:tcPr>
          <w:p w14:paraId="6C63A9A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101.95</w:t>
            </w:r>
          </w:p>
        </w:tc>
      </w:tr>
      <w:tr w:rsidR="00A0308E" w:rsidRPr="003B10E2" w14:paraId="05E794E7"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040670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Yonyou Network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1BE85B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10 123.10</w:t>
            </w:r>
          </w:p>
        </w:tc>
        <w:tc>
          <w:tcPr>
            <w:tcW w:w="957" w:type="dxa"/>
            <w:tcBorders>
              <w:top w:val="nil"/>
              <w:left w:val="nil"/>
              <w:bottom w:val="single" w:sz="4" w:space="0" w:color="000000"/>
              <w:right w:val="single" w:sz="4" w:space="0" w:color="000000"/>
            </w:tcBorders>
            <w:shd w:val="clear" w:color="auto" w:fill="auto"/>
            <w:noWrap/>
            <w:vAlign w:val="bottom"/>
            <w:hideMark/>
          </w:tcPr>
          <w:p w14:paraId="151C7A1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21.05</w:t>
            </w:r>
          </w:p>
        </w:tc>
        <w:tc>
          <w:tcPr>
            <w:tcW w:w="1418" w:type="dxa"/>
            <w:tcBorders>
              <w:top w:val="nil"/>
              <w:left w:val="nil"/>
              <w:bottom w:val="single" w:sz="4" w:space="0" w:color="000000"/>
              <w:right w:val="single" w:sz="4" w:space="0" w:color="000000"/>
            </w:tcBorders>
            <w:shd w:val="clear" w:color="auto" w:fill="auto"/>
            <w:noWrap/>
            <w:vAlign w:val="bottom"/>
            <w:hideMark/>
          </w:tcPr>
          <w:p w14:paraId="0084E8E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600.11</w:t>
            </w:r>
          </w:p>
        </w:tc>
      </w:tr>
      <w:tr w:rsidR="00A0308E" w:rsidRPr="003B10E2" w14:paraId="1679936B"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048112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Youcare Pharmaceutical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7C5C83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1 529.70</w:t>
            </w:r>
          </w:p>
        </w:tc>
        <w:tc>
          <w:tcPr>
            <w:tcW w:w="957" w:type="dxa"/>
            <w:tcBorders>
              <w:top w:val="nil"/>
              <w:left w:val="nil"/>
              <w:bottom w:val="single" w:sz="4" w:space="0" w:color="000000"/>
              <w:right w:val="single" w:sz="4" w:space="0" w:color="000000"/>
            </w:tcBorders>
            <w:shd w:val="clear" w:color="auto" w:fill="auto"/>
            <w:noWrap/>
            <w:vAlign w:val="bottom"/>
            <w:hideMark/>
          </w:tcPr>
          <w:p w14:paraId="499F648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24.29</w:t>
            </w:r>
          </w:p>
        </w:tc>
        <w:tc>
          <w:tcPr>
            <w:tcW w:w="1418" w:type="dxa"/>
            <w:tcBorders>
              <w:top w:val="nil"/>
              <w:left w:val="nil"/>
              <w:bottom w:val="single" w:sz="4" w:space="0" w:color="000000"/>
              <w:right w:val="single" w:sz="4" w:space="0" w:color="000000"/>
            </w:tcBorders>
            <w:shd w:val="clear" w:color="auto" w:fill="auto"/>
            <w:noWrap/>
            <w:vAlign w:val="bottom"/>
            <w:hideMark/>
          </w:tcPr>
          <w:p w14:paraId="02E140A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104.59</w:t>
            </w:r>
          </w:p>
        </w:tc>
      </w:tr>
      <w:tr w:rsidR="00A0308E" w:rsidRPr="003B10E2" w14:paraId="62FD92C7"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119406C"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Youngor Group,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50C943D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4 450.53</w:t>
            </w:r>
          </w:p>
        </w:tc>
        <w:tc>
          <w:tcPr>
            <w:tcW w:w="957" w:type="dxa"/>
            <w:tcBorders>
              <w:top w:val="nil"/>
              <w:left w:val="nil"/>
              <w:bottom w:val="single" w:sz="4" w:space="0" w:color="000000"/>
              <w:right w:val="single" w:sz="4" w:space="0" w:color="000000"/>
            </w:tcBorders>
            <w:shd w:val="clear" w:color="auto" w:fill="auto"/>
            <w:noWrap/>
            <w:vAlign w:val="bottom"/>
            <w:hideMark/>
          </w:tcPr>
          <w:p w14:paraId="543BF8A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6.87</w:t>
            </w:r>
          </w:p>
        </w:tc>
        <w:tc>
          <w:tcPr>
            <w:tcW w:w="1418" w:type="dxa"/>
            <w:tcBorders>
              <w:top w:val="nil"/>
              <w:left w:val="nil"/>
              <w:bottom w:val="single" w:sz="4" w:space="0" w:color="000000"/>
              <w:right w:val="single" w:sz="4" w:space="0" w:color="000000"/>
            </w:tcBorders>
            <w:shd w:val="clear" w:color="auto" w:fill="auto"/>
            <w:noWrap/>
            <w:vAlign w:val="bottom"/>
            <w:hideMark/>
          </w:tcPr>
          <w:p w14:paraId="1BBDFF7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89.94</w:t>
            </w:r>
          </w:p>
        </w:tc>
      </w:tr>
      <w:tr w:rsidR="00A0308E" w:rsidRPr="003B10E2" w14:paraId="1D7DEB87"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4F4B861"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Youon Technology,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2B52442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457.35</w:t>
            </w:r>
          </w:p>
        </w:tc>
        <w:tc>
          <w:tcPr>
            <w:tcW w:w="957" w:type="dxa"/>
            <w:tcBorders>
              <w:top w:val="nil"/>
              <w:left w:val="nil"/>
              <w:bottom w:val="single" w:sz="4" w:space="0" w:color="000000"/>
              <w:right w:val="single" w:sz="4" w:space="0" w:color="000000"/>
            </w:tcBorders>
            <w:shd w:val="clear" w:color="auto" w:fill="auto"/>
            <w:noWrap/>
            <w:vAlign w:val="bottom"/>
            <w:hideMark/>
          </w:tcPr>
          <w:p w14:paraId="0E0D104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14.00</w:t>
            </w:r>
          </w:p>
        </w:tc>
        <w:tc>
          <w:tcPr>
            <w:tcW w:w="1418" w:type="dxa"/>
            <w:tcBorders>
              <w:top w:val="nil"/>
              <w:left w:val="nil"/>
              <w:bottom w:val="single" w:sz="4" w:space="0" w:color="000000"/>
              <w:right w:val="single" w:sz="4" w:space="0" w:color="000000"/>
            </w:tcBorders>
            <w:shd w:val="clear" w:color="auto" w:fill="auto"/>
            <w:noWrap/>
            <w:vAlign w:val="bottom"/>
            <w:hideMark/>
          </w:tcPr>
          <w:p w14:paraId="2636C05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22.95</w:t>
            </w:r>
          </w:p>
        </w:tc>
      </w:tr>
      <w:tr w:rsidR="00A0308E" w:rsidRPr="003B10E2" w14:paraId="0BE9E1D7"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2C161AE"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Youyou Foods,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4FCCF63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409.15</w:t>
            </w:r>
          </w:p>
        </w:tc>
        <w:tc>
          <w:tcPr>
            <w:tcW w:w="957" w:type="dxa"/>
            <w:tcBorders>
              <w:top w:val="nil"/>
              <w:left w:val="nil"/>
              <w:bottom w:val="single" w:sz="4" w:space="0" w:color="000000"/>
              <w:right w:val="single" w:sz="4" w:space="0" w:color="000000"/>
            </w:tcBorders>
            <w:shd w:val="clear" w:color="auto" w:fill="auto"/>
            <w:noWrap/>
            <w:vAlign w:val="bottom"/>
            <w:hideMark/>
          </w:tcPr>
          <w:p w14:paraId="050DDFE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9.46</w:t>
            </w:r>
          </w:p>
        </w:tc>
        <w:tc>
          <w:tcPr>
            <w:tcW w:w="1418" w:type="dxa"/>
            <w:tcBorders>
              <w:top w:val="nil"/>
              <w:left w:val="nil"/>
              <w:bottom w:val="single" w:sz="4" w:space="0" w:color="000000"/>
              <w:right w:val="single" w:sz="4" w:space="0" w:color="000000"/>
            </w:tcBorders>
            <w:shd w:val="clear" w:color="auto" w:fill="auto"/>
            <w:noWrap/>
            <w:vAlign w:val="bottom"/>
            <w:hideMark/>
          </w:tcPr>
          <w:p w14:paraId="005304C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30.91</w:t>
            </w:r>
          </w:p>
        </w:tc>
      </w:tr>
      <w:tr w:rsidR="00A0308E" w:rsidRPr="003B10E2" w14:paraId="6072DC10"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689AF6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YTO Express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B1AD06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7 263.77</w:t>
            </w:r>
          </w:p>
        </w:tc>
        <w:tc>
          <w:tcPr>
            <w:tcW w:w="957" w:type="dxa"/>
            <w:tcBorders>
              <w:top w:val="nil"/>
              <w:left w:val="nil"/>
              <w:bottom w:val="single" w:sz="4" w:space="0" w:color="000000"/>
              <w:right w:val="single" w:sz="4" w:space="0" w:color="000000"/>
            </w:tcBorders>
            <w:shd w:val="clear" w:color="auto" w:fill="auto"/>
            <w:noWrap/>
            <w:vAlign w:val="bottom"/>
            <w:hideMark/>
          </w:tcPr>
          <w:p w14:paraId="1EBA1A1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15.11</w:t>
            </w:r>
          </w:p>
        </w:tc>
        <w:tc>
          <w:tcPr>
            <w:tcW w:w="1418" w:type="dxa"/>
            <w:tcBorders>
              <w:top w:val="nil"/>
              <w:left w:val="nil"/>
              <w:bottom w:val="single" w:sz="4" w:space="0" w:color="000000"/>
              <w:right w:val="single" w:sz="4" w:space="0" w:color="000000"/>
            </w:tcBorders>
            <w:shd w:val="clear" w:color="auto" w:fill="auto"/>
            <w:noWrap/>
            <w:vAlign w:val="bottom"/>
            <w:hideMark/>
          </w:tcPr>
          <w:p w14:paraId="64886AB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101.53</w:t>
            </w:r>
          </w:p>
        </w:tc>
      </w:tr>
      <w:tr w:rsidR="00A0308E" w:rsidRPr="003B10E2" w14:paraId="7509EA73"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171316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Yuanjie Semiconductor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E81CD6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34B0F79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245.00</w:t>
            </w:r>
          </w:p>
        </w:tc>
        <w:tc>
          <w:tcPr>
            <w:tcW w:w="1418" w:type="dxa"/>
            <w:tcBorders>
              <w:top w:val="nil"/>
              <w:left w:val="nil"/>
              <w:bottom w:val="single" w:sz="4" w:space="0" w:color="000000"/>
              <w:right w:val="single" w:sz="4" w:space="0" w:color="000000"/>
            </w:tcBorders>
            <w:shd w:val="clear" w:color="auto" w:fill="auto"/>
            <w:noWrap/>
            <w:vAlign w:val="bottom"/>
            <w:hideMark/>
          </w:tcPr>
          <w:p w14:paraId="0416AD7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708.16</w:t>
            </w:r>
          </w:p>
        </w:tc>
      </w:tr>
      <w:tr w:rsidR="00A0308E" w:rsidRPr="003B10E2" w14:paraId="1D219E1B"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874226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YUD Yangtze River Investment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A58C78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324.61</w:t>
            </w:r>
          </w:p>
        </w:tc>
        <w:tc>
          <w:tcPr>
            <w:tcW w:w="957" w:type="dxa"/>
            <w:tcBorders>
              <w:top w:val="nil"/>
              <w:left w:val="nil"/>
              <w:bottom w:val="single" w:sz="4" w:space="0" w:color="000000"/>
              <w:right w:val="single" w:sz="4" w:space="0" w:color="000000"/>
            </w:tcBorders>
            <w:shd w:val="clear" w:color="auto" w:fill="auto"/>
            <w:noWrap/>
            <w:vAlign w:val="bottom"/>
            <w:hideMark/>
          </w:tcPr>
          <w:p w14:paraId="7AEB2E0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6.35</w:t>
            </w:r>
          </w:p>
        </w:tc>
        <w:tc>
          <w:tcPr>
            <w:tcW w:w="1418" w:type="dxa"/>
            <w:tcBorders>
              <w:top w:val="nil"/>
              <w:left w:val="nil"/>
              <w:bottom w:val="single" w:sz="4" w:space="0" w:color="000000"/>
              <w:right w:val="single" w:sz="4" w:space="0" w:color="000000"/>
            </w:tcBorders>
            <w:shd w:val="clear" w:color="auto" w:fill="auto"/>
            <w:noWrap/>
            <w:vAlign w:val="bottom"/>
            <w:hideMark/>
          </w:tcPr>
          <w:p w14:paraId="2B52A8C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44.80</w:t>
            </w:r>
          </w:p>
        </w:tc>
      </w:tr>
      <w:tr w:rsidR="00A0308E" w:rsidRPr="003B10E2" w14:paraId="0183F0FD"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DBB340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Yueyang Forest &amp; Paper,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1C879B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1 757.61</w:t>
            </w:r>
          </w:p>
        </w:tc>
        <w:tc>
          <w:tcPr>
            <w:tcW w:w="957" w:type="dxa"/>
            <w:tcBorders>
              <w:top w:val="nil"/>
              <w:left w:val="nil"/>
              <w:bottom w:val="single" w:sz="4" w:space="0" w:color="000000"/>
              <w:right w:val="single" w:sz="4" w:space="0" w:color="000000"/>
            </w:tcBorders>
            <w:shd w:val="clear" w:color="auto" w:fill="auto"/>
            <w:noWrap/>
            <w:vAlign w:val="bottom"/>
            <w:hideMark/>
          </w:tcPr>
          <w:p w14:paraId="02F234A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6.96</w:t>
            </w:r>
          </w:p>
        </w:tc>
        <w:tc>
          <w:tcPr>
            <w:tcW w:w="1418" w:type="dxa"/>
            <w:tcBorders>
              <w:top w:val="nil"/>
              <w:left w:val="nil"/>
              <w:bottom w:val="single" w:sz="4" w:space="0" w:color="000000"/>
              <w:right w:val="single" w:sz="4" w:space="0" w:color="000000"/>
            </w:tcBorders>
            <w:shd w:val="clear" w:color="auto" w:fill="auto"/>
            <w:noWrap/>
            <w:vAlign w:val="bottom"/>
            <w:hideMark/>
          </w:tcPr>
          <w:p w14:paraId="20DAB5F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139.83</w:t>
            </w:r>
          </w:p>
        </w:tc>
      </w:tr>
      <w:tr w:rsidR="00A0308E" w:rsidRPr="003B10E2" w14:paraId="5F9D341C"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DC0DC72"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Yuneng Technology,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2AD5E6A5"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6AFE161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224.60</w:t>
            </w:r>
          </w:p>
        </w:tc>
        <w:tc>
          <w:tcPr>
            <w:tcW w:w="1418" w:type="dxa"/>
            <w:tcBorders>
              <w:top w:val="nil"/>
              <w:left w:val="nil"/>
              <w:bottom w:val="single" w:sz="4" w:space="0" w:color="000000"/>
              <w:right w:val="single" w:sz="4" w:space="0" w:color="000000"/>
            </w:tcBorders>
            <w:shd w:val="clear" w:color="auto" w:fill="auto"/>
            <w:noWrap/>
            <w:vAlign w:val="bottom"/>
            <w:hideMark/>
          </w:tcPr>
          <w:p w14:paraId="30A25B8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228.04</w:t>
            </w:r>
          </w:p>
        </w:tc>
      </w:tr>
      <w:tr w:rsidR="00A0308E" w:rsidRPr="003B10E2" w14:paraId="4C74D09F"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CE5049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Yunnan Bowin Technology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8EEF13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250.44</w:t>
            </w:r>
          </w:p>
        </w:tc>
        <w:tc>
          <w:tcPr>
            <w:tcW w:w="957" w:type="dxa"/>
            <w:tcBorders>
              <w:top w:val="nil"/>
              <w:left w:val="nil"/>
              <w:bottom w:val="single" w:sz="4" w:space="0" w:color="000000"/>
              <w:right w:val="single" w:sz="4" w:space="0" w:color="000000"/>
            </w:tcBorders>
            <w:shd w:val="clear" w:color="auto" w:fill="auto"/>
            <w:noWrap/>
            <w:vAlign w:val="bottom"/>
            <w:hideMark/>
          </w:tcPr>
          <w:p w14:paraId="31A7F62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7.58</w:t>
            </w:r>
          </w:p>
        </w:tc>
        <w:tc>
          <w:tcPr>
            <w:tcW w:w="1418" w:type="dxa"/>
            <w:tcBorders>
              <w:top w:val="nil"/>
              <w:left w:val="nil"/>
              <w:bottom w:val="single" w:sz="4" w:space="0" w:color="000000"/>
              <w:right w:val="single" w:sz="4" w:space="0" w:color="000000"/>
            </w:tcBorders>
            <w:shd w:val="clear" w:color="auto" w:fill="auto"/>
            <w:noWrap/>
            <w:vAlign w:val="bottom"/>
            <w:hideMark/>
          </w:tcPr>
          <w:p w14:paraId="139B6B6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11.51</w:t>
            </w:r>
          </w:p>
        </w:tc>
      </w:tr>
      <w:tr w:rsidR="00A0308E" w:rsidRPr="003B10E2" w14:paraId="0AE6F4E2"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8743B0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Yunnan Chihong Zinc&amp;Germanium,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E0A530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3 690.84</w:t>
            </w:r>
          </w:p>
        </w:tc>
        <w:tc>
          <w:tcPr>
            <w:tcW w:w="957" w:type="dxa"/>
            <w:tcBorders>
              <w:top w:val="nil"/>
              <w:left w:val="nil"/>
              <w:bottom w:val="single" w:sz="4" w:space="0" w:color="000000"/>
              <w:right w:val="single" w:sz="4" w:space="0" w:color="000000"/>
            </w:tcBorders>
            <w:shd w:val="clear" w:color="auto" w:fill="auto"/>
            <w:noWrap/>
            <w:vAlign w:val="bottom"/>
            <w:hideMark/>
          </w:tcPr>
          <w:p w14:paraId="4D1F8C8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5.18</w:t>
            </w:r>
          </w:p>
        </w:tc>
        <w:tc>
          <w:tcPr>
            <w:tcW w:w="1418" w:type="dxa"/>
            <w:tcBorders>
              <w:top w:val="nil"/>
              <w:left w:val="nil"/>
              <w:bottom w:val="single" w:sz="4" w:space="0" w:color="000000"/>
              <w:right w:val="single" w:sz="4" w:space="0" w:color="000000"/>
            </w:tcBorders>
            <w:shd w:val="clear" w:color="auto" w:fill="auto"/>
            <w:noWrap/>
            <w:vAlign w:val="bottom"/>
            <w:hideMark/>
          </w:tcPr>
          <w:p w14:paraId="4E5E18B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171.40</w:t>
            </w:r>
          </w:p>
        </w:tc>
      </w:tr>
      <w:tr w:rsidR="00A0308E" w:rsidRPr="003B10E2" w14:paraId="2360BC2C"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94D31C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Yunnan Coal &amp; Energy,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17AA70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430.85</w:t>
            </w:r>
          </w:p>
        </w:tc>
        <w:tc>
          <w:tcPr>
            <w:tcW w:w="957" w:type="dxa"/>
            <w:tcBorders>
              <w:top w:val="nil"/>
              <w:left w:val="nil"/>
              <w:bottom w:val="single" w:sz="4" w:space="0" w:color="000000"/>
              <w:right w:val="single" w:sz="4" w:space="0" w:color="000000"/>
            </w:tcBorders>
            <w:shd w:val="clear" w:color="auto" w:fill="auto"/>
            <w:noWrap/>
            <w:vAlign w:val="bottom"/>
            <w:hideMark/>
          </w:tcPr>
          <w:p w14:paraId="5966C9A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3.11</w:t>
            </w:r>
          </w:p>
        </w:tc>
        <w:tc>
          <w:tcPr>
            <w:tcW w:w="1418" w:type="dxa"/>
            <w:tcBorders>
              <w:top w:val="nil"/>
              <w:left w:val="nil"/>
              <w:bottom w:val="single" w:sz="4" w:space="0" w:color="000000"/>
              <w:right w:val="single" w:sz="4" w:space="0" w:color="000000"/>
            </w:tcBorders>
            <w:shd w:val="clear" w:color="auto" w:fill="auto"/>
            <w:noWrap/>
            <w:vAlign w:val="bottom"/>
            <w:hideMark/>
          </w:tcPr>
          <w:p w14:paraId="5752ED2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8.52</w:t>
            </w:r>
          </w:p>
        </w:tc>
      </w:tr>
      <w:tr w:rsidR="00A0308E" w:rsidRPr="003B10E2" w14:paraId="31519E62"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11FB70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Yunnan Jinggu Forestry,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8BC851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291.73</w:t>
            </w:r>
          </w:p>
        </w:tc>
        <w:tc>
          <w:tcPr>
            <w:tcW w:w="957" w:type="dxa"/>
            <w:tcBorders>
              <w:top w:val="nil"/>
              <w:left w:val="nil"/>
              <w:bottom w:val="single" w:sz="4" w:space="0" w:color="000000"/>
              <w:right w:val="single" w:sz="4" w:space="0" w:color="000000"/>
            </w:tcBorders>
            <w:shd w:val="clear" w:color="auto" w:fill="auto"/>
            <w:noWrap/>
            <w:vAlign w:val="bottom"/>
            <w:hideMark/>
          </w:tcPr>
          <w:p w14:paraId="034ABA7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16.06</w:t>
            </w:r>
          </w:p>
        </w:tc>
        <w:tc>
          <w:tcPr>
            <w:tcW w:w="1418" w:type="dxa"/>
            <w:tcBorders>
              <w:top w:val="nil"/>
              <w:left w:val="nil"/>
              <w:bottom w:val="single" w:sz="4" w:space="0" w:color="000000"/>
              <w:right w:val="single" w:sz="4" w:space="0" w:color="000000"/>
            </w:tcBorders>
            <w:shd w:val="clear" w:color="auto" w:fill="auto"/>
            <w:noWrap/>
            <w:vAlign w:val="bottom"/>
            <w:hideMark/>
          </w:tcPr>
          <w:p w14:paraId="64E1464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2.68</w:t>
            </w:r>
          </w:p>
        </w:tc>
      </w:tr>
      <w:tr w:rsidR="00A0308E" w:rsidRPr="003B10E2" w14:paraId="5864E3B9"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335F3D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YunNan Metropolitan Real Estate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7D92C1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480.89</w:t>
            </w:r>
          </w:p>
        </w:tc>
        <w:tc>
          <w:tcPr>
            <w:tcW w:w="957" w:type="dxa"/>
            <w:tcBorders>
              <w:top w:val="nil"/>
              <w:left w:val="nil"/>
              <w:bottom w:val="single" w:sz="4" w:space="0" w:color="000000"/>
              <w:right w:val="single" w:sz="4" w:space="0" w:color="000000"/>
            </w:tcBorders>
            <w:shd w:val="clear" w:color="auto" w:fill="auto"/>
            <w:noWrap/>
            <w:vAlign w:val="bottom"/>
            <w:hideMark/>
          </w:tcPr>
          <w:p w14:paraId="117D612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2.14</w:t>
            </w:r>
          </w:p>
        </w:tc>
        <w:tc>
          <w:tcPr>
            <w:tcW w:w="1418" w:type="dxa"/>
            <w:tcBorders>
              <w:top w:val="nil"/>
              <w:left w:val="nil"/>
              <w:bottom w:val="single" w:sz="4" w:space="0" w:color="000000"/>
              <w:right w:val="single" w:sz="4" w:space="0" w:color="000000"/>
            </w:tcBorders>
            <w:shd w:val="clear" w:color="auto" w:fill="auto"/>
            <w:noWrap/>
            <w:vAlign w:val="bottom"/>
            <w:hideMark/>
          </w:tcPr>
          <w:p w14:paraId="1204ACC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23.57</w:t>
            </w:r>
          </w:p>
        </w:tc>
      </w:tr>
      <w:tr w:rsidR="00A0308E" w:rsidRPr="003B10E2" w14:paraId="30E276E7"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181081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Yunnan Shennong Agricultural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E20836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1 288.82</w:t>
            </w:r>
          </w:p>
        </w:tc>
        <w:tc>
          <w:tcPr>
            <w:tcW w:w="957" w:type="dxa"/>
            <w:tcBorders>
              <w:top w:val="nil"/>
              <w:left w:val="nil"/>
              <w:bottom w:val="single" w:sz="4" w:space="0" w:color="000000"/>
              <w:right w:val="single" w:sz="4" w:space="0" w:color="000000"/>
            </w:tcBorders>
            <w:shd w:val="clear" w:color="auto" w:fill="auto"/>
            <w:noWrap/>
            <w:vAlign w:val="bottom"/>
            <w:hideMark/>
          </w:tcPr>
          <w:p w14:paraId="005D8B2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23.01</w:t>
            </w:r>
          </w:p>
        </w:tc>
        <w:tc>
          <w:tcPr>
            <w:tcW w:w="1418" w:type="dxa"/>
            <w:tcBorders>
              <w:top w:val="nil"/>
              <w:left w:val="nil"/>
              <w:bottom w:val="single" w:sz="4" w:space="0" w:color="000000"/>
              <w:right w:val="single" w:sz="4" w:space="0" w:color="000000"/>
            </w:tcBorders>
            <w:shd w:val="clear" w:color="auto" w:fill="auto"/>
            <w:noWrap/>
            <w:vAlign w:val="bottom"/>
            <w:hideMark/>
          </w:tcPr>
          <w:p w14:paraId="1FAFA89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9.25</w:t>
            </w:r>
          </w:p>
        </w:tc>
      </w:tr>
      <w:tr w:rsidR="00A0308E" w:rsidRPr="003B10E2" w14:paraId="5E3088E9"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AF854E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Yunnan Wenshan Electric 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3DF269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735.32</w:t>
            </w:r>
          </w:p>
        </w:tc>
        <w:tc>
          <w:tcPr>
            <w:tcW w:w="957" w:type="dxa"/>
            <w:tcBorders>
              <w:top w:val="nil"/>
              <w:left w:val="nil"/>
              <w:bottom w:val="single" w:sz="4" w:space="0" w:color="000000"/>
              <w:right w:val="single" w:sz="4" w:space="0" w:color="000000"/>
            </w:tcBorders>
            <w:shd w:val="clear" w:color="auto" w:fill="auto"/>
            <w:noWrap/>
            <w:vAlign w:val="bottom"/>
            <w:hideMark/>
          </w:tcPr>
          <w:p w14:paraId="42D78F7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10.98</w:t>
            </w:r>
          </w:p>
        </w:tc>
        <w:tc>
          <w:tcPr>
            <w:tcW w:w="1418" w:type="dxa"/>
            <w:tcBorders>
              <w:top w:val="nil"/>
              <w:left w:val="nil"/>
              <w:bottom w:val="single" w:sz="4" w:space="0" w:color="000000"/>
              <w:right w:val="single" w:sz="4" w:space="0" w:color="000000"/>
            </w:tcBorders>
            <w:shd w:val="clear" w:color="auto" w:fill="auto"/>
            <w:noWrap/>
            <w:vAlign w:val="bottom"/>
            <w:hideMark/>
          </w:tcPr>
          <w:p w14:paraId="62A7E60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91.66</w:t>
            </w:r>
          </w:p>
        </w:tc>
      </w:tr>
      <w:tr w:rsidR="00A0308E" w:rsidRPr="003B10E2" w14:paraId="1FBF4819"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70141D8"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Yunnan Yuntianhua,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56479DD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4 357.53</w:t>
            </w:r>
          </w:p>
        </w:tc>
        <w:tc>
          <w:tcPr>
            <w:tcW w:w="957" w:type="dxa"/>
            <w:tcBorders>
              <w:top w:val="nil"/>
              <w:left w:val="nil"/>
              <w:bottom w:val="single" w:sz="4" w:space="0" w:color="000000"/>
              <w:right w:val="single" w:sz="4" w:space="0" w:color="000000"/>
            </w:tcBorders>
            <w:shd w:val="clear" w:color="auto" w:fill="auto"/>
            <w:noWrap/>
            <w:vAlign w:val="bottom"/>
            <w:hideMark/>
          </w:tcPr>
          <w:p w14:paraId="147FE91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16.96</w:t>
            </w:r>
          </w:p>
        </w:tc>
        <w:tc>
          <w:tcPr>
            <w:tcW w:w="1418" w:type="dxa"/>
            <w:tcBorders>
              <w:top w:val="nil"/>
              <w:left w:val="nil"/>
              <w:bottom w:val="single" w:sz="4" w:space="0" w:color="000000"/>
              <w:right w:val="single" w:sz="4" w:space="0" w:color="000000"/>
            </w:tcBorders>
            <w:shd w:val="clear" w:color="auto" w:fill="auto"/>
            <w:noWrap/>
            <w:vAlign w:val="bottom"/>
            <w:hideMark/>
          </w:tcPr>
          <w:p w14:paraId="0A1D43D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201.75</w:t>
            </w:r>
          </w:p>
        </w:tc>
      </w:tr>
      <w:tr w:rsidR="00A0308E" w:rsidRPr="003B10E2" w14:paraId="1A2150B8"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83DB024"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Yunnan Yunwei,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419B0C6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457.08</w:t>
            </w:r>
          </w:p>
        </w:tc>
        <w:tc>
          <w:tcPr>
            <w:tcW w:w="957" w:type="dxa"/>
            <w:tcBorders>
              <w:top w:val="nil"/>
              <w:left w:val="nil"/>
              <w:bottom w:val="single" w:sz="4" w:space="0" w:color="000000"/>
              <w:right w:val="single" w:sz="4" w:space="0" w:color="000000"/>
            </w:tcBorders>
            <w:shd w:val="clear" w:color="auto" w:fill="auto"/>
            <w:noWrap/>
            <w:vAlign w:val="bottom"/>
            <w:hideMark/>
          </w:tcPr>
          <w:p w14:paraId="74369AA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2.65</w:t>
            </w:r>
          </w:p>
        </w:tc>
        <w:tc>
          <w:tcPr>
            <w:tcW w:w="1418" w:type="dxa"/>
            <w:tcBorders>
              <w:top w:val="nil"/>
              <w:left w:val="nil"/>
              <w:bottom w:val="single" w:sz="4" w:space="0" w:color="000000"/>
              <w:right w:val="single" w:sz="4" w:space="0" w:color="000000"/>
            </w:tcBorders>
            <w:shd w:val="clear" w:color="auto" w:fill="auto"/>
            <w:noWrap/>
            <w:vAlign w:val="bottom"/>
            <w:hideMark/>
          </w:tcPr>
          <w:p w14:paraId="6DD832C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8.96</w:t>
            </w:r>
          </w:p>
        </w:tc>
      </w:tr>
      <w:tr w:rsidR="00A0308E" w:rsidRPr="003B10E2" w14:paraId="0C4394CA"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B22548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Zbom Home Collection,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F115C9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1 442.33</w:t>
            </w:r>
          </w:p>
        </w:tc>
        <w:tc>
          <w:tcPr>
            <w:tcW w:w="957" w:type="dxa"/>
            <w:tcBorders>
              <w:top w:val="nil"/>
              <w:left w:val="nil"/>
              <w:bottom w:val="single" w:sz="4" w:space="0" w:color="000000"/>
              <w:right w:val="single" w:sz="4" w:space="0" w:color="000000"/>
            </w:tcBorders>
            <w:shd w:val="clear" w:color="auto" w:fill="auto"/>
            <w:noWrap/>
            <w:vAlign w:val="bottom"/>
            <w:hideMark/>
          </w:tcPr>
          <w:p w14:paraId="1818EFE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33.00</w:t>
            </w:r>
          </w:p>
        </w:tc>
        <w:tc>
          <w:tcPr>
            <w:tcW w:w="1418" w:type="dxa"/>
            <w:tcBorders>
              <w:top w:val="nil"/>
              <w:left w:val="nil"/>
              <w:bottom w:val="single" w:sz="4" w:space="0" w:color="000000"/>
              <w:right w:val="single" w:sz="4" w:space="0" w:color="000000"/>
            </w:tcBorders>
            <w:shd w:val="clear" w:color="auto" w:fill="auto"/>
            <w:noWrap/>
            <w:vAlign w:val="bottom"/>
            <w:hideMark/>
          </w:tcPr>
          <w:p w14:paraId="0FB7765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125.30</w:t>
            </w:r>
          </w:p>
        </w:tc>
      </w:tr>
      <w:tr w:rsidR="00A0308E" w:rsidRPr="003B10E2" w14:paraId="598DFF4E"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7AFD12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Zhangjiagang Freetrade Science &amp; Technology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EF8128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595.43</w:t>
            </w:r>
          </w:p>
        </w:tc>
        <w:tc>
          <w:tcPr>
            <w:tcW w:w="957" w:type="dxa"/>
            <w:tcBorders>
              <w:top w:val="nil"/>
              <w:left w:val="nil"/>
              <w:bottom w:val="single" w:sz="4" w:space="0" w:color="000000"/>
              <w:right w:val="single" w:sz="4" w:space="0" w:color="000000"/>
            </w:tcBorders>
            <w:shd w:val="clear" w:color="auto" w:fill="auto"/>
            <w:noWrap/>
            <w:vAlign w:val="bottom"/>
            <w:hideMark/>
          </w:tcPr>
          <w:p w14:paraId="1DEC59F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3.51</w:t>
            </w:r>
          </w:p>
        </w:tc>
        <w:tc>
          <w:tcPr>
            <w:tcW w:w="1418" w:type="dxa"/>
            <w:tcBorders>
              <w:top w:val="nil"/>
              <w:left w:val="nil"/>
              <w:bottom w:val="single" w:sz="4" w:space="0" w:color="000000"/>
              <w:right w:val="single" w:sz="4" w:space="0" w:color="000000"/>
            </w:tcBorders>
            <w:shd w:val="clear" w:color="auto" w:fill="auto"/>
            <w:noWrap/>
            <w:vAlign w:val="bottom"/>
            <w:hideMark/>
          </w:tcPr>
          <w:p w14:paraId="0F44B2D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19.36</w:t>
            </w:r>
          </w:p>
        </w:tc>
      </w:tr>
      <w:tr w:rsidR="00A0308E" w:rsidRPr="003B10E2" w14:paraId="4B3480CE"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788305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Zhangjiagang Guangda Special Material,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EB2A39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998.12</w:t>
            </w:r>
          </w:p>
        </w:tc>
        <w:tc>
          <w:tcPr>
            <w:tcW w:w="957" w:type="dxa"/>
            <w:tcBorders>
              <w:top w:val="nil"/>
              <w:left w:val="nil"/>
              <w:bottom w:val="single" w:sz="4" w:space="0" w:color="000000"/>
              <w:right w:val="single" w:sz="4" w:space="0" w:color="000000"/>
            </w:tcBorders>
            <w:shd w:val="clear" w:color="auto" w:fill="auto"/>
            <w:noWrap/>
            <w:vAlign w:val="bottom"/>
            <w:hideMark/>
          </w:tcPr>
          <w:p w14:paraId="263A9D9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33.29</w:t>
            </w:r>
          </w:p>
        </w:tc>
        <w:tc>
          <w:tcPr>
            <w:tcW w:w="1418" w:type="dxa"/>
            <w:tcBorders>
              <w:top w:val="nil"/>
              <w:left w:val="nil"/>
              <w:bottom w:val="single" w:sz="4" w:space="0" w:color="000000"/>
              <w:right w:val="single" w:sz="4" w:space="0" w:color="000000"/>
            </w:tcBorders>
            <w:shd w:val="clear" w:color="auto" w:fill="auto"/>
            <w:noWrap/>
            <w:vAlign w:val="bottom"/>
            <w:hideMark/>
          </w:tcPr>
          <w:p w14:paraId="31BD6E1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49.68</w:t>
            </w:r>
          </w:p>
        </w:tc>
      </w:tr>
      <w:tr w:rsidR="00A0308E" w:rsidRPr="003B10E2" w14:paraId="5B4267C5"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83E37A0"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Zhangzhou Pientzehuang Pharmaceutical,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45E8D85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24 494.06</w:t>
            </w:r>
          </w:p>
        </w:tc>
        <w:tc>
          <w:tcPr>
            <w:tcW w:w="957" w:type="dxa"/>
            <w:tcBorders>
              <w:top w:val="nil"/>
              <w:left w:val="nil"/>
              <w:bottom w:val="single" w:sz="4" w:space="0" w:color="000000"/>
              <w:right w:val="single" w:sz="4" w:space="0" w:color="000000"/>
            </w:tcBorders>
            <w:shd w:val="clear" w:color="auto" w:fill="auto"/>
            <w:noWrap/>
            <w:vAlign w:val="bottom"/>
            <w:hideMark/>
          </w:tcPr>
          <w:p w14:paraId="10BFFB3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290.10</w:t>
            </w:r>
          </w:p>
        </w:tc>
        <w:tc>
          <w:tcPr>
            <w:tcW w:w="1418" w:type="dxa"/>
            <w:tcBorders>
              <w:top w:val="nil"/>
              <w:left w:val="nil"/>
              <w:bottom w:val="single" w:sz="4" w:space="0" w:color="000000"/>
              <w:right w:val="single" w:sz="4" w:space="0" w:color="000000"/>
            </w:tcBorders>
            <w:shd w:val="clear" w:color="auto" w:fill="auto"/>
            <w:noWrap/>
            <w:vAlign w:val="bottom"/>
            <w:hideMark/>
          </w:tcPr>
          <w:p w14:paraId="30161C2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392.98</w:t>
            </w:r>
          </w:p>
        </w:tc>
      </w:tr>
      <w:tr w:rsidR="00A0308E" w:rsidRPr="003B10E2" w14:paraId="16508A7F" w14:textId="77777777" w:rsidTr="00A0308E">
        <w:trPr>
          <w:trHeight w:val="300"/>
        </w:trPr>
        <w:tc>
          <w:tcPr>
            <w:tcW w:w="4815" w:type="dxa"/>
            <w:tcBorders>
              <w:top w:val="nil"/>
              <w:left w:val="single" w:sz="4" w:space="0" w:color="000000"/>
              <w:bottom w:val="single" w:sz="4" w:space="0" w:color="auto"/>
              <w:right w:val="single" w:sz="4" w:space="0" w:color="000000"/>
            </w:tcBorders>
            <w:shd w:val="clear" w:color="auto" w:fill="auto"/>
            <w:noWrap/>
            <w:vAlign w:val="bottom"/>
            <w:hideMark/>
          </w:tcPr>
          <w:p w14:paraId="1D93D07A"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Zhe Jiang Dong Ri, акция об.</w:t>
            </w:r>
          </w:p>
        </w:tc>
        <w:tc>
          <w:tcPr>
            <w:tcW w:w="1736" w:type="dxa"/>
            <w:tcBorders>
              <w:top w:val="nil"/>
              <w:left w:val="nil"/>
              <w:bottom w:val="single" w:sz="4" w:space="0" w:color="auto"/>
              <w:right w:val="single" w:sz="4" w:space="0" w:color="000000"/>
            </w:tcBorders>
            <w:shd w:val="clear" w:color="auto" w:fill="auto"/>
            <w:noWrap/>
            <w:vAlign w:val="bottom"/>
            <w:hideMark/>
          </w:tcPr>
          <w:p w14:paraId="4AB19EF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424.93</w:t>
            </w:r>
          </w:p>
        </w:tc>
        <w:tc>
          <w:tcPr>
            <w:tcW w:w="957" w:type="dxa"/>
            <w:tcBorders>
              <w:top w:val="nil"/>
              <w:left w:val="nil"/>
              <w:bottom w:val="single" w:sz="4" w:space="0" w:color="auto"/>
              <w:right w:val="single" w:sz="4" w:space="0" w:color="000000"/>
            </w:tcBorders>
            <w:shd w:val="clear" w:color="auto" w:fill="auto"/>
            <w:noWrap/>
            <w:vAlign w:val="bottom"/>
            <w:hideMark/>
          </w:tcPr>
          <w:p w14:paraId="1B2CC1A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7.38</w:t>
            </w:r>
          </w:p>
        </w:tc>
        <w:tc>
          <w:tcPr>
            <w:tcW w:w="1418" w:type="dxa"/>
            <w:tcBorders>
              <w:top w:val="nil"/>
              <w:left w:val="nil"/>
              <w:bottom w:val="single" w:sz="4" w:space="0" w:color="auto"/>
              <w:right w:val="single" w:sz="4" w:space="0" w:color="000000"/>
            </w:tcBorders>
            <w:shd w:val="clear" w:color="auto" w:fill="auto"/>
            <w:noWrap/>
            <w:vAlign w:val="bottom"/>
            <w:hideMark/>
          </w:tcPr>
          <w:p w14:paraId="1F0ED00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36.50</w:t>
            </w:r>
          </w:p>
        </w:tc>
      </w:tr>
      <w:tr w:rsidR="00A0308E" w:rsidRPr="003B10E2" w14:paraId="60799BF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DDE2B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 Jiang Headman Machinery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F18E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314.82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B96B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41.68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1857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11.06</w:t>
            </w:r>
          </w:p>
        </w:tc>
      </w:tr>
      <w:tr w:rsidR="00A0308E" w:rsidRPr="003B10E2" w14:paraId="0EEA12AB" w14:textId="77777777" w:rsidTr="00A0308E">
        <w:trPr>
          <w:trHeight w:val="300"/>
        </w:trPr>
        <w:tc>
          <w:tcPr>
            <w:tcW w:w="481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46130F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 Jiang Li Zi Yuan Food,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nil"/>
              <w:bottom w:val="single" w:sz="4" w:space="0" w:color="000000"/>
              <w:right w:val="single" w:sz="4" w:space="0" w:color="000000"/>
            </w:tcBorders>
            <w:shd w:val="clear" w:color="auto" w:fill="auto"/>
            <w:noWrap/>
            <w:vAlign w:val="bottom"/>
            <w:hideMark/>
          </w:tcPr>
          <w:p w14:paraId="0FA1471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570.20</w:t>
            </w:r>
          </w:p>
        </w:tc>
        <w:tc>
          <w:tcPr>
            <w:tcW w:w="957" w:type="dxa"/>
            <w:tcBorders>
              <w:top w:val="single" w:sz="4" w:space="0" w:color="auto"/>
              <w:left w:val="nil"/>
              <w:bottom w:val="single" w:sz="4" w:space="0" w:color="000000"/>
              <w:right w:val="single" w:sz="4" w:space="0" w:color="000000"/>
            </w:tcBorders>
            <w:shd w:val="clear" w:color="auto" w:fill="auto"/>
            <w:noWrap/>
            <w:vAlign w:val="bottom"/>
            <w:hideMark/>
          </w:tcPr>
          <w:p w14:paraId="3930BD0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18.80</w:t>
            </w:r>
          </w:p>
        </w:tc>
        <w:tc>
          <w:tcPr>
            <w:tcW w:w="1418" w:type="dxa"/>
            <w:tcBorders>
              <w:top w:val="single" w:sz="4" w:space="0" w:color="auto"/>
              <w:left w:val="nil"/>
              <w:bottom w:val="single" w:sz="4" w:space="0" w:color="000000"/>
              <w:right w:val="single" w:sz="4" w:space="0" w:color="000000"/>
            </w:tcBorders>
            <w:shd w:val="clear" w:color="auto" w:fill="auto"/>
            <w:noWrap/>
            <w:vAlign w:val="bottom"/>
            <w:hideMark/>
          </w:tcPr>
          <w:p w14:paraId="1DD1A66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62.99</w:t>
            </w:r>
          </w:p>
        </w:tc>
      </w:tr>
      <w:tr w:rsidR="00A0308E" w:rsidRPr="003B10E2" w14:paraId="1175E804"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4DADBA6"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Zhejiang Aokang Shoes,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1B294B9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324.35</w:t>
            </w:r>
          </w:p>
        </w:tc>
        <w:tc>
          <w:tcPr>
            <w:tcW w:w="957" w:type="dxa"/>
            <w:tcBorders>
              <w:top w:val="nil"/>
              <w:left w:val="nil"/>
              <w:bottom w:val="single" w:sz="4" w:space="0" w:color="000000"/>
              <w:right w:val="single" w:sz="4" w:space="0" w:color="000000"/>
            </w:tcBorders>
            <w:shd w:val="clear" w:color="auto" w:fill="auto"/>
            <w:noWrap/>
            <w:vAlign w:val="bottom"/>
            <w:hideMark/>
          </w:tcPr>
          <w:p w14:paraId="1A46BDD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5.78</w:t>
            </w:r>
          </w:p>
        </w:tc>
        <w:tc>
          <w:tcPr>
            <w:tcW w:w="1418" w:type="dxa"/>
            <w:tcBorders>
              <w:top w:val="nil"/>
              <w:left w:val="nil"/>
              <w:bottom w:val="single" w:sz="4" w:space="0" w:color="000000"/>
              <w:right w:val="single" w:sz="4" w:space="0" w:color="000000"/>
            </w:tcBorders>
            <w:shd w:val="clear" w:color="auto" w:fill="auto"/>
            <w:noWrap/>
            <w:vAlign w:val="bottom"/>
            <w:hideMark/>
          </w:tcPr>
          <w:p w14:paraId="26EDF25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5.46</w:t>
            </w:r>
          </w:p>
        </w:tc>
      </w:tr>
      <w:tr w:rsidR="00A0308E" w:rsidRPr="003B10E2" w14:paraId="53D605E9"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352AC1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Ausun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5A0782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844.81</w:t>
            </w:r>
          </w:p>
        </w:tc>
        <w:tc>
          <w:tcPr>
            <w:tcW w:w="957" w:type="dxa"/>
            <w:tcBorders>
              <w:top w:val="nil"/>
              <w:left w:val="nil"/>
              <w:bottom w:val="single" w:sz="4" w:space="0" w:color="000000"/>
              <w:right w:val="single" w:sz="4" w:space="0" w:color="000000"/>
            </w:tcBorders>
            <w:shd w:val="clear" w:color="auto" w:fill="auto"/>
            <w:noWrap/>
            <w:vAlign w:val="bottom"/>
            <w:hideMark/>
          </w:tcPr>
          <w:p w14:paraId="382F020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21.03</w:t>
            </w:r>
          </w:p>
        </w:tc>
        <w:tc>
          <w:tcPr>
            <w:tcW w:w="1418" w:type="dxa"/>
            <w:tcBorders>
              <w:top w:val="nil"/>
              <w:left w:val="nil"/>
              <w:bottom w:val="single" w:sz="4" w:space="0" w:color="000000"/>
              <w:right w:val="single" w:sz="4" w:space="0" w:color="000000"/>
            </w:tcBorders>
            <w:shd w:val="clear" w:color="auto" w:fill="auto"/>
            <w:noWrap/>
            <w:vAlign w:val="bottom"/>
            <w:hideMark/>
          </w:tcPr>
          <w:p w14:paraId="7E6DC2C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57.78</w:t>
            </w:r>
          </w:p>
        </w:tc>
      </w:tr>
      <w:tr w:rsidR="00A0308E" w:rsidRPr="003B10E2" w14:paraId="3696B015"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4ADAFB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Baida Precision Manufacturing,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63A9A7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352.31</w:t>
            </w:r>
          </w:p>
        </w:tc>
        <w:tc>
          <w:tcPr>
            <w:tcW w:w="957" w:type="dxa"/>
            <w:tcBorders>
              <w:top w:val="nil"/>
              <w:left w:val="nil"/>
              <w:bottom w:val="single" w:sz="4" w:space="0" w:color="000000"/>
              <w:right w:val="single" w:sz="4" w:space="0" w:color="000000"/>
            </w:tcBorders>
            <w:shd w:val="clear" w:color="auto" w:fill="auto"/>
            <w:noWrap/>
            <w:vAlign w:val="bottom"/>
            <w:hideMark/>
          </w:tcPr>
          <w:p w14:paraId="31443CF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14.13</w:t>
            </w:r>
          </w:p>
        </w:tc>
        <w:tc>
          <w:tcPr>
            <w:tcW w:w="1418" w:type="dxa"/>
            <w:tcBorders>
              <w:top w:val="nil"/>
              <w:left w:val="nil"/>
              <w:bottom w:val="single" w:sz="4" w:space="0" w:color="000000"/>
              <w:right w:val="single" w:sz="4" w:space="0" w:color="000000"/>
            </w:tcBorders>
            <w:shd w:val="clear" w:color="auto" w:fill="auto"/>
            <w:noWrap/>
            <w:vAlign w:val="bottom"/>
            <w:hideMark/>
          </w:tcPr>
          <w:p w14:paraId="21E3ADF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26.13</w:t>
            </w:r>
          </w:p>
        </w:tc>
      </w:tr>
      <w:tr w:rsidR="00A0308E" w:rsidRPr="003B10E2" w14:paraId="4377809E"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DEDE20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Biyi Electric Appliance,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A06176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455.84</w:t>
            </w:r>
          </w:p>
        </w:tc>
        <w:tc>
          <w:tcPr>
            <w:tcW w:w="957" w:type="dxa"/>
            <w:tcBorders>
              <w:top w:val="nil"/>
              <w:left w:val="nil"/>
              <w:bottom w:val="single" w:sz="4" w:space="0" w:color="000000"/>
              <w:right w:val="single" w:sz="4" w:space="0" w:color="000000"/>
            </w:tcBorders>
            <w:shd w:val="clear" w:color="auto" w:fill="auto"/>
            <w:noWrap/>
            <w:vAlign w:val="bottom"/>
            <w:hideMark/>
          </w:tcPr>
          <w:p w14:paraId="16BD1FA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17.45</w:t>
            </w:r>
          </w:p>
        </w:tc>
        <w:tc>
          <w:tcPr>
            <w:tcW w:w="1418" w:type="dxa"/>
            <w:tcBorders>
              <w:top w:val="nil"/>
              <w:left w:val="nil"/>
              <w:bottom w:val="single" w:sz="4" w:space="0" w:color="000000"/>
              <w:right w:val="single" w:sz="4" w:space="0" w:color="000000"/>
            </w:tcBorders>
            <w:shd w:val="clear" w:color="auto" w:fill="auto"/>
            <w:noWrap/>
            <w:vAlign w:val="bottom"/>
            <w:hideMark/>
          </w:tcPr>
          <w:p w14:paraId="707494A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21.09</w:t>
            </w:r>
          </w:p>
        </w:tc>
      </w:tr>
      <w:tr w:rsidR="00A0308E" w:rsidRPr="003B10E2" w14:paraId="0AF3892D"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A8DFED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Cady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4768F5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2364F10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20.00</w:t>
            </w:r>
          </w:p>
        </w:tc>
        <w:tc>
          <w:tcPr>
            <w:tcW w:w="1418" w:type="dxa"/>
            <w:tcBorders>
              <w:top w:val="nil"/>
              <w:left w:val="nil"/>
              <w:bottom w:val="single" w:sz="4" w:space="0" w:color="000000"/>
              <w:right w:val="single" w:sz="4" w:space="0" w:color="000000"/>
            </w:tcBorders>
            <w:shd w:val="clear" w:color="auto" w:fill="auto"/>
            <w:noWrap/>
            <w:vAlign w:val="bottom"/>
            <w:hideMark/>
          </w:tcPr>
          <w:p w14:paraId="727EF11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107.66</w:t>
            </w:r>
          </w:p>
        </w:tc>
      </w:tr>
      <w:tr w:rsidR="00A0308E" w:rsidRPr="003B10E2" w14:paraId="629D5774"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BE22F08"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Zhejiang CFMoto Power,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6F331BC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3 323.52</w:t>
            </w:r>
          </w:p>
        </w:tc>
        <w:tc>
          <w:tcPr>
            <w:tcW w:w="957" w:type="dxa"/>
            <w:tcBorders>
              <w:top w:val="nil"/>
              <w:left w:val="nil"/>
              <w:bottom w:val="single" w:sz="4" w:space="0" w:color="000000"/>
              <w:right w:val="single" w:sz="4" w:space="0" w:color="000000"/>
            </w:tcBorders>
            <w:shd w:val="clear" w:color="auto" w:fill="auto"/>
            <w:noWrap/>
            <w:vAlign w:val="bottom"/>
            <w:hideMark/>
          </w:tcPr>
          <w:p w14:paraId="16BD5AE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158.24</w:t>
            </w:r>
          </w:p>
        </w:tc>
        <w:tc>
          <w:tcPr>
            <w:tcW w:w="1418" w:type="dxa"/>
            <w:tcBorders>
              <w:top w:val="nil"/>
              <w:left w:val="nil"/>
              <w:bottom w:val="single" w:sz="4" w:space="0" w:color="000000"/>
              <w:right w:val="single" w:sz="4" w:space="0" w:color="000000"/>
            </w:tcBorders>
            <w:shd w:val="clear" w:color="auto" w:fill="auto"/>
            <w:noWrap/>
            <w:vAlign w:val="bottom"/>
            <w:hideMark/>
          </w:tcPr>
          <w:p w14:paraId="795590B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64.24</w:t>
            </w:r>
          </w:p>
        </w:tc>
      </w:tr>
      <w:tr w:rsidR="00A0308E" w:rsidRPr="003B10E2" w14:paraId="1A3DF04A"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930E5F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Changhua Autoparts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3F312F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603.55</w:t>
            </w:r>
          </w:p>
        </w:tc>
        <w:tc>
          <w:tcPr>
            <w:tcW w:w="957" w:type="dxa"/>
            <w:tcBorders>
              <w:top w:val="nil"/>
              <w:left w:val="nil"/>
              <w:bottom w:val="single" w:sz="4" w:space="0" w:color="000000"/>
              <w:right w:val="single" w:sz="4" w:space="0" w:color="000000"/>
            </w:tcBorders>
            <w:shd w:val="clear" w:color="auto" w:fill="auto"/>
            <w:noWrap/>
            <w:vAlign w:val="bottom"/>
            <w:hideMark/>
          </w:tcPr>
          <w:p w14:paraId="4F2C611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10.35</w:t>
            </w:r>
          </w:p>
        </w:tc>
        <w:tc>
          <w:tcPr>
            <w:tcW w:w="1418" w:type="dxa"/>
            <w:tcBorders>
              <w:top w:val="nil"/>
              <w:left w:val="nil"/>
              <w:bottom w:val="single" w:sz="4" w:space="0" w:color="000000"/>
              <w:right w:val="single" w:sz="4" w:space="0" w:color="000000"/>
            </w:tcBorders>
            <w:shd w:val="clear" w:color="auto" w:fill="auto"/>
            <w:noWrap/>
            <w:vAlign w:val="bottom"/>
            <w:hideMark/>
          </w:tcPr>
          <w:p w14:paraId="74952F2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38.58</w:t>
            </w:r>
          </w:p>
        </w:tc>
      </w:tr>
      <w:tr w:rsidR="00A0308E" w:rsidRPr="003B10E2" w14:paraId="4571D479"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537FE8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Chenfeng Science and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02D65D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388.35</w:t>
            </w:r>
          </w:p>
        </w:tc>
        <w:tc>
          <w:tcPr>
            <w:tcW w:w="957" w:type="dxa"/>
            <w:tcBorders>
              <w:top w:val="nil"/>
              <w:left w:val="nil"/>
              <w:bottom w:val="single" w:sz="4" w:space="0" w:color="000000"/>
              <w:right w:val="single" w:sz="4" w:space="0" w:color="000000"/>
            </w:tcBorders>
            <w:shd w:val="clear" w:color="auto" w:fill="auto"/>
            <w:noWrap/>
            <w:vAlign w:val="bottom"/>
            <w:hideMark/>
          </w:tcPr>
          <w:p w14:paraId="48A934F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16.42</w:t>
            </w:r>
          </w:p>
        </w:tc>
        <w:tc>
          <w:tcPr>
            <w:tcW w:w="1418" w:type="dxa"/>
            <w:tcBorders>
              <w:top w:val="nil"/>
              <w:left w:val="nil"/>
              <w:bottom w:val="single" w:sz="4" w:space="0" w:color="000000"/>
              <w:right w:val="single" w:sz="4" w:space="0" w:color="000000"/>
            </w:tcBorders>
            <w:shd w:val="clear" w:color="auto" w:fill="auto"/>
            <w:noWrap/>
            <w:vAlign w:val="bottom"/>
            <w:hideMark/>
          </w:tcPr>
          <w:p w14:paraId="1E628AC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122.06</w:t>
            </w:r>
          </w:p>
        </w:tc>
      </w:tr>
      <w:tr w:rsidR="00A0308E" w:rsidRPr="003B10E2" w14:paraId="6222EE4B"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AF0EEF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Cheng Yi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80B43E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399.82</w:t>
            </w:r>
          </w:p>
        </w:tc>
        <w:tc>
          <w:tcPr>
            <w:tcW w:w="957" w:type="dxa"/>
            <w:tcBorders>
              <w:top w:val="nil"/>
              <w:left w:val="nil"/>
              <w:bottom w:val="single" w:sz="4" w:space="0" w:color="000000"/>
              <w:right w:val="single" w:sz="4" w:space="0" w:color="000000"/>
            </w:tcBorders>
            <w:shd w:val="clear" w:color="auto" w:fill="auto"/>
            <w:noWrap/>
            <w:vAlign w:val="bottom"/>
            <w:hideMark/>
          </w:tcPr>
          <w:p w14:paraId="7337EEA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12.22</w:t>
            </w:r>
          </w:p>
        </w:tc>
        <w:tc>
          <w:tcPr>
            <w:tcW w:w="1418" w:type="dxa"/>
            <w:tcBorders>
              <w:top w:val="nil"/>
              <w:left w:val="nil"/>
              <w:bottom w:val="single" w:sz="4" w:space="0" w:color="000000"/>
              <w:right w:val="single" w:sz="4" w:space="0" w:color="000000"/>
            </w:tcBorders>
            <w:shd w:val="clear" w:color="auto" w:fill="auto"/>
            <w:noWrap/>
            <w:vAlign w:val="bottom"/>
            <w:hideMark/>
          </w:tcPr>
          <w:p w14:paraId="43CB1CF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24.29</w:t>
            </w:r>
          </w:p>
        </w:tc>
      </w:tr>
      <w:tr w:rsidR="00A0308E" w:rsidRPr="003B10E2" w14:paraId="02F130FD"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11CA6C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ChiMin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3374A4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527.89</w:t>
            </w:r>
          </w:p>
        </w:tc>
        <w:tc>
          <w:tcPr>
            <w:tcW w:w="957" w:type="dxa"/>
            <w:tcBorders>
              <w:top w:val="nil"/>
              <w:left w:val="nil"/>
              <w:bottom w:val="single" w:sz="4" w:space="0" w:color="000000"/>
              <w:right w:val="single" w:sz="4" w:space="0" w:color="000000"/>
            </w:tcBorders>
            <w:shd w:val="clear" w:color="auto" w:fill="auto"/>
            <w:noWrap/>
            <w:vAlign w:val="bottom"/>
            <w:hideMark/>
          </w:tcPr>
          <w:p w14:paraId="2B2A71B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11.07</w:t>
            </w:r>
          </w:p>
        </w:tc>
        <w:tc>
          <w:tcPr>
            <w:tcW w:w="1418" w:type="dxa"/>
            <w:tcBorders>
              <w:top w:val="nil"/>
              <w:left w:val="nil"/>
              <w:bottom w:val="single" w:sz="4" w:space="0" w:color="000000"/>
              <w:right w:val="single" w:sz="4" w:space="0" w:color="000000"/>
            </w:tcBorders>
            <w:shd w:val="clear" w:color="auto" w:fill="auto"/>
            <w:noWrap/>
            <w:vAlign w:val="bottom"/>
            <w:hideMark/>
          </w:tcPr>
          <w:p w14:paraId="1659828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66.71</w:t>
            </w:r>
          </w:p>
        </w:tc>
      </w:tr>
      <w:tr w:rsidR="00A0308E" w:rsidRPr="003B10E2" w14:paraId="21A112E3"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9F1195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China Commodities City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1674BF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7 254.58</w:t>
            </w:r>
          </w:p>
        </w:tc>
        <w:tc>
          <w:tcPr>
            <w:tcW w:w="957" w:type="dxa"/>
            <w:tcBorders>
              <w:top w:val="nil"/>
              <w:left w:val="nil"/>
              <w:bottom w:val="single" w:sz="4" w:space="0" w:color="000000"/>
              <w:right w:val="single" w:sz="4" w:space="0" w:color="000000"/>
            </w:tcBorders>
            <w:shd w:val="clear" w:color="auto" w:fill="auto"/>
            <w:noWrap/>
            <w:vAlign w:val="bottom"/>
            <w:hideMark/>
          </w:tcPr>
          <w:p w14:paraId="62D96C3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9.44</w:t>
            </w:r>
          </w:p>
        </w:tc>
        <w:tc>
          <w:tcPr>
            <w:tcW w:w="1418" w:type="dxa"/>
            <w:tcBorders>
              <w:top w:val="nil"/>
              <w:left w:val="nil"/>
              <w:bottom w:val="single" w:sz="4" w:space="0" w:color="000000"/>
              <w:right w:val="single" w:sz="4" w:space="0" w:color="000000"/>
            </w:tcBorders>
            <w:shd w:val="clear" w:color="auto" w:fill="auto"/>
            <w:noWrap/>
            <w:vAlign w:val="bottom"/>
            <w:hideMark/>
          </w:tcPr>
          <w:p w14:paraId="4A184F2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1 747.32</w:t>
            </w:r>
          </w:p>
        </w:tc>
      </w:tr>
      <w:tr w:rsidR="00A0308E" w:rsidRPr="003B10E2" w14:paraId="39817E66"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B5E5D2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China Light &amp; Textile Industrial City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E27FD4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921.06</w:t>
            </w:r>
          </w:p>
        </w:tc>
        <w:tc>
          <w:tcPr>
            <w:tcW w:w="957" w:type="dxa"/>
            <w:tcBorders>
              <w:top w:val="nil"/>
              <w:left w:val="nil"/>
              <w:bottom w:val="single" w:sz="4" w:space="0" w:color="000000"/>
              <w:right w:val="single" w:sz="4" w:space="0" w:color="000000"/>
            </w:tcBorders>
            <w:shd w:val="clear" w:color="auto" w:fill="auto"/>
            <w:noWrap/>
            <w:vAlign w:val="bottom"/>
            <w:hideMark/>
          </w:tcPr>
          <w:p w14:paraId="4F2C666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4.49</w:t>
            </w:r>
          </w:p>
        </w:tc>
        <w:tc>
          <w:tcPr>
            <w:tcW w:w="1418" w:type="dxa"/>
            <w:tcBorders>
              <w:top w:val="nil"/>
              <w:left w:val="nil"/>
              <w:bottom w:val="single" w:sz="4" w:space="0" w:color="000000"/>
              <w:right w:val="single" w:sz="4" w:space="0" w:color="000000"/>
            </w:tcBorders>
            <w:shd w:val="clear" w:color="auto" w:fill="auto"/>
            <w:noWrap/>
            <w:vAlign w:val="bottom"/>
            <w:hideMark/>
          </w:tcPr>
          <w:p w14:paraId="756186E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33.47</w:t>
            </w:r>
          </w:p>
        </w:tc>
      </w:tr>
      <w:tr w:rsidR="00A0308E" w:rsidRPr="003B10E2" w14:paraId="7B533EA9"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7DADC4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Chint Electrics,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242809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8 030.62</w:t>
            </w:r>
          </w:p>
        </w:tc>
        <w:tc>
          <w:tcPr>
            <w:tcW w:w="957" w:type="dxa"/>
            <w:tcBorders>
              <w:top w:val="nil"/>
              <w:left w:val="nil"/>
              <w:bottom w:val="single" w:sz="4" w:space="0" w:color="000000"/>
              <w:right w:val="single" w:sz="4" w:space="0" w:color="000000"/>
            </w:tcBorders>
            <w:shd w:val="clear" w:color="auto" w:fill="auto"/>
            <w:noWrap/>
            <w:vAlign w:val="bottom"/>
            <w:hideMark/>
          </w:tcPr>
          <w:p w14:paraId="2C4BFC0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26.69</w:t>
            </w:r>
          </w:p>
        </w:tc>
        <w:tc>
          <w:tcPr>
            <w:tcW w:w="1418" w:type="dxa"/>
            <w:tcBorders>
              <w:top w:val="nil"/>
              <w:left w:val="nil"/>
              <w:bottom w:val="single" w:sz="4" w:space="0" w:color="000000"/>
              <w:right w:val="single" w:sz="4" w:space="0" w:color="000000"/>
            </w:tcBorders>
            <w:shd w:val="clear" w:color="auto" w:fill="auto"/>
            <w:noWrap/>
            <w:vAlign w:val="bottom"/>
            <w:hideMark/>
          </w:tcPr>
          <w:p w14:paraId="7A110E0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292.18</w:t>
            </w:r>
          </w:p>
        </w:tc>
      </w:tr>
      <w:tr w:rsidR="00A0308E" w:rsidRPr="003B10E2" w14:paraId="1A8FFC33"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397D4C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Conba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2CB9C9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2 370.24</w:t>
            </w:r>
          </w:p>
        </w:tc>
        <w:tc>
          <w:tcPr>
            <w:tcW w:w="957" w:type="dxa"/>
            <w:tcBorders>
              <w:top w:val="nil"/>
              <w:left w:val="nil"/>
              <w:bottom w:val="single" w:sz="4" w:space="0" w:color="000000"/>
              <w:right w:val="single" w:sz="4" w:space="0" w:color="000000"/>
            </w:tcBorders>
            <w:shd w:val="clear" w:color="auto" w:fill="auto"/>
            <w:noWrap/>
            <w:vAlign w:val="bottom"/>
            <w:hideMark/>
          </w:tcPr>
          <w:p w14:paraId="4843C1D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6.59</w:t>
            </w:r>
          </w:p>
        </w:tc>
        <w:tc>
          <w:tcPr>
            <w:tcW w:w="1418" w:type="dxa"/>
            <w:tcBorders>
              <w:top w:val="nil"/>
              <w:left w:val="nil"/>
              <w:bottom w:val="single" w:sz="4" w:space="0" w:color="000000"/>
              <w:right w:val="single" w:sz="4" w:space="0" w:color="000000"/>
            </w:tcBorders>
            <w:shd w:val="clear" w:color="auto" w:fill="auto"/>
            <w:noWrap/>
            <w:vAlign w:val="bottom"/>
            <w:hideMark/>
          </w:tcPr>
          <w:p w14:paraId="6A71608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197.17</w:t>
            </w:r>
          </w:p>
        </w:tc>
      </w:tr>
      <w:tr w:rsidR="00A0308E" w:rsidRPr="003B10E2" w14:paraId="173333C2"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0CAE10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Dafeng Industrial,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226D13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958.38</w:t>
            </w:r>
          </w:p>
        </w:tc>
        <w:tc>
          <w:tcPr>
            <w:tcW w:w="957" w:type="dxa"/>
            <w:tcBorders>
              <w:top w:val="nil"/>
              <w:left w:val="nil"/>
              <w:bottom w:val="single" w:sz="4" w:space="0" w:color="000000"/>
              <w:right w:val="single" w:sz="4" w:space="0" w:color="000000"/>
            </w:tcBorders>
            <w:shd w:val="clear" w:color="auto" w:fill="auto"/>
            <w:noWrap/>
            <w:vAlign w:val="bottom"/>
            <w:hideMark/>
          </w:tcPr>
          <w:p w14:paraId="4634C30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16.74</w:t>
            </w:r>
          </w:p>
        </w:tc>
        <w:tc>
          <w:tcPr>
            <w:tcW w:w="1418" w:type="dxa"/>
            <w:tcBorders>
              <w:top w:val="nil"/>
              <w:left w:val="nil"/>
              <w:bottom w:val="single" w:sz="4" w:space="0" w:color="000000"/>
              <w:right w:val="single" w:sz="4" w:space="0" w:color="000000"/>
            </w:tcBorders>
            <w:shd w:val="clear" w:color="auto" w:fill="auto"/>
            <w:noWrap/>
            <w:vAlign w:val="bottom"/>
            <w:hideMark/>
          </w:tcPr>
          <w:p w14:paraId="712AEF8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43.62</w:t>
            </w:r>
          </w:p>
        </w:tc>
      </w:tr>
      <w:tr w:rsidR="00A0308E" w:rsidRPr="003B10E2" w14:paraId="1AA42585"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25551C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Daily Digital Culture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E2DF60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2 850.13</w:t>
            </w:r>
          </w:p>
        </w:tc>
        <w:tc>
          <w:tcPr>
            <w:tcW w:w="957" w:type="dxa"/>
            <w:tcBorders>
              <w:top w:val="nil"/>
              <w:left w:val="nil"/>
              <w:bottom w:val="single" w:sz="4" w:space="0" w:color="000000"/>
              <w:right w:val="single" w:sz="4" w:space="0" w:color="000000"/>
            </w:tcBorders>
            <w:shd w:val="clear" w:color="auto" w:fill="auto"/>
            <w:noWrap/>
            <w:vAlign w:val="bottom"/>
            <w:hideMark/>
          </w:tcPr>
          <w:p w14:paraId="0444957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16.09</w:t>
            </w:r>
          </w:p>
        </w:tc>
        <w:tc>
          <w:tcPr>
            <w:tcW w:w="1418" w:type="dxa"/>
            <w:tcBorders>
              <w:top w:val="nil"/>
              <w:left w:val="nil"/>
              <w:bottom w:val="single" w:sz="4" w:space="0" w:color="000000"/>
              <w:right w:val="single" w:sz="4" w:space="0" w:color="000000"/>
            </w:tcBorders>
            <w:shd w:val="clear" w:color="auto" w:fill="auto"/>
            <w:noWrap/>
            <w:vAlign w:val="bottom"/>
            <w:hideMark/>
          </w:tcPr>
          <w:p w14:paraId="5626695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1 989.36</w:t>
            </w:r>
          </w:p>
        </w:tc>
      </w:tr>
      <w:tr w:rsidR="00A0308E" w:rsidRPr="003B10E2" w14:paraId="67E4E63E"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6401CE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Damon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4A1D5F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246.64</w:t>
            </w:r>
          </w:p>
        </w:tc>
        <w:tc>
          <w:tcPr>
            <w:tcW w:w="957" w:type="dxa"/>
            <w:tcBorders>
              <w:top w:val="nil"/>
              <w:left w:val="nil"/>
              <w:bottom w:val="single" w:sz="4" w:space="0" w:color="000000"/>
              <w:right w:val="single" w:sz="4" w:space="0" w:color="000000"/>
            </w:tcBorders>
            <w:shd w:val="clear" w:color="auto" w:fill="auto"/>
            <w:noWrap/>
            <w:vAlign w:val="bottom"/>
            <w:hideMark/>
          </w:tcPr>
          <w:p w14:paraId="4F9A048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20.57</w:t>
            </w:r>
          </w:p>
        </w:tc>
        <w:tc>
          <w:tcPr>
            <w:tcW w:w="1418" w:type="dxa"/>
            <w:tcBorders>
              <w:top w:val="nil"/>
              <w:left w:val="nil"/>
              <w:bottom w:val="single" w:sz="4" w:space="0" w:color="000000"/>
              <w:right w:val="single" w:sz="4" w:space="0" w:color="000000"/>
            </w:tcBorders>
            <w:shd w:val="clear" w:color="auto" w:fill="auto"/>
            <w:noWrap/>
            <w:vAlign w:val="bottom"/>
            <w:hideMark/>
          </w:tcPr>
          <w:p w14:paraId="62AB7CF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31.03</w:t>
            </w:r>
          </w:p>
        </w:tc>
      </w:tr>
      <w:tr w:rsidR="00A0308E" w:rsidRPr="003B10E2" w14:paraId="6971DDFA"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361B74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Dayuan Pumps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6C222E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650.93</w:t>
            </w:r>
          </w:p>
        </w:tc>
        <w:tc>
          <w:tcPr>
            <w:tcW w:w="957" w:type="dxa"/>
            <w:tcBorders>
              <w:top w:val="nil"/>
              <w:left w:val="nil"/>
              <w:bottom w:val="single" w:sz="4" w:space="0" w:color="000000"/>
              <w:right w:val="single" w:sz="4" w:space="0" w:color="000000"/>
            </w:tcBorders>
            <w:shd w:val="clear" w:color="auto" w:fill="auto"/>
            <w:noWrap/>
            <w:vAlign w:val="bottom"/>
            <w:hideMark/>
          </w:tcPr>
          <w:p w14:paraId="40C28DA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27.65</w:t>
            </w:r>
          </w:p>
        </w:tc>
        <w:tc>
          <w:tcPr>
            <w:tcW w:w="1418" w:type="dxa"/>
            <w:tcBorders>
              <w:top w:val="nil"/>
              <w:left w:val="nil"/>
              <w:bottom w:val="single" w:sz="4" w:space="0" w:color="000000"/>
              <w:right w:val="single" w:sz="4" w:space="0" w:color="000000"/>
            </w:tcBorders>
            <w:shd w:val="clear" w:color="auto" w:fill="auto"/>
            <w:noWrap/>
            <w:vAlign w:val="bottom"/>
            <w:hideMark/>
          </w:tcPr>
          <w:p w14:paraId="02C20CC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51.86</w:t>
            </w:r>
          </w:p>
        </w:tc>
      </w:tr>
      <w:tr w:rsidR="00A0308E" w:rsidRPr="003B10E2" w14:paraId="3EA789B6"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05DA0E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Dehong Automotive Electrical System,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2F3A48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509.52</w:t>
            </w:r>
          </w:p>
        </w:tc>
        <w:tc>
          <w:tcPr>
            <w:tcW w:w="957" w:type="dxa"/>
            <w:tcBorders>
              <w:top w:val="nil"/>
              <w:left w:val="nil"/>
              <w:bottom w:val="single" w:sz="4" w:space="0" w:color="000000"/>
              <w:right w:val="single" w:sz="4" w:space="0" w:color="000000"/>
            </w:tcBorders>
            <w:shd w:val="clear" w:color="auto" w:fill="auto"/>
            <w:noWrap/>
            <w:vAlign w:val="bottom"/>
            <w:hideMark/>
          </w:tcPr>
          <w:p w14:paraId="47FB8F4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13.93</w:t>
            </w:r>
          </w:p>
        </w:tc>
        <w:tc>
          <w:tcPr>
            <w:tcW w:w="1418" w:type="dxa"/>
            <w:tcBorders>
              <w:top w:val="nil"/>
              <w:left w:val="nil"/>
              <w:bottom w:val="single" w:sz="4" w:space="0" w:color="000000"/>
              <w:right w:val="single" w:sz="4" w:space="0" w:color="000000"/>
            </w:tcBorders>
            <w:shd w:val="clear" w:color="auto" w:fill="auto"/>
            <w:noWrap/>
            <w:vAlign w:val="bottom"/>
            <w:hideMark/>
          </w:tcPr>
          <w:p w14:paraId="18B3A40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72.05</w:t>
            </w:r>
          </w:p>
        </w:tc>
      </w:tr>
      <w:tr w:rsidR="00A0308E" w:rsidRPr="003B10E2" w14:paraId="46C1C23E"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C5AF2A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Dibay Electric,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81C650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246.54</w:t>
            </w:r>
          </w:p>
        </w:tc>
        <w:tc>
          <w:tcPr>
            <w:tcW w:w="957" w:type="dxa"/>
            <w:tcBorders>
              <w:top w:val="nil"/>
              <w:left w:val="nil"/>
              <w:bottom w:val="single" w:sz="4" w:space="0" w:color="000000"/>
              <w:right w:val="single" w:sz="4" w:space="0" w:color="000000"/>
            </w:tcBorders>
            <w:shd w:val="clear" w:color="auto" w:fill="auto"/>
            <w:noWrap/>
            <w:vAlign w:val="bottom"/>
            <w:hideMark/>
          </w:tcPr>
          <w:p w14:paraId="445BE43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13.55</w:t>
            </w:r>
          </w:p>
        </w:tc>
        <w:tc>
          <w:tcPr>
            <w:tcW w:w="1418" w:type="dxa"/>
            <w:tcBorders>
              <w:top w:val="nil"/>
              <w:left w:val="nil"/>
              <w:bottom w:val="single" w:sz="4" w:space="0" w:color="000000"/>
              <w:right w:val="single" w:sz="4" w:space="0" w:color="000000"/>
            </w:tcBorders>
            <w:shd w:val="clear" w:color="auto" w:fill="auto"/>
            <w:noWrap/>
            <w:vAlign w:val="bottom"/>
            <w:hideMark/>
          </w:tcPr>
          <w:p w14:paraId="144F717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31.56</w:t>
            </w:r>
          </w:p>
        </w:tc>
      </w:tr>
      <w:tr w:rsidR="00A0308E" w:rsidRPr="003B10E2" w14:paraId="5BD7C34E"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245ABB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Dingli Machinery,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5D8D07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3 684.85</w:t>
            </w:r>
          </w:p>
        </w:tc>
        <w:tc>
          <w:tcPr>
            <w:tcW w:w="957" w:type="dxa"/>
            <w:tcBorders>
              <w:top w:val="nil"/>
              <w:left w:val="nil"/>
              <w:bottom w:val="single" w:sz="4" w:space="0" w:color="000000"/>
              <w:right w:val="single" w:sz="4" w:space="0" w:color="000000"/>
            </w:tcBorders>
            <w:shd w:val="clear" w:color="auto" w:fill="auto"/>
            <w:noWrap/>
            <w:vAlign w:val="bottom"/>
            <w:hideMark/>
          </w:tcPr>
          <w:p w14:paraId="39C12D6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52.00</w:t>
            </w:r>
          </w:p>
        </w:tc>
        <w:tc>
          <w:tcPr>
            <w:tcW w:w="1418" w:type="dxa"/>
            <w:tcBorders>
              <w:top w:val="nil"/>
              <w:left w:val="nil"/>
              <w:bottom w:val="single" w:sz="4" w:space="0" w:color="000000"/>
              <w:right w:val="single" w:sz="4" w:space="0" w:color="000000"/>
            </w:tcBorders>
            <w:shd w:val="clear" w:color="auto" w:fill="auto"/>
            <w:noWrap/>
            <w:vAlign w:val="bottom"/>
            <w:hideMark/>
          </w:tcPr>
          <w:p w14:paraId="42F8BF8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488.49</w:t>
            </w:r>
          </w:p>
        </w:tc>
      </w:tr>
      <w:tr w:rsidR="00A0308E" w:rsidRPr="003B10E2" w14:paraId="16005679"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F6C627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Feida Environmental Science &amp;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C09AAD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369.25</w:t>
            </w:r>
          </w:p>
        </w:tc>
        <w:tc>
          <w:tcPr>
            <w:tcW w:w="957" w:type="dxa"/>
            <w:tcBorders>
              <w:top w:val="nil"/>
              <w:left w:val="nil"/>
              <w:bottom w:val="single" w:sz="4" w:space="0" w:color="000000"/>
              <w:right w:val="single" w:sz="4" w:space="0" w:color="000000"/>
            </w:tcBorders>
            <w:shd w:val="clear" w:color="auto" w:fill="auto"/>
            <w:noWrap/>
            <w:vAlign w:val="bottom"/>
            <w:hideMark/>
          </w:tcPr>
          <w:p w14:paraId="19EB1A6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4.82</w:t>
            </w:r>
          </w:p>
        </w:tc>
        <w:tc>
          <w:tcPr>
            <w:tcW w:w="1418" w:type="dxa"/>
            <w:tcBorders>
              <w:top w:val="nil"/>
              <w:left w:val="nil"/>
              <w:bottom w:val="single" w:sz="4" w:space="0" w:color="000000"/>
              <w:right w:val="single" w:sz="4" w:space="0" w:color="000000"/>
            </w:tcBorders>
            <w:shd w:val="clear" w:color="auto" w:fill="auto"/>
            <w:noWrap/>
            <w:vAlign w:val="bottom"/>
            <w:hideMark/>
          </w:tcPr>
          <w:p w14:paraId="6B617CD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18.39</w:t>
            </w:r>
          </w:p>
        </w:tc>
      </w:tr>
      <w:tr w:rsidR="00A0308E" w:rsidRPr="003B10E2" w14:paraId="086A2F8D"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602235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Fulai New Material,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B11BF9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255.93</w:t>
            </w:r>
          </w:p>
        </w:tc>
        <w:tc>
          <w:tcPr>
            <w:tcW w:w="957" w:type="dxa"/>
            <w:tcBorders>
              <w:top w:val="nil"/>
              <w:left w:val="nil"/>
              <w:bottom w:val="single" w:sz="4" w:space="0" w:color="000000"/>
              <w:right w:val="single" w:sz="4" w:space="0" w:color="000000"/>
            </w:tcBorders>
            <w:shd w:val="clear" w:color="auto" w:fill="auto"/>
            <w:noWrap/>
            <w:vAlign w:val="bottom"/>
            <w:hideMark/>
          </w:tcPr>
          <w:p w14:paraId="32EF72D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15.01</w:t>
            </w:r>
          </w:p>
        </w:tc>
        <w:tc>
          <w:tcPr>
            <w:tcW w:w="1418" w:type="dxa"/>
            <w:tcBorders>
              <w:top w:val="nil"/>
              <w:left w:val="nil"/>
              <w:bottom w:val="single" w:sz="4" w:space="0" w:color="000000"/>
              <w:right w:val="single" w:sz="4" w:space="0" w:color="000000"/>
            </w:tcBorders>
            <w:shd w:val="clear" w:color="auto" w:fill="auto"/>
            <w:noWrap/>
            <w:vAlign w:val="bottom"/>
            <w:hideMark/>
          </w:tcPr>
          <w:p w14:paraId="2715BFC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10.01</w:t>
            </w:r>
          </w:p>
        </w:tc>
      </w:tr>
      <w:tr w:rsidR="00A0308E" w:rsidRPr="003B10E2" w14:paraId="38FC788E"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CAEDEE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Furun Digital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BAB3ED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220.60</w:t>
            </w:r>
          </w:p>
        </w:tc>
        <w:tc>
          <w:tcPr>
            <w:tcW w:w="957" w:type="dxa"/>
            <w:tcBorders>
              <w:top w:val="nil"/>
              <w:left w:val="nil"/>
              <w:bottom w:val="single" w:sz="4" w:space="0" w:color="000000"/>
              <w:right w:val="single" w:sz="4" w:space="0" w:color="000000"/>
            </w:tcBorders>
            <w:shd w:val="clear" w:color="auto" w:fill="auto"/>
            <w:noWrap/>
            <w:vAlign w:val="bottom"/>
            <w:hideMark/>
          </w:tcPr>
          <w:p w14:paraId="43963A4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3.02</w:t>
            </w:r>
          </w:p>
        </w:tc>
        <w:tc>
          <w:tcPr>
            <w:tcW w:w="1418" w:type="dxa"/>
            <w:tcBorders>
              <w:top w:val="nil"/>
              <w:left w:val="nil"/>
              <w:bottom w:val="single" w:sz="4" w:space="0" w:color="000000"/>
              <w:right w:val="single" w:sz="4" w:space="0" w:color="000000"/>
            </w:tcBorders>
            <w:shd w:val="clear" w:color="auto" w:fill="auto"/>
            <w:noWrap/>
            <w:vAlign w:val="bottom"/>
            <w:hideMark/>
          </w:tcPr>
          <w:p w14:paraId="7546D23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19.39</w:t>
            </w:r>
          </w:p>
        </w:tc>
      </w:tr>
      <w:tr w:rsidR="00A0308E" w:rsidRPr="003B10E2" w14:paraId="1D44CFC0"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8A9A5F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Golden Eagle,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F4FFDE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274.60</w:t>
            </w:r>
          </w:p>
        </w:tc>
        <w:tc>
          <w:tcPr>
            <w:tcW w:w="957" w:type="dxa"/>
            <w:tcBorders>
              <w:top w:val="nil"/>
              <w:left w:val="nil"/>
              <w:bottom w:val="single" w:sz="4" w:space="0" w:color="000000"/>
              <w:right w:val="single" w:sz="4" w:space="0" w:color="000000"/>
            </w:tcBorders>
            <w:shd w:val="clear" w:color="auto" w:fill="auto"/>
            <w:noWrap/>
            <w:vAlign w:val="bottom"/>
            <w:hideMark/>
          </w:tcPr>
          <w:p w14:paraId="2ACC10E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5.38</w:t>
            </w:r>
          </w:p>
        </w:tc>
        <w:tc>
          <w:tcPr>
            <w:tcW w:w="1418" w:type="dxa"/>
            <w:tcBorders>
              <w:top w:val="nil"/>
              <w:left w:val="nil"/>
              <w:bottom w:val="single" w:sz="4" w:space="0" w:color="000000"/>
              <w:right w:val="single" w:sz="4" w:space="0" w:color="000000"/>
            </w:tcBorders>
            <w:shd w:val="clear" w:color="auto" w:fill="auto"/>
            <w:noWrap/>
            <w:vAlign w:val="bottom"/>
            <w:hideMark/>
          </w:tcPr>
          <w:p w14:paraId="71B08E0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12.55</w:t>
            </w:r>
          </w:p>
        </w:tc>
      </w:tr>
      <w:tr w:rsidR="00A0308E" w:rsidRPr="003B10E2" w14:paraId="35779671"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3E2B75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Goldensea Environment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B9F6B9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363.84</w:t>
            </w:r>
          </w:p>
        </w:tc>
        <w:tc>
          <w:tcPr>
            <w:tcW w:w="957" w:type="dxa"/>
            <w:tcBorders>
              <w:top w:val="nil"/>
              <w:left w:val="nil"/>
              <w:bottom w:val="single" w:sz="4" w:space="0" w:color="000000"/>
              <w:right w:val="single" w:sz="4" w:space="0" w:color="000000"/>
            </w:tcBorders>
            <w:shd w:val="clear" w:color="auto" w:fill="auto"/>
            <w:noWrap/>
            <w:vAlign w:val="bottom"/>
            <w:hideMark/>
          </w:tcPr>
          <w:p w14:paraId="0DEFD06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12.38</w:t>
            </w:r>
          </w:p>
        </w:tc>
        <w:tc>
          <w:tcPr>
            <w:tcW w:w="1418" w:type="dxa"/>
            <w:tcBorders>
              <w:top w:val="nil"/>
              <w:left w:val="nil"/>
              <w:bottom w:val="single" w:sz="4" w:space="0" w:color="000000"/>
              <w:right w:val="single" w:sz="4" w:space="0" w:color="000000"/>
            </w:tcBorders>
            <w:shd w:val="clear" w:color="auto" w:fill="auto"/>
            <w:noWrap/>
            <w:vAlign w:val="bottom"/>
            <w:hideMark/>
          </w:tcPr>
          <w:p w14:paraId="441A067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54.56</w:t>
            </w:r>
          </w:p>
        </w:tc>
      </w:tr>
      <w:tr w:rsidR="00A0308E" w:rsidRPr="003B10E2" w14:paraId="273E6D34"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7D34D4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Gongdong Medical Technology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047BF8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862.81</w:t>
            </w:r>
          </w:p>
        </w:tc>
        <w:tc>
          <w:tcPr>
            <w:tcW w:w="957" w:type="dxa"/>
            <w:tcBorders>
              <w:top w:val="nil"/>
              <w:left w:val="nil"/>
              <w:bottom w:val="single" w:sz="4" w:space="0" w:color="000000"/>
              <w:right w:val="single" w:sz="4" w:space="0" w:color="000000"/>
            </w:tcBorders>
            <w:shd w:val="clear" w:color="auto" w:fill="auto"/>
            <w:noWrap/>
            <w:vAlign w:val="bottom"/>
            <w:hideMark/>
          </w:tcPr>
          <w:p w14:paraId="2B8AB29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54.74</w:t>
            </w:r>
          </w:p>
        </w:tc>
        <w:tc>
          <w:tcPr>
            <w:tcW w:w="1418" w:type="dxa"/>
            <w:tcBorders>
              <w:top w:val="nil"/>
              <w:left w:val="nil"/>
              <w:bottom w:val="single" w:sz="4" w:space="0" w:color="000000"/>
              <w:right w:val="single" w:sz="4" w:space="0" w:color="000000"/>
            </w:tcBorders>
            <w:shd w:val="clear" w:color="auto" w:fill="auto"/>
            <w:noWrap/>
            <w:vAlign w:val="bottom"/>
            <w:hideMark/>
          </w:tcPr>
          <w:p w14:paraId="02F25F4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81.28</w:t>
            </w:r>
          </w:p>
        </w:tc>
      </w:tr>
      <w:tr w:rsidR="00A0308E" w:rsidRPr="003B10E2" w14:paraId="09AA64AB"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0F03D2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Grandwall Electric Science&amp;Technology,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B6618A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546.89</w:t>
            </w:r>
          </w:p>
        </w:tc>
        <w:tc>
          <w:tcPr>
            <w:tcW w:w="957" w:type="dxa"/>
            <w:tcBorders>
              <w:top w:val="nil"/>
              <w:left w:val="nil"/>
              <w:bottom w:val="single" w:sz="4" w:space="0" w:color="000000"/>
              <w:right w:val="single" w:sz="4" w:space="0" w:color="000000"/>
            </w:tcBorders>
            <w:shd w:val="clear" w:color="auto" w:fill="auto"/>
            <w:noWrap/>
            <w:vAlign w:val="bottom"/>
            <w:hideMark/>
          </w:tcPr>
          <w:p w14:paraId="56CC3CD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18.93</w:t>
            </w:r>
          </w:p>
        </w:tc>
        <w:tc>
          <w:tcPr>
            <w:tcW w:w="1418" w:type="dxa"/>
            <w:tcBorders>
              <w:top w:val="nil"/>
              <w:left w:val="nil"/>
              <w:bottom w:val="single" w:sz="4" w:space="0" w:color="000000"/>
              <w:right w:val="single" w:sz="4" w:space="0" w:color="000000"/>
            </w:tcBorders>
            <w:shd w:val="clear" w:color="auto" w:fill="auto"/>
            <w:noWrap/>
            <w:vAlign w:val="bottom"/>
            <w:hideMark/>
          </w:tcPr>
          <w:p w14:paraId="7448031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34.55</w:t>
            </w:r>
          </w:p>
        </w:tc>
      </w:tr>
      <w:tr w:rsidR="00A0308E" w:rsidRPr="003B10E2" w14:paraId="24275FDB"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8E49E4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Great Shengda Packaging,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599FA4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508.05</w:t>
            </w:r>
          </w:p>
        </w:tc>
        <w:tc>
          <w:tcPr>
            <w:tcW w:w="957" w:type="dxa"/>
            <w:tcBorders>
              <w:top w:val="nil"/>
              <w:left w:val="nil"/>
              <w:bottom w:val="single" w:sz="4" w:space="0" w:color="000000"/>
              <w:right w:val="single" w:sz="4" w:space="0" w:color="000000"/>
            </w:tcBorders>
            <w:shd w:val="clear" w:color="auto" w:fill="auto"/>
            <w:noWrap/>
            <w:vAlign w:val="bottom"/>
            <w:hideMark/>
          </w:tcPr>
          <w:p w14:paraId="1F23CE9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8.76</w:t>
            </w:r>
          </w:p>
        </w:tc>
        <w:tc>
          <w:tcPr>
            <w:tcW w:w="1418" w:type="dxa"/>
            <w:tcBorders>
              <w:top w:val="nil"/>
              <w:left w:val="nil"/>
              <w:bottom w:val="single" w:sz="4" w:space="0" w:color="000000"/>
              <w:right w:val="single" w:sz="4" w:space="0" w:color="000000"/>
            </w:tcBorders>
            <w:shd w:val="clear" w:color="auto" w:fill="auto"/>
            <w:noWrap/>
            <w:vAlign w:val="bottom"/>
            <w:hideMark/>
          </w:tcPr>
          <w:p w14:paraId="3BB8307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32.93</w:t>
            </w:r>
          </w:p>
        </w:tc>
      </w:tr>
      <w:tr w:rsidR="00A0308E" w:rsidRPr="003B10E2" w14:paraId="4222F782"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5951141"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Zhejiang Guangsha,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12C3A30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536.37</w:t>
            </w:r>
          </w:p>
        </w:tc>
        <w:tc>
          <w:tcPr>
            <w:tcW w:w="957" w:type="dxa"/>
            <w:tcBorders>
              <w:top w:val="nil"/>
              <w:left w:val="nil"/>
              <w:bottom w:val="single" w:sz="4" w:space="0" w:color="000000"/>
              <w:right w:val="single" w:sz="4" w:space="0" w:color="000000"/>
            </w:tcBorders>
            <w:shd w:val="clear" w:color="auto" w:fill="auto"/>
            <w:noWrap/>
            <w:vAlign w:val="bottom"/>
            <w:hideMark/>
          </w:tcPr>
          <w:p w14:paraId="7652617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4.54</w:t>
            </w:r>
          </w:p>
        </w:tc>
        <w:tc>
          <w:tcPr>
            <w:tcW w:w="1418" w:type="dxa"/>
            <w:tcBorders>
              <w:top w:val="nil"/>
              <w:left w:val="nil"/>
              <w:bottom w:val="single" w:sz="4" w:space="0" w:color="000000"/>
              <w:right w:val="single" w:sz="4" w:space="0" w:color="000000"/>
            </w:tcBorders>
            <w:shd w:val="clear" w:color="auto" w:fill="auto"/>
            <w:noWrap/>
            <w:vAlign w:val="bottom"/>
            <w:hideMark/>
          </w:tcPr>
          <w:p w14:paraId="5172F4B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33.64</w:t>
            </w:r>
          </w:p>
        </w:tc>
      </w:tr>
      <w:tr w:rsidR="00A0308E" w:rsidRPr="003B10E2" w14:paraId="17CD1A74"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27E06B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Guyuelongshan Shaoxing Wine,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7D3DE0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1 333.09</w:t>
            </w:r>
          </w:p>
        </w:tc>
        <w:tc>
          <w:tcPr>
            <w:tcW w:w="957" w:type="dxa"/>
            <w:tcBorders>
              <w:top w:val="nil"/>
              <w:left w:val="nil"/>
              <w:bottom w:val="single" w:sz="4" w:space="0" w:color="000000"/>
              <w:right w:val="single" w:sz="4" w:space="0" w:color="000000"/>
            </w:tcBorders>
            <w:shd w:val="clear" w:color="auto" w:fill="auto"/>
            <w:noWrap/>
            <w:vAlign w:val="bottom"/>
            <w:hideMark/>
          </w:tcPr>
          <w:p w14:paraId="25F902E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10.45</w:t>
            </w:r>
          </w:p>
        </w:tc>
        <w:tc>
          <w:tcPr>
            <w:tcW w:w="1418" w:type="dxa"/>
            <w:tcBorders>
              <w:top w:val="nil"/>
              <w:left w:val="nil"/>
              <w:bottom w:val="single" w:sz="4" w:space="0" w:color="000000"/>
              <w:right w:val="single" w:sz="4" w:space="0" w:color="000000"/>
            </w:tcBorders>
            <w:shd w:val="clear" w:color="auto" w:fill="auto"/>
            <w:noWrap/>
            <w:vAlign w:val="bottom"/>
            <w:hideMark/>
          </w:tcPr>
          <w:p w14:paraId="5CF0AA9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410.88</w:t>
            </w:r>
          </w:p>
        </w:tc>
      </w:tr>
      <w:tr w:rsidR="00A0308E" w:rsidRPr="003B10E2" w14:paraId="53614D6C"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27CA57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Haiyan Power System Resources,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2E3969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125.46</w:t>
            </w:r>
          </w:p>
        </w:tc>
        <w:tc>
          <w:tcPr>
            <w:tcW w:w="957" w:type="dxa"/>
            <w:tcBorders>
              <w:top w:val="nil"/>
              <w:left w:val="nil"/>
              <w:bottom w:val="single" w:sz="4" w:space="0" w:color="000000"/>
              <w:right w:val="single" w:sz="4" w:space="0" w:color="000000"/>
            </w:tcBorders>
            <w:shd w:val="clear" w:color="auto" w:fill="auto"/>
            <w:noWrap/>
            <w:vAlign w:val="bottom"/>
            <w:hideMark/>
          </w:tcPr>
          <w:p w14:paraId="20154E6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7.95</w:t>
            </w:r>
          </w:p>
        </w:tc>
        <w:tc>
          <w:tcPr>
            <w:tcW w:w="1418" w:type="dxa"/>
            <w:tcBorders>
              <w:top w:val="nil"/>
              <w:left w:val="nil"/>
              <w:bottom w:val="single" w:sz="4" w:space="0" w:color="000000"/>
              <w:right w:val="single" w:sz="4" w:space="0" w:color="000000"/>
            </w:tcBorders>
            <w:shd w:val="clear" w:color="auto" w:fill="auto"/>
            <w:noWrap/>
            <w:vAlign w:val="bottom"/>
            <w:hideMark/>
          </w:tcPr>
          <w:p w14:paraId="6C6E027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20.52</w:t>
            </w:r>
          </w:p>
        </w:tc>
      </w:tr>
      <w:tr w:rsidR="00A0308E" w:rsidRPr="003B10E2" w14:paraId="45CAC7EF"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6E3F91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HangKe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2D7741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1 705.89</w:t>
            </w:r>
          </w:p>
        </w:tc>
        <w:tc>
          <w:tcPr>
            <w:tcW w:w="957" w:type="dxa"/>
            <w:tcBorders>
              <w:top w:val="nil"/>
              <w:left w:val="nil"/>
              <w:bottom w:val="single" w:sz="4" w:space="0" w:color="000000"/>
              <w:right w:val="single" w:sz="4" w:space="0" w:color="000000"/>
            </w:tcBorders>
            <w:shd w:val="clear" w:color="auto" w:fill="auto"/>
            <w:noWrap/>
            <w:vAlign w:val="bottom"/>
            <w:hideMark/>
          </w:tcPr>
          <w:p w14:paraId="1E8D91E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30.24</w:t>
            </w:r>
          </w:p>
        </w:tc>
        <w:tc>
          <w:tcPr>
            <w:tcW w:w="1418" w:type="dxa"/>
            <w:tcBorders>
              <w:top w:val="nil"/>
              <w:left w:val="nil"/>
              <w:bottom w:val="single" w:sz="4" w:space="0" w:color="000000"/>
              <w:right w:val="single" w:sz="4" w:space="0" w:color="000000"/>
            </w:tcBorders>
            <w:shd w:val="clear" w:color="auto" w:fill="auto"/>
            <w:noWrap/>
            <w:vAlign w:val="bottom"/>
            <w:hideMark/>
          </w:tcPr>
          <w:p w14:paraId="382385A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77.53</w:t>
            </w:r>
          </w:p>
        </w:tc>
      </w:tr>
      <w:tr w:rsidR="00A0308E" w:rsidRPr="003B10E2" w14:paraId="605A032E"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F64F01F"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Zhejiang Hangmin,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2E5C960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1 100.01</w:t>
            </w:r>
          </w:p>
        </w:tc>
        <w:tc>
          <w:tcPr>
            <w:tcW w:w="957" w:type="dxa"/>
            <w:tcBorders>
              <w:top w:val="nil"/>
              <w:left w:val="nil"/>
              <w:bottom w:val="single" w:sz="4" w:space="0" w:color="000000"/>
              <w:right w:val="single" w:sz="4" w:space="0" w:color="000000"/>
            </w:tcBorders>
            <w:shd w:val="clear" w:color="auto" w:fill="auto"/>
            <w:noWrap/>
            <w:vAlign w:val="bottom"/>
            <w:hideMark/>
          </w:tcPr>
          <w:p w14:paraId="30F3557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7.48</w:t>
            </w:r>
          </w:p>
        </w:tc>
        <w:tc>
          <w:tcPr>
            <w:tcW w:w="1418" w:type="dxa"/>
            <w:tcBorders>
              <w:top w:val="nil"/>
              <w:left w:val="nil"/>
              <w:bottom w:val="single" w:sz="4" w:space="0" w:color="000000"/>
              <w:right w:val="single" w:sz="4" w:space="0" w:color="000000"/>
            </w:tcBorders>
            <w:shd w:val="clear" w:color="auto" w:fill="auto"/>
            <w:noWrap/>
            <w:vAlign w:val="bottom"/>
            <w:hideMark/>
          </w:tcPr>
          <w:p w14:paraId="0221A8E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33.84</w:t>
            </w:r>
          </w:p>
        </w:tc>
      </w:tr>
      <w:tr w:rsidR="00A0308E" w:rsidRPr="003B10E2" w14:paraId="3F9D1F89"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838E44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Hechuan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99BB16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24F2467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35.66</w:t>
            </w:r>
          </w:p>
        </w:tc>
        <w:tc>
          <w:tcPr>
            <w:tcW w:w="1418" w:type="dxa"/>
            <w:tcBorders>
              <w:top w:val="nil"/>
              <w:left w:val="nil"/>
              <w:bottom w:val="single" w:sz="4" w:space="0" w:color="000000"/>
              <w:right w:val="single" w:sz="4" w:space="0" w:color="000000"/>
            </w:tcBorders>
            <w:shd w:val="clear" w:color="auto" w:fill="auto"/>
            <w:noWrap/>
            <w:vAlign w:val="bottom"/>
            <w:hideMark/>
          </w:tcPr>
          <w:p w14:paraId="7D87037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52.80</w:t>
            </w:r>
          </w:p>
        </w:tc>
      </w:tr>
      <w:tr w:rsidR="00A0308E" w:rsidRPr="003B10E2" w14:paraId="48C85146"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9CF97E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Heda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C021C5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273.69</w:t>
            </w:r>
          </w:p>
        </w:tc>
        <w:tc>
          <w:tcPr>
            <w:tcW w:w="957" w:type="dxa"/>
            <w:tcBorders>
              <w:top w:val="nil"/>
              <w:left w:val="nil"/>
              <w:bottom w:val="single" w:sz="4" w:space="0" w:color="000000"/>
              <w:right w:val="single" w:sz="4" w:space="0" w:color="000000"/>
            </w:tcBorders>
            <w:shd w:val="clear" w:color="auto" w:fill="auto"/>
            <w:noWrap/>
            <w:vAlign w:val="bottom"/>
            <w:hideMark/>
          </w:tcPr>
          <w:p w14:paraId="7805A5F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18.21</w:t>
            </w:r>
          </w:p>
        </w:tc>
        <w:tc>
          <w:tcPr>
            <w:tcW w:w="1418" w:type="dxa"/>
            <w:tcBorders>
              <w:top w:val="nil"/>
              <w:left w:val="nil"/>
              <w:bottom w:val="single" w:sz="4" w:space="0" w:color="000000"/>
              <w:right w:val="single" w:sz="4" w:space="0" w:color="000000"/>
            </w:tcBorders>
            <w:shd w:val="clear" w:color="auto" w:fill="auto"/>
            <w:noWrap/>
            <w:vAlign w:val="bottom"/>
            <w:hideMark/>
          </w:tcPr>
          <w:p w14:paraId="0BBC104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17.65</w:t>
            </w:r>
          </w:p>
        </w:tc>
      </w:tr>
      <w:tr w:rsidR="00A0308E" w:rsidRPr="003B10E2" w14:paraId="79778F16"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7E2C51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Hisun Biomaterials,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1AFFB5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374924D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13.54</w:t>
            </w:r>
          </w:p>
        </w:tc>
        <w:tc>
          <w:tcPr>
            <w:tcW w:w="1418" w:type="dxa"/>
            <w:tcBorders>
              <w:top w:val="nil"/>
              <w:left w:val="nil"/>
              <w:bottom w:val="single" w:sz="4" w:space="0" w:color="000000"/>
              <w:right w:val="single" w:sz="4" w:space="0" w:color="000000"/>
            </w:tcBorders>
            <w:shd w:val="clear" w:color="auto" w:fill="auto"/>
            <w:noWrap/>
            <w:vAlign w:val="bottom"/>
            <w:hideMark/>
          </w:tcPr>
          <w:p w14:paraId="0C176B2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9.00</w:t>
            </w:r>
          </w:p>
        </w:tc>
      </w:tr>
      <w:tr w:rsidR="00A0308E" w:rsidRPr="003B10E2" w14:paraId="681CA5B0" w14:textId="77777777" w:rsidTr="00A0308E">
        <w:trPr>
          <w:trHeight w:val="300"/>
        </w:trPr>
        <w:tc>
          <w:tcPr>
            <w:tcW w:w="4815" w:type="dxa"/>
            <w:tcBorders>
              <w:top w:val="nil"/>
              <w:left w:val="single" w:sz="4" w:space="0" w:color="000000"/>
              <w:bottom w:val="single" w:sz="4" w:space="0" w:color="auto"/>
              <w:right w:val="single" w:sz="4" w:space="0" w:color="000000"/>
            </w:tcBorders>
            <w:shd w:val="clear" w:color="auto" w:fill="auto"/>
            <w:noWrap/>
            <w:vAlign w:val="bottom"/>
            <w:hideMark/>
          </w:tcPr>
          <w:p w14:paraId="7AB934D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Hisun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auto"/>
              <w:right w:val="single" w:sz="4" w:space="0" w:color="000000"/>
            </w:tcBorders>
            <w:shd w:val="clear" w:color="auto" w:fill="auto"/>
            <w:noWrap/>
            <w:vAlign w:val="bottom"/>
            <w:hideMark/>
          </w:tcPr>
          <w:p w14:paraId="2E2D84C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1 924.90</w:t>
            </w:r>
          </w:p>
        </w:tc>
        <w:tc>
          <w:tcPr>
            <w:tcW w:w="957" w:type="dxa"/>
            <w:tcBorders>
              <w:top w:val="nil"/>
              <w:left w:val="nil"/>
              <w:bottom w:val="single" w:sz="4" w:space="0" w:color="auto"/>
              <w:right w:val="single" w:sz="4" w:space="0" w:color="000000"/>
            </w:tcBorders>
            <w:shd w:val="clear" w:color="auto" w:fill="auto"/>
            <w:noWrap/>
            <w:vAlign w:val="bottom"/>
            <w:hideMark/>
          </w:tcPr>
          <w:p w14:paraId="234AE02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11.50</w:t>
            </w:r>
          </w:p>
        </w:tc>
        <w:tc>
          <w:tcPr>
            <w:tcW w:w="1418" w:type="dxa"/>
            <w:tcBorders>
              <w:top w:val="nil"/>
              <w:left w:val="nil"/>
              <w:bottom w:val="single" w:sz="4" w:space="0" w:color="auto"/>
              <w:right w:val="single" w:sz="4" w:space="0" w:color="000000"/>
            </w:tcBorders>
            <w:shd w:val="clear" w:color="auto" w:fill="auto"/>
            <w:noWrap/>
            <w:vAlign w:val="bottom"/>
            <w:hideMark/>
          </w:tcPr>
          <w:p w14:paraId="0A86955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84.53</w:t>
            </w:r>
          </w:p>
        </w:tc>
      </w:tr>
      <w:tr w:rsidR="00A0308E" w:rsidRPr="003B10E2" w14:paraId="65AE3947"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D44C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Huada New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4591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541.80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A962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03FD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28.48</w:t>
            </w:r>
          </w:p>
        </w:tc>
      </w:tr>
      <w:tr w:rsidR="00A0308E" w:rsidRPr="003B10E2" w14:paraId="1A13CBB8" w14:textId="77777777" w:rsidTr="00A0308E">
        <w:trPr>
          <w:trHeight w:val="300"/>
        </w:trPr>
        <w:tc>
          <w:tcPr>
            <w:tcW w:w="481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7D843A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Huahai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nil"/>
              <w:bottom w:val="single" w:sz="4" w:space="0" w:color="000000"/>
              <w:right w:val="single" w:sz="4" w:space="0" w:color="000000"/>
            </w:tcBorders>
            <w:shd w:val="clear" w:color="auto" w:fill="auto"/>
            <w:noWrap/>
            <w:vAlign w:val="bottom"/>
            <w:hideMark/>
          </w:tcPr>
          <w:p w14:paraId="6EA7C52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3 764.10</w:t>
            </w:r>
          </w:p>
        </w:tc>
        <w:tc>
          <w:tcPr>
            <w:tcW w:w="957" w:type="dxa"/>
            <w:tcBorders>
              <w:top w:val="single" w:sz="4" w:space="0" w:color="auto"/>
              <w:left w:val="nil"/>
              <w:bottom w:val="single" w:sz="4" w:space="0" w:color="000000"/>
              <w:right w:val="single" w:sz="4" w:space="0" w:color="000000"/>
            </w:tcBorders>
            <w:shd w:val="clear" w:color="auto" w:fill="auto"/>
            <w:noWrap/>
            <w:vAlign w:val="bottom"/>
            <w:hideMark/>
          </w:tcPr>
          <w:p w14:paraId="3543CD4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18.03</w:t>
            </w:r>
          </w:p>
        </w:tc>
        <w:tc>
          <w:tcPr>
            <w:tcW w:w="1418" w:type="dxa"/>
            <w:tcBorders>
              <w:top w:val="single" w:sz="4" w:space="0" w:color="auto"/>
              <w:left w:val="nil"/>
              <w:bottom w:val="single" w:sz="4" w:space="0" w:color="000000"/>
              <w:right w:val="single" w:sz="4" w:space="0" w:color="000000"/>
            </w:tcBorders>
            <w:shd w:val="clear" w:color="auto" w:fill="auto"/>
            <w:noWrap/>
            <w:vAlign w:val="bottom"/>
            <w:hideMark/>
          </w:tcPr>
          <w:p w14:paraId="0525E6C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96.21</w:t>
            </w:r>
          </w:p>
        </w:tc>
      </w:tr>
      <w:tr w:rsidR="00A0308E" w:rsidRPr="003B10E2" w14:paraId="451BA4B3"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47B20B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Huakang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2A3FD2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586.69</w:t>
            </w:r>
          </w:p>
        </w:tc>
        <w:tc>
          <w:tcPr>
            <w:tcW w:w="957" w:type="dxa"/>
            <w:tcBorders>
              <w:top w:val="nil"/>
              <w:left w:val="nil"/>
              <w:bottom w:val="single" w:sz="4" w:space="0" w:color="000000"/>
              <w:right w:val="single" w:sz="4" w:space="0" w:color="000000"/>
            </w:tcBorders>
            <w:shd w:val="clear" w:color="auto" w:fill="auto"/>
            <w:noWrap/>
            <w:vAlign w:val="bottom"/>
            <w:hideMark/>
          </w:tcPr>
          <w:p w14:paraId="6832A83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25.69</w:t>
            </w:r>
          </w:p>
        </w:tc>
        <w:tc>
          <w:tcPr>
            <w:tcW w:w="1418" w:type="dxa"/>
            <w:tcBorders>
              <w:top w:val="nil"/>
              <w:left w:val="nil"/>
              <w:bottom w:val="single" w:sz="4" w:space="0" w:color="000000"/>
              <w:right w:val="single" w:sz="4" w:space="0" w:color="000000"/>
            </w:tcBorders>
            <w:shd w:val="clear" w:color="auto" w:fill="auto"/>
            <w:noWrap/>
            <w:vAlign w:val="bottom"/>
            <w:hideMark/>
          </w:tcPr>
          <w:p w14:paraId="7A6D106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16.44</w:t>
            </w:r>
          </w:p>
        </w:tc>
      </w:tr>
      <w:tr w:rsidR="00A0308E" w:rsidRPr="003B10E2" w14:paraId="7A3F2FFD"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08A39F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Huangma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1DEE23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827.17</w:t>
            </w:r>
          </w:p>
        </w:tc>
        <w:tc>
          <w:tcPr>
            <w:tcW w:w="957" w:type="dxa"/>
            <w:tcBorders>
              <w:top w:val="nil"/>
              <w:left w:val="nil"/>
              <w:bottom w:val="single" w:sz="4" w:space="0" w:color="000000"/>
              <w:right w:val="single" w:sz="4" w:space="0" w:color="000000"/>
            </w:tcBorders>
            <w:shd w:val="clear" w:color="auto" w:fill="auto"/>
            <w:noWrap/>
            <w:vAlign w:val="bottom"/>
            <w:hideMark/>
          </w:tcPr>
          <w:p w14:paraId="3E99533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10.04</w:t>
            </w:r>
          </w:p>
        </w:tc>
        <w:tc>
          <w:tcPr>
            <w:tcW w:w="1418" w:type="dxa"/>
            <w:tcBorders>
              <w:top w:val="nil"/>
              <w:left w:val="nil"/>
              <w:bottom w:val="single" w:sz="4" w:space="0" w:color="000000"/>
              <w:right w:val="single" w:sz="4" w:space="0" w:color="000000"/>
            </w:tcBorders>
            <w:shd w:val="clear" w:color="auto" w:fill="auto"/>
            <w:noWrap/>
            <w:vAlign w:val="bottom"/>
            <w:hideMark/>
          </w:tcPr>
          <w:p w14:paraId="1B1B1D4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19.39</w:t>
            </w:r>
          </w:p>
        </w:tc>
      </w:tr>
      <w:tr w:rsidR="00A0308E" w:rsidRPr="003B10E2" w14:paraId="19C8F5BF"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520FF22"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Zhejiang Huasheng,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3DE8AFD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181.09</w:t>
            </w:r>
          </w:p>
        </w:tc>
        <w:tc>
          <w:tcPr>
            <w:tcW w:w="957" w:type="dxa"/>
            <w:tcBorders>
              <w:top w:val="nil"/>
              <w:left w:val="nil"/>
              <w:bottom w:val="single" w:sz="4" w:space="0" w:color="000000"/>
              <w:right w:val="single" w:sz="4" w:space="0" w:color="000000"/>
            </w:tcBorders>
            <w:shd w:val="clear" w:color="auto" w:fill="auto"/>
            <w:noWrap/>
            <w:vAlign w:val="bottom"/>
            <w:hideMark/>
          </w:tcPr>
          <w:p w14:paraId="22AF9C6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12.94</w:t>
            </w:r>
          </w:p>
        </w:tc>
        <w:tc>
          <w:tcPr>
            <w:tcW w:w="1418" w:type="dxa"/>
            <w:tcBorders>
              <w:top w:val="nil"/>
              <w:left w:val="nil"/>
              <w:bottom w:val="single" w:sz="4" w:space="0" w:color="000000"/>
              <w:right w:val="single" w:sz="4" w:space="0" w:color="000000"/>
            </w:tcBorders>
            <w:shd w:val="clear" w:color="auto" w:fill="auto"/>
            <w:noWrap/>
            <w:vAlign w:val="bottom"/>
            <w:hideMark/>
          </w:tcPr>
          <w:p w14:paraId="46111E6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56.38</w:t>
            </w:r>
          </w:p>
        </w:tc>
      </w:tr>
      <w:tr w:rsidR="00A0308E" w:rsidRPr="003B10E2" w14:paraId="496A9745"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D88521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Huatie Emergency Equipment Science &amp;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1C11A1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696.77</w:t>
            </w:r>
          </w:p>
        </w:tc>
        <w:tc>
          <w:tcPr>
            <w:tcW w:w="957" w:type="dxa"/>
            <w:tcBorders>
              <w:top w:val="nil"/>
              <w:left w:val="nil"/>
              <w:bottom w:val="single" w:sz="4" w:space="0" w:color="000000"/>
              <w:right w:val="single" w:sz="4" w:space="0" w:color="000000"/>
            </w:tcBorders>
            <w:shd w:val="clear" w:color="auto" w:fill="auto"/>
            <w:noWrap/>
            <w:vAlign w:val="bottom"/>
            <w:hideMark/>
          </w:tcPr>
          <w:p w14:paraId="6811A10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5.52</w:t>
            </w:r>
          </w:p>
        </w:tc>
        <w:tc>
          <w:tcPr>
            <w:tcW w:w="1418" w:type="dxa"/>
            <w:tcBorders>
              <w:top w:val="nil"/>
              <w:left w:val="nil"/>
              <w:bottom w:val="single" w:sz="4" w:space="0" w:color="000000"/>
              <w:right w:val="single" w:sz="4" w:space="0" w:color="000000"/>
            </w:tcBorders>
            <w:shd w:val="clear" w:color="auto" w:fill="auto"/>
            <w:noWrap/>
            <w:vAlign w:val="bottom"/>
            <w:hideMark/>
          </w:tcPr>
          <w:p w14:paraId="075B020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34.68</w:t>
            </w:r>
          </w:p>
        </w:tc>
      </w:tr>
      <w:tr w:rsidR="00A0308E" w:rsidRPr="003B10E2" w14:paraId="26C09075"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93A1726"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Zhejiang Huayou Cobalt,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6496C18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8 160.30</w:t>
            </w:r>
          </w:p>
        </w:tc>
        <w:tc>
          <w:tcPr>
            <w:tcW w:w="957" w:type="dxa"/>
            <w:tcBorders>
              <w:top w:val="nil"/>
              <w:left w:val="nil"/>
              <w:bottom w:val="single" w:sz="4" w:space="0" w:color="000000"/>
              <w:right w:val="single" w:sz="4" w:space="0" w:color="000000"/>
            </w:tcBorders>
            <w:shd w:val="clear" w:color="auto" w:fill="auto"/>
            <w:noWrap/>
            <w:vAlign w:val="bottom"/>
            <w:hideMark/>
          </w:tcPr>
          <w:p w14:paraId="068C39A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47.74</w:t>
            </w:r>
          </w:p>
        </w:tc>
        <w:tc>
          <w:tcPr>
            <w:tcW w:w="1418" w:type="dxa"/>
            <w:tcBorders>
              <w:top w:val="nil"/>
              <w:left w:val="nil"/>
              <w:bottom w:val="single" w:sz="4" w:space="0" w:color="000000"/>
              <w:right w:val="single" w:sz="4" w:space="0" w:color="000000"/>
            </w:tcBorders>
            <w:shd w:val="clear" w:color="auto" w:fill="auto"/>
            <w:noWrap/>
            <w:vAlign w:val="bottom"/>
            <w:hideMark/>
          </w:tcPr>
          <w:p w14:paraId="4C8BB58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518.77</w:t>
            </w:r>
          </w:p>
        </w:tc>
      </w:tr>
      <w:tr w:rsidR="00A0308E" w:rsidRPr="003B10E2" w14:paraId="124F7417"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4728EC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Huge Leaf,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9DB491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1 081.61</w:t>
            </w:r>
          </w:p>
        </w:tc>
        <w:tc>
          <w:tcPr>
            <w:tcW w:w="957" w:type="dxa"/>
            <w:tcBorders>
              <w:top w:val="nil"/>
              <w:left w:val="nil"/>
              <w:bottom w:val="single" w:sz="4" w:space="0" w:color="000000"/>
              <w:right w:val="single" w:sz="4" w:space="0" w:color="000000"/>
            </w:tcBorders>
            <w:shd w:val="clear" w:color="auto" w:fill="auto"/>
            <w:noWrap/>
            <w:vAlign w:val="bottom"/>
            <w:hideMark/>
          </w:tcPr>
          <w:p w14:paraId="6C8F11E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2.47</w:t>
            </w:r>
          </w:p>
        </w:tc>
        <w:tc>
          <w:tcPr>
            <w:tcW w:w="1418" w:type="dxa"/>
            <w:tcBorders>
              <w:top w:val="nil"/>
              <w:left w:val="nil"/>
              <w:bottom w:val="single" w:sz="4" w:space="0" w:color="000000"/>
              <w:right w:val="single" w:sz="4" w:space="0" w:color="000000"/>
            </w:tcBorders>
            <w:shd w:val="clear" w:color="auto" w:fill="auto"/>
            <w:noWrap/>
            <w:vAlign w:val="bottom"/>
            <w:hideMark/>
          </w:tcPr>
          <w:p w14:paraId="47AEA72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26.73</w:t>
            </w:r>
          </w:p>
        </w:tc>
      </w:tr>
      <w:tr w:rsidR="00A0308E" w:rsidRPr="003B10E2" w14:paraId="6D87071D"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D253F9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Jasan Holding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90473C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449.83</w:t>
            </w:r>
          </w:p>
        </w:tc>
        <w:tc>
          <w:tcPr>
            <w:tcW w:w="957" w:type="dxa"/>
            <w:tcBorders>
              <w:top w:val="nil"/>
              <w:left w:val="nil"/>
              <w:bottom w:val="single" w:sz="4" w:space="0" w:color="000000"/>
              <w:right w:val="single" w:sz="4" w:space="0" w:color="000000"/>
            </w:tcBorders>
            <w:shd w:val="clear" w:color="auto" w:fill="auto"/>
            <w:noWrap/>
            <w:vAlign w:val="bottom"/>
            <w:hideMark/>
          </w:tcPr>
          <w:p w14:paraId="6ADA1B1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8.18</w:t>
            </w:r>
          </w:p>
        </w:tc>
        <w:tc>
          <w:tcPr>
            <w:tcW w:w="1418" w:type="dxa"/>
            <w:tcBorders>
              <w:top w:val="nil"/>
              <w:left w:val="nil"/>
              <w:bottom w:val="single" w:sz="4" w:space="0" w:color="000000"/>
              <w:right w:val="single" w:sz="4" w:space="0" w:color="000000"/>
            </w:tcBorders>
            <w:shd w:val="clear" w:color="auto" w:fill="auto"/>
            <w:noWrap/>
            <w:vAlign w:val="bottom"/>
            <w:hideMark/>
          </w:tcPr>
          <w:p w14:paraId="4C4E28F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16.26</w:t>
            </w:r>
          </w:p>
        </w:tc>
      </w:tr>
      <w:tr w:rsidR="00A0308E" w:rsidRPr="003B10E2" w14:paraId="42B5B9C0"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028CCE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Jiaao Enprotech,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848E2E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302.67</w:t>
            </w:r>
          </w:p>
        </w:tc>
        <w:tc>
          <w:tcPr>
            <w:tcW w:w="957" w:type="dxa"/>
            <w:tcBorders>
              <w:top w:val="nil"/>
              <w:left w:val="nil"/>
              <w:bottom w:val="single" w:sz="4" w:space="0" w:color="000000"/>
              <w:right w:val="single" w:sz="4" w:space="0" w:color="000000"/>
            </w:tcBorders>
            <w:shd w:val="clear" w:color="auto" w:fill="auto"/>
            <w:noWrap/>
            <w:vAlign w:val="bottom"/>
            <w:hideMark/>
          </w:tcPr>
          <w:p w14:paraId="4F367C6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29.48</w:t>
            </w:r>
          </w:p>
        </w:tc>
        <w:tc>
          <w:tcPr>
            <w:tcW w:w="1418" w:type="dxa"/>
            <w:tcBorders>
              <w:top w:val="nil"/>
              <w:left w:val="nil"/>
              <w:bottom w:val="single" w:sz="4" w:space="0" w:color="000000"/>
              <w:right w:val="single" w:sz="4" w:space="0" w:color="000000"/>
            </w:tcBorders>
            <w:shd w:val="clear" w:color="auto" w:fill="auto"/>
            <w:noWrap/>
            <w:vAlign w:val="bottom"/>
            <w:hideMark/>
          </w:tcPr>
          <w:p w14:paraId="78507C1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9.73</w:t>
            </w:r>
          </w:p>
        </w:tc>
      </w:tr>
      <w:tr w:rsidR="00A0308E" w:rsidRPr="003B10E2" w14:paraId="2EB872DA"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0A3DF8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Jiahua Energy Chemical,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9C323A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1 792.51</w:t>
            </w:r>
          </w:p>
        </w:tc>
        <w:tc>
          <w:tcPr>
            <w:tcW w:w="957" w:type="dxa"/>
            <w:tcBorders>
              <w:top w:val="nil"/>
              <w:left w:val="nil"/>
              <w:bottom w:val="single" w:sz="4" w:space="0" w:color="000000"/>
              <w:right w:val="single" w:sz="4" w:space="0" w:color="000000"/>
            </w:tcBorders>
            <w:shd w:val="clear" w:color="auto" w:fill="auto"/>
            <w:noWrap/>
            <w:vAlign w:val="bottom"/>
            <w:hideMark/>
          </w:tcPr>
          <w:p w14:paraId="0E3B567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9.02</w:t>
            </w:r>
          </w:p>
        </w:tc>
        <w:tc>
          <w:tcPr>
            <w:tcW w:w="1418" w:type="dxa"/>
            <w:tcBorders>
              <w:top w:val="nil"/>
              <w:left w:val="nil"/>
              <w:bottom w:val="single" w:sz="4" w:space="0" w:color="000000"/>
              <w:right w:val="single" w:sz="4" w:space="0" w:color="000000"/>
            </w:tcBorders>
            <w:shd w:val="clear" w:color="auto" w:fill="auto"/>
            <w:noWrap/>
            <w:vAlign w:val="bottom"/>
            <w:hideMark/>
          </w:tcPr>
          <w:p w14:paraId="1571182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88.46</w:t>
            </w:r>
          </w:p>
        </w:tc>
      </w:tr>
      <w:tr w:rsidR="00A0308E" w:rsidRPr="003B10E2" w14:paraId="68B4D1B4"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51AD12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Jianfeng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0D6118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551.84</w:t>
            </w:r>
          </w:p>
        </w:tc>
        <w:tc>
          <w:tcPr>
            <w:tcW w:w="957" w:type="dxa"/>
            <w:tcBorders>
              <w:top w:val="nil"/>
              <w:left w:val="nil"/>
              <w:bottom w:val="single" w:sz="4" w:space="0" w:color="000000"/>
              <w:right w:val="single" w:sz="4" w:space="0" w:color="000000"/>
            </w:tcBorders>
            <w:shd w:val="clear" w:color="auto" w:fill="auto"/>
            <w:noWrap/>
            <w:vAlign w:val="bottom"/>
            <w:hideMark/>
          </w:tcPr>
          <w:p w14:paraId="4F6BD5A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11.46</w:t>
            </w:r>
          </w:p>
        </w:tc>
        <w:tc>
          <w:tcPr>
            <w:tcW w:w="1418" w:type="dxa"/>
            <w:tcBorders>
              <w:top w:val="nil"/>
              <w:left w:val="nil"/>
              <w:bottom w:val="single" w:sz="4" w:space="0" w:color="000000"/>
              <w:right w:val="single" w:sz="4" w:space="0" w:color="000000"/>
            </w:tcBorders>
            <w:shd w:val="clear" w:color="auto" w:fill="auto"/>
            <w:noWrap/>
            <w:vAlign w:val="bottom"/>
            <w:hideMark/>
          </w:tcPr>
          <w:p w14:paraId="76EFCDB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16.82</w:t>
            </w:r>
          </w:p>
        </w:tc>
      </w:tr>
      <w:tr w:rsidR="00A0308E" w:rsidRPr="003B10E2" w14:paraId="557236D3"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BDDE4F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Jianye Chemical,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AA4E9B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463.51</w:t>
            </w:r>
          </w:p>
        </w:tc>
        <w:tc>
          <w:tcPr>
            <w:tcW w:w="957" w:type="dxa"/>
            <w:tcBorders>
              <w:top w:val="nil"/>
              <w:left w:val="nil"/>
              <w:bottom w:val="single" w:sz="4" w:space="0" w:color="000000"/>
              <w:right w:val="single" w:sz="4" w:space="0" w:color="000000"/>
            </w:tcBorders>
            <w:shd w:val="clear" w:color="auto" w:fill="auto"/>
            <w:noWrap/>
            <w:vAlign w:val="bottom"/>
            <w:hideMark/>
          </w:tcPr>
          <w:p w14:paraId="73A7B89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20.70</w:t>
            </w:r>
          </w:p>
        </w:tc>
        <w:tc>
          <w:tcPr>
            <w:tcW w:w="1418" w:type="dxa"/>
            <w:tcBorders>
              <w:top w:val="nil"/>
              <w:left w:val="nil"/>
              <w:bottom w:val="single" w:sz="4" w:space="0" w:color="000000"/>
              <w:right w:val="single" w:sz="4" w:space="0" w:color="000000"/>
            </w:tcBorders>
            <w:shd w:val="clear" w:color="auto" w:fill="auto"/>
            <w:noWrap/>
            <w:vAlign w:val="bottom"/>
            <w:hideMark/>
          </w:tcPr>
          <w:p w14:paraId="0462981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6.94</w:t>
            </w:r>
          </w:p>
        </w:tc>
      </w:tr>
      <w:tr w:rsidR="00A0308E" w:rsidRPr="003B10E2" w14:paraId="18D32040"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9AE0F8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Jiecang Linear Motion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5965D7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993.07</w:t>
            </w:r>
          </w:p>
        </w:tc>
        <w:tc>
          <w:tcPr>
            <w:tcW w:w="957" w:type="dxa"/>
            <w:tcBorders>
              <w:top w:val="nil"/>
              <w:left w:val="nil"/>
              <w:bottom w:val="single" w:sz="4" w:space="0" w:color="000000"/>
              <w:right w:val="single" w:sz="4" w:space="0" w:color="000000"/>
            </w:tcBorders>
            <w:shd w:val="clear" w:color="auto" w:fill="auto"/>
            <w:noWrap/>
            <w:vAlign w:val="bottom"/>
            <w:hideMark/>
          </w:tcPr>
          <w:p w14:paraId="348CC3F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18.58</w:t>
            </w:r>
          </w:p>
        </w:tc>
        <w:tc>
          <w:tcPr>
            <w:tcW w:w="1418" w:type="dxa"/>
            <w:tcBorders>
              <w:top w:val="nil"/>
              <w:left w:val="nil"/>
              <w:bottom w:val="single" w:sz="4" w:space="0" w:color="000000"/>
              <w:right w:val="single" w:sz="4" w:space="0" w:color="000000"/>
            </w:tcBorders>
            <w:shd w:val="clear" w:color="auto" w:fill="auto"/>
            <w:noWrap/>
            <w:vAlign w:val="bottom"/>
            <w:hideMark/>
          </w:tcPr>
          <w:p w14:paraId="1746F93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88.35</w:t>
            </w:r>
          </w:p>
        </w:tc>
      </w:tr>
      <w:tr w:rsidR="00A0308E" w:rsidRPr="003B10E2" w14:paraId="728AE373"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689015A"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ZheJiang JiHua Group,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0105CC3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437.90</w:t>
            </w:r>
          </w:p>
        </w:tc>
        <w:tc>
          <w:tcPr>
            <w:tcW w:w="957" w:type="dxa"/>
            <w:tcBorders>
              <w:top w:val="nil"/>
              <w:left w:val="nil"/>
              <w:bottom w:val="single" w:sz="4" w:space="0" w:color="000000"/>
              <w:right w:val="single" w:sz="4" w:space="0" w:color="000000"/>
            </w:tcBorders>
            <w:shd w:val="clear" w:color="auto" w:fill="auto"/>
            <w:noWrap/>
            <w:vAlign w:val="bottom"/>
            <w:hideMark/>
          </w:tcPr>
          <w:p w14:paraId="567715E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4.47</w:t>
            </w:r>
          </w:p>
        </w:tc>
        <w:tc>
          <w:tcPr>
            <w:tcW w:w="1418" w:type="dxa"/>
            <w:tcBorders>
              <w:top w:val="nil"/>
              <w:left w:val="nil"/>
              <w:bottom w:val="single" w:sz="4" w:space="0" w:color="000000"/>
              <w:right w:val="single" w:sz="4" w:space="0" w:color="000000"/>
            </w:tcBorders>
            <w:shd w:val="clear" w:color="auto" w:fill="auto"/>
            <w:noWrap/>
            <w:vAlign w:val="bottom"/>
            <w:hideMark/>
          </w:tcPr>
          <w:p w14:paraId="318FBE7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8.60</w:t>
            </w:r>
          </w:p>
        </w:tc>
      </w:tr>
      <w:tr w:rsidR="00A0308E" w:rsidRPr="003B10E2" w14:paraId="7B8AE608"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544952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Jinghua Laser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31B0C6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360.51</w:t>
            </w:r>
          </w:p>
        </w:tc>
        <w:tc>
          <w:tcPr>
            <w:tcW w:w="957" w:type="dxa"/>
            <w:tcBorders>
              <w:top w:val="nil"/>
              <w:left w:val="nil"/>
              <w:bottom w:val="single" w:sz="4" w:space="0" w:color="000000"/>
              <w:right w:val="single" w:sz="4" w:space="0" w:color="000000"/>
            </w:tcBorders>
            <w:shd w:val="clear" w:color="auto" w:fill="auto"/>
            <w:noWrap/>
            <w:vAlign w:val="bottom"/>
            <w:hideMark/>
          </w:tcPr>
          <w:p w14:paraId="7FB7A25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14.43</w:t>
            </w:r>
          </w:p>
        </w:tc>
        <w:tc>
          <w:tcPr>
            <w:tcW w:w="1418" w:type="dxa"/>
            <w:tcBorders>
              <w:top w:val="nil"/>
              <w:left w:val="nil"/>
              <w:bottom w:val="single" w:sz="4" w:space="0" w:color="000000"/>
              <w:right w:val="single" w:sz="4" w:space="0" w:color="000000"/>
            </w:tcBorders>
            <w:shd w:val="clear" w:color="auto" w:fill="auto"/>
            <w:noWrap/>
            <w:vAlign w:val="bottom"/>
            <w:hideMark/>
          </w:tcPr>
          <w:p w14:paraId="42DB8BB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24.30</w:t>
            </w:r>
          </w:p>
        </w:tc>
      </w:tr>
      <w:tr w:rsidR="00A0308E" w:rsidRPr="003B10E2" w14:paraId="129BA522"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AA7ADDB"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Zhejiang Jiuzhou Pharmaceutical,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2DC5623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3 255.55</w:t>
            </w:r>
          </w:p>
        </w:tc>
        <w:tc>
          <w:tcPr>
            <w:tcW w:w="957" w:type="dxa"/>
            <w:tcBorders>
              <w:top w:val="nil"/>
              <w:left w:val="nil"/>
              <w:bottom w:val="single" w:sz="4" w:space="0" w:color="000000"/>
              <w:right w:val="single" w:sz="4" w:space="0" w:color="000000"/>
            </w:tcBorders>
            <w:shd w:val="clear" w:color="auto" w:fill="auto"/>
            <w:noWrap/>
            <w:vAlign w:val="bottom"/>
            <w:hideMark/>
          </w:tcPr>
          <w:p w14:paraId="085649B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27.94</w:t>
            </w:r>
          </w:p>
        </w:tc>
        <w:tc>
          <w:tcPr>
            <w:tcW w:w="1418" w:type="dxa"/>
            <w:tcBorders>
              <w:top w:val="nil"/>
              <w:left w:val="nil"/>
              <w:bottom w:val="single" w:sz="4" w:space="0" w:color="000000"/>
              <w:right w:val="single" w:sz="4" w:space="0" w:color="000000"/>
            </w:tcBorders>
            <w:shd w:val="clear" w:color="auto" w:fill="auto"/>
            <w:noWrap/>
            <w:vAlign w:val="bottom"/>
            <w:hideMark/>
          </w:tcPr>
          <w:p w14:paraId="715630D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240.21</w:t>
            </w:r>
          </w:p>
        </w:tc>
      </w:tr>
      <w:tr w:rsidR="00A0308E" w:rsidRPr="003B10E2" w14:paraId="378298B2"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81ACFB5"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Zhejiang Juhua,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379F421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5 123.30</w:t>
            </w:r>
          </w:p>
        </w:tc>
        <w:tc>
          <w:tcPr>
            <w:tcW w:w="957" w:type="dxa"/>
            <w:tcBorders>
              <w:top w:val="nil"/>
              <w:left w:val="nil"/>
              <w:bottom w:val="single" w:sz="4" w:space="0" w:color="000000"/>
              <w:right w:val="single" w:sz="4" w:space="0" w:color="000000"/>
            </w:tcBorders>
            <w:shd w:val="clear" w:color="auto" w:fill="auto"/>
            <w:noWrap/>
            <w:vAlign w:val="bottom"/>
            <w:hideMark/>
          </w:tcPr>
          <w:p w14:paraId="73B78FE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13.56</w:t>
            </w:r>
          </w:p>
        </w:tc>
        <w:tc>
          <w:tcPr>
            <w:tcW w:w="1418" w:type="dxa"/>
            <w:tcBorders>
              <w:top w:val="nil"/>
              <w:left w:val="nil"/>
              <w:bottom w:val="single" w:sz="4" w:space="0" w:color="000000"/>
              <w:right w:val="single" w:sz="4" w:space="0" w:color="000000"/>
            </w:tcBorders>
            <w:shd w:val="clear" w:color="auto" w:fill="auto"/>
            <w:noWrap/>
            <w:vAlign w:val="bottom"/>
            <w:hideMark/>
          </w:tcPr>
          <w:p w14:paraId="64193E9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114.73</w:t>
            </w:r>
          </w:p>
        </w:tc>
      </w:tr>
      <w:tr w:rsidR="00A0308E" w:rsidRPr="003B10E2" w14:paraId="16AF8FA8"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828B1D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Kanglongda Special Protection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C3B626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570.73</w:t>
            </w:r>
          </w:p>
        </w:tc>
        <w:tc>
          <w:tcPr>
            <w:tcW w:w="957" w:type="dxa"/>
            <w:tcBorders>
              <w:top w:val="nil"/>
              <w:left w:val="nil"/>
              <w:bottom w:val="single" w:sz="4" w:space="0" w:color="000000"/>
              <w:right w:val="single" w:sz="4" w:space="0" w:color="000000"/>
            </w:tcBorders>
            <w:shd w:val="clear" w:color="auto" w:fill="auto"/>
            <w:noWrap/>
            <w:vAlign w:val="bottom"/>
            <w:hideMark/>
          </w:tcPr>
          <w:p w14:paraId="4D3A75A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25.38</w:t>
            </w:r>
          </w:p>
        </w:tc>
        <w:tc>
          <w:tcPr>
            <w:tcW w:w="1418" w:type="dxa"/>
            <w:tcBorders>
              <w:top w:val="nil"/>
              <w:left w:val="nil"/>
              <w:bottom w:val="single" w:sz="4" w:space="0" w:color="000000"/>
              <w:right w:val="single" w:sz="4" w:space="0" w:color="000000"/>
            </w:tcBorders>
            <w:shd w:val="clear" w:color="auto" w:fill="auto"/>
            <w:noWrap/>
            <w:vAlign w:val="bottom"/>
            <w:hideMark/>
          </w:tcPr>
          <w:p w14:paraId="56BFC9D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15.52</w:t>
            </w:r>
          </w:p>
        </w:tc>
      </w:tr>
      <w:tr w:rsidR="00A0308E" w:rsidRPr="003B10E2" w14:paraId="1850F553"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826E33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Langdi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6E898B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321.65</w:t>
            </w:r>
          </w:p>
        </w:tc>
        <w:tc>
          <w:tcPr>
            <w:tcW w:w="957" w:type="dxa"/>
            <w:tcBorders>
              <w:top w:val="nil"/>
              <w:left w:val="nil"/>
              <w:bottom w:val="single" w:sz="4" w:space="0" w:color="000000"/>
              <w:right w:val="single" w:sz="4" w:space="0" w:color="000000"/>
            </w:tcBorders>
            <w:shd w:val="clear" w:color="auto" w:fill="auto"/>
            <w:noWrap/>
            <w:vAlign w:val="bottom"/>
            <w:hideMark/>
          </w:tcPr>
          <w:p w14:paraId="143874F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12.38</w:t>
            </w:r>
          </w:p>
        </w:tc>
        <w:tc>
          <w:tcPr>
            <w:tcW w:w="1418" w:type="dxa"/>
            <w:tcBorders>
              <w:top w:val="nil"/>
              <w:left w:val="nil"/>
              <w:bottom w:val="single" w:sz="4" w:space="0" w:color="000000"/>
              <w:right w:val="single" w:sz="4" w:space="0" w:color="000000"/>
            </w:tcBorders>
            <w:shd w:val="clear" w:color="auto" w:fill="auto"/>
            <w:noWrap/>
            <w:vAlign w:val="bottom"/>
            <w:hideMark/>
          </w:tcPr>
          <w:p w14:paraId="54ECB7B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6.09</w:t>
            </w:r>
          </w:p>
        </w:tc>
      </w:tr>
      <w:tr w:rsidR="00A0308E" w:rsidRPr="003B10E2" w14:paraId="1952F0E2"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4E01EB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Lante Optics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506F06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992.24</w:t>
            </w:r>
          </w:p>
        </w:tc>
        <w:tc>
          <w:tcPr>
            <w:tcW w:w="957" w:type="dxa"/>
            <w:tcBorders>
              <w:top w:val="nil"/>
              <w:left w:val="nil"/>
              <w:bottom w:val="single" w:sz="4" w:space="0" w:color="000000"/>
              <w:right w:val="single" w:sz="4" w:space="0" w:color="000000"/>
            </w:tcBorders>
            <w:shd w:val="clear" w:color="auto" w:fill="auto"/>
            <w:noWrap/>
            <w:vAlign w:val="bottom"/>
            <w:hideMark/>
          </w:tcPr>
          <w:p w14:paraId="06407F0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17.60</w:t>
            </w:r>
          </w:p>
        </w:tc>
        <w:tc>
          <w:tcPr>
            <w:tcW w:w="1418" w:type="dxa"/>
            <w:tcBorders>
              <w:top w:val="nil"/>
              <w:left w:val="nil"/>
              <w:bottom w:val="single" w:sz="4" w:space="0" w:color="000000"/>
              <w:right w:val="single" w:sz="4" w:space="0" w:color="000000"/>
            </w:tcBorders>
            <w:shd w:val="clear" w:color="auto" w:fill="auto"/>
            <w:noWrap/>
            <w:vAlign w:val="bottom"/>
            <w:hideMark/>
          </w:tcPr>
          <w:p w14:paraId="7354DA9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41.26</w:t>
            </w:r>
          </w:p>
        </w:tc>
      </w:tr>
      <w:tr w:rsidR="00A0308E" w:rsidRPr="003B10E2" w14:paraId="7AD73A05"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DEFC4B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Lianxiang Smart Home,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25AD70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41F72D7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17.00</w:t>
            </w:r>
          </w:p>
        </w:tc>
        <w:tc>
          <w:tcPr>
            <w:tcW w:w="1418" w:type="dxa"/>
            <w:tcBorders>
              <w:top w:val="nil"/>
              <w:left w:val="nil"/>
              <w:bottom w:val="single" w:sz="4" w:space="0" w:color="000000"/>
              <w:right w:val="single" w:sz="4" w:space="0" w:color="000000"/>
            </w:tcBorders>
            <w:shd w:val="clear" w:color="auto" w:fill="auto"/>
            <w:noWrap/>
            <w:vAlign w:val="bottom"/>
            <w:hideMark/>
          </w:tcPr>
          <w:p w14:paraId="4298CC0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12.76</w:t>
            </w:r>
          </w:p>
        </w:tc>
      </w:tr>
      <w:tr w:rsidR="00A0308E" w:rsidRPr="003B10E2" w14:paraId="7D8B45E8"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DD9D51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Liming Intelligent Manufacturing,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8D0B63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326.01</w:t>
            </w:r>
          </w:p>
        </w:tc>
        <w:tc>
          <w:tcPr>
            <w:tcW w:w="957" w:type="dxa"/>
            <w:tcBorders>
              <w:top w:val="nil"/>
              <w:left w:val="nil"/>
              <w:bottom w:val="single" w:sz="4" w:space="0" w:color="000000"/>
              <w:right w:val="single" w:sz="4" w:space="0" w:color="000000"/>
            </w:tcBorders>
            <w:shd w:val="clear" w:color="auto" w:fill="auto"/>
            <w:noWrap/>
            <w:vAlign w:val="bottom"/>
            <w:hideMark/>
          </w:tcPr>
          <w:p w14:paraId="19EA195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15.86</w:t>
            </w:r>
          </w:p>
        </w:tc>
        <w:tc>
          <w:tcPr>
            <w:tcW w:w="1418" w:type="dxa"/>
            <w:tcBorders>
              <w:top w:val="nil"/>
              <w:left w:val="nil"/>
              <w:bottom w:val="single" w:sz="4" w:space="0" w:color="000000"/>
              <w:right w:val="single" w:sz="4" w:space="0" w:color="000000"/>
            </w:tcBorders>
            <w:shd w:val="clear" w:color="auto" w:fill="auto"/>
            <w:noWrap/>
            <w:vAlign w:val="bottom"/>
            <w:hideMark/>
          </w:tcPr>
          <w:p w14:paraId="44DA160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26.68</w:t>
            </w:r>
          </w:p>
        </w:tc>
      </w:tr>
      <w:tr w:rsidR="00A0308E" w:rsidRPr="003B10E2" w14:paraId="4EA9A88D"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305C6C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Longsheng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FA8612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4 298.01</w:t>
            </w:r>
          </w:p>
        </w:tc>
        <w:tc>
          <w:tcPr>
            <w:tcW w:w="957" w:type="dxa"/>
            <w:tcBorders>
              <w:top w:val="nil"/>
              <w:left w:val="nil"/>
              <w:bottom w:val="single" w:sz="4" w:space="0" w:color="000000"/>
              <w:right w:val="single" w:sz="4" w:space="0" w:color="000000"/>
            </w:tcBorders>
            <w:shd w:val="clear" w:color="auto" w:fill="auto"/>
            <w:noWrap/>
            <w:vAlign w:val="bottom"/>
            <w:hideMark/>
          </w:tcPr>
          <w:p w14:paraId="29A3848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9.44</w:t>
            </w:r>
          </w:p>
        </w:tc>
        <w:tc>
          <w:tcPr>
            <w:tcW w:w="1418" w:type="dxa"/>
            <w:tcBorders>
              <w:top w:val="nil"/>
              <w:left w:val="nil"/>
              <w:bottom w:val="single" w:sz="4" w:space="0" w:color="000000"/>
              <w:right w:val="single" w:sz="4" w:space="0" w:color="000000"/>
            </w:tcBorders>
            <w:shd w:val="clear" w:color="auto" w:fill="auto"/>
            <w:noWrap/>
            <w:vAlign w:val="bottom"/>
            <w:hideMark/>
          </w:tcPr>
          <w:p w14:paraId="0120495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57.67</w:t>
            </w:r>
          </w:p>
        </w:tc>
      </w:tr>
      <w:tr w:rsidR="00A0308E" w:rsidRPr="003B10E2" w14:paraId="76E6FA3F"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DB41A4A"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Zhejiang Medicine,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616171D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1 507.36</w:t>
            </w:r>
          </w:p>
        </w:tc>
        <w:tc>
          <w:tcPr>
            <w:tcW w:w="957" w:type="dxa"/>
            <w:tcBorders>
              <w:top w:val="nil"/>
              <w:left w:val="nil"/>
              <w:bottom w:val="single" w:sz="4" w:space="0" w:color="000000"/>
              <w:right w:val="single" w:sz="4" w:space="0" w:color="000000"/>
            </w:tcBorders>
            <w:shd w:val="clear" w:color="auto" w:fill="auto"/>
            <w:noWrap/>
            <w:vAlign w:val="bottom"/>
            <w:hideMark/>
          </w:tcPr>
          <w:p w14:paraId="7259CAC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11.16</w:t>
            </w:r>
          </w:p>
        </w:tc>
        <w:tc>
          <w:tcPr>
            <w:tcW w:w="1418" w:type="dxa"/>
            <w:tcBorders>
              <w:top w:val="nil"/>
              <w:left w:val="nil"/>
              <w:bottom w:val="single" w:sz="4" w:space="0" w:color="000000"/>
              <w:right w:val="single" w:sz="4" w:space="0" w:color="000000"/>
            </w:tcBorders>
            <w:shd w:val="clear" w:color="auto" w:fill="auto"/>
            <w:noWrap/>
            <w:vAlign w:val="bottom"/>
            <w:hideMark/>
          </w:tcPr>
          <w:p w14:paraId="79C4330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54.32</w:t>
            </w:r>
          </w:p>
        </w:tc>
      </w:tr>
      <w:tr w:rsidR="00A0308E" w:rsidRPr="003B10E2" w14:paraId="1C87B06A"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61B273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Meilun Elevator,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ABC4B3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313.21</w:t>
            </w:r>
          </w:p>
        </w:tc>
        <w:tc>
          <w:tcPr>
            <w:tcW w:w="957" w:type="dxa"/>
            <w:tcBorders>
              <w:top w:val="nil"/>
              <w:left w:val="nil"/>
              <w:bottom w:val="single" w:sz="4" w:space="0" w:color="000000"/>
              <w:right w:val="single" w:sz="4" w:space="0" w:color="000000"/>
            </w:tcBorders>
            <w:shd w:val="clear" w:color="auto" w:fill="auto"/>
            <w:noWrap/>
            <w:vAlign w:val="bottom"/>
            <w:hideMark/>
          </w:tcPr>
          <w:p w14:paraId="149E357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7.29</w:t>
            </w:r>
          </w:p>
        </w:tc>
        <w:tc>
          <w:tcPr>
            <w:tcW w:w="1418" w:type="dxa"/>
            <w:tcBorders>
              <w:top w:val="nil"/>
              <w:left w:val="nil"/>
              <w:bottom w:val="single" w:sz="4" w:space="0" w:color="000000"/>
              <w:right w:val="single" w:sz="4" w:space="0" w:color="000000"/>
            </w:tcBorders>
            <w:shd w:val="clear" w:color="auto" w:fill="auto"/>
            <w:noWrap/>
            <w:vAlign w:val="bottom"/>
            <w:hideMark/>
          </w:tcPr>
          <w:p w14:paraId="1476618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16.40</w:t>
            </w:r>
          </w:p>
        </w:tc>
      </w:tr>
      <w:tr w:rsidR="00A0308E" w:rsidRPr="003B10E2" w14:paraId="787883D9"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C87937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Mustang Battery,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8314EF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427.33</w:t>
            </w:r>
          </w:p>
        </w:tc>
        <w:tc>
          <w:tcPr>
            <w:tcW w:w="957" w:type="dxa"/>
            <w:tcBorders>
              <w:top w:val="nil"/>
              <w:left w:val="nil"/>
              <w:bottom w:val="single" w:sz="4" w:space="0" w:color="000000"/>
              <w:right w:val="single" w:sz="4" w:space="0" w:color="000000"/>
            </w:tcBorders>
            <w:shd w:val="clear" w:color="auto" w:fill="auto"/>
            <w:noWrap/>
            <w:vAlign w:val="bottom"/>
            <w:hideMark/>
          </w:tcPr>
          <w:p w14:paraId="36AE400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22.90</w:t>
            </w:r>
          </w:p>
        </w:tc>
        <w:tc>
          <w:tcPr>
            <w:tcW w:w="1418" w:type="dxa"/>
            <w:tcBorders>
              <w:top w:val="nil"/>
              <w:left w:val="nil"/>
              <w:bottom w:val="single" w:sz="4" w:space="0" w:color="000000"/>
              <w:right w:val="single" w:sz="4" w:space="0" w:color="000000"/>
            </w:tcBorders>
            <w:shd w:val="clear" w:color="auto" w:fill="auto"/>
            <w:noWrap/>
            <w:vAlign w:val="bottom"/>
            <w:hideMark/>
          </w:tcPr>
          <w:p w14:paraId="55DC1E0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13.77</w:t>
            </w:r>
          </w:p>
        </w:tc>
      </w:tr>
      <w:tr w:rsidR="00A0308E" w:rsidRPr="003B10E2" w14:paraId="2BD0C6B4"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2671A7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Natural Outdoor Goods,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86EF9D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592.41</w:t>
            </w:r>
          </w:p>
        </w:tc>
        <w:tc>
          <w:tcPr>
            <w:tcW w:w="957" w:type="dxa"/>
            <w:tcBorders>
              <w:top w:val="nil"/>
              <w:left w:val="nil"/>
              <w:bottom w:val="single" w:sz="4" w:space="0" w:color="000000"/>
              <w:right w:val="single" w:sz="4" w:space="0" w:color="000000"/>
            </w:tcBorders>
            <w:shd w:val="clear" w:color="auto" w:fill="auto"/>
            <w:noWrap/>
            <w:vAlign w:val="bottom"/>
            <w:hideMark/>
          </w:tcPr>
          <w:p w14:paraId="247244F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41.86</w:t>
            </w:r>
          </w:p>
        </w:tc>
        <w:tc>
          <w:tcPr>
            <w:tcW w:w="1418" w:type="dxa"/>
            <w:tcBorders>
              <w:top w:val="nil"/>
              <w:left w:val="nil"/>
              <w:bottom w:val="single" w:sz="4" w:space="0" w:color="000000"/>
              <w:right w:val="single" w:sz="4" w:space="0" w:color="000000"/>
            </w:tcBorders>
            <w:shd w:val="clear" w:color="auto" w:fill="auto"/>
            <w:noWrap/>
            <w:vAlign w:val="bottom"/>
            <w:hideMark/>
          </w:tcPr>
          <w:p w14:paraId="4ECD0F4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18.43</w:t>
            </w:r>
          </w:p>
        </w:tc>
      </w:tr>
      <w:tr w:rsidR="00A0308E" w:rsidRPr="003B10E2" w14:paraId="4EF162AF"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363B70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Oceanking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371D7B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750.88</w:t>
            </w:r>
          </w:p>
        </w:tc>
        <w:tc>
          <w:tcPr>
            <w:tcW w:w="957" w:type="dxa"/>
            <w:tcBorders>
              <w:top w:val="nil"/>
              <w:left w:val="nil"/>
              <w:bottom w:val="single" w:sz="4" w:space="0" w:color="000000"/>
              <w:right w:val="single" w:sz="4" w:space="0" w:color="000000"/>
            </w:tcBorders>
            <w:shd w:val="clear" w:color="auto" w:fill="auto"/>
            <w:noWrap/>
            <w:vAlign w:val="bottom"/>
            <w:hideMark/>
          </w:tcPr>
          <w:p w14:paraId="616C921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12.34</w:t>
            </w:r>
          </w:p>
        </w:tc>
        <w:tc>
          <w:tcPr>
            <w:tcW w:w="1418" w:type="dxa"/>
            <w:tcBorders>
              <w:top w:val="nil"/>
              <w:left w:val="nil"/>
              <w:bottom w:val="single" w:sz="4" w:space="0" w:color="000000"/>
              <w:right w:val="single" w:sz="4" w:space="0" w:color="000000"/>
            </w:tcBorders>
            <w:shd w:val="clear" w:color="auto" w:fill="auto"/>
            <w:noWrap/>
            <w:vAlign w:val="bottom"/>
            <w:hideMark/>
          </w:tcPr>
          <w:p w14:paraId="1D2C7E2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8.01</w:t>
            </w:r>
          </w:p>
        </w:tc>
      </w:tr>
      <w:tr w:rsidR="00A0308E" w:rsidRPr="003B10E2" w14:paraId="609315D4"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D63A15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Orient Financial Holdings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231C20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1 572.70</w:t>
            </w:r>
          </w:p>
        </w:tc>
        <w:tc>
          <w:tcPr>
            <w:tcW w:w="957" w:type="dxa"/>
            <w:tcBorders>
              <w:top w:val="nil"/>
              <w:left w:val="nil"/>
              <w:bottom w:val="single" w:sz="4" w:space="0" w:color="000000"/>
              <w:right w:val="single" w:sz="4" w:space="0" w:color="000000"/>
            </w:tcBorders>
            <w:shd w:val="clear" w:color="auto" w:fill="auto"/>
            <w:noWrap/>
            <w:vAlign w:val="bottom"/>
            <w:hideMark/>
          </w:tcPr>
          <w:p w14:paraId="19EC5EB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3.88</w:t>
            </w:r>
          </w:p>
        </w:tc>
        <w:tc>
          <w:tcPr>
            <w:tcW w:w="1418" w:type="dxa"/>
            <w:tcBorders>
              <w:top w:val="nil"/>
              <w:left w:val="nil"/>
              <w:bottom w:val="single" w:sz="4" w:space="0" w:color="000000"/>
              <w:right w:val="single" w:sz="4" w:space="0" w:color="000000"/>
            </w:tcBorders>
            <w:shd w:val="clear" w:color="auto" w:fill="auto"/>
            <w:noWrap/>
            <w:vAlign w:val="bottom"/>
            <w:hideMark/>
          </w:tcPr>
          <w:p w14:paraId="1BF9FE0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45.69</w:t>
            </w:r>
          </w:p>
        </w:tc>
      </w:tr>
      <w:tr w:rsidR="00A0308E" w:rsidRPr="003B10E2" w14:paraId="4693590B"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5B9443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Orient Gene Biotech,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F7A3EB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845.90</w:t>
            </w:r>
          </w:p>
        </w:tc>
        <w:tc>
          <w:tcPr>
            <w:tcW w:w="957" w:type="dxa"/>
            <w:tcBorders>
              <w:top w:val="nil"/>
              <w:left w:val="nil"/>
              <w:bottom w:val="single" w:sz="4" w:space="0" w:color="000000"/>
              <w:right w:val="single" w:sz="4" w:space="0" w:color="000000"/>
            </w:tcBorders>
            <w:shd w:val="clear" w:color="auto" w:fill="auto"/>
            <w:noWrap/>
            <w:vAlign w:val="bottom"/>
            <w:hideMark/>
          </w:tcPr>
          <w:p w14:paraId="7FC55C7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50.37</w:t>
            </w:r>
          </w:p>
        </w:tc>
        <w:tc>
          <w:tcPr>
            <w:tcW w:w="1418" w:type="dxa"/>
            <w:tcBorders>
              <w:top w:val="nil"/>
              <w:left w:val="nil"/>
              <w:bottom w:val="single" w:sz="4" w:space="0" w:color="000000"/>
              <w:right w:val="single" w:sz="4" w:space="0" w:color="000000"/>
            </w:tcBorders>
            <w:shd w:val="clear" w:color="auto" w:fill="auto"/>
            <w:noWrap/>
            <w:vAlign w:val="bottom"/>
            <w:hideMark/>
          </w:tcPr>
          <w:p w14:paraId="5179BEA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47.60</w:t>
            </w:r>
          </w:p>
        </w:tc>
      </w:tr>
      <w:tr w:rsidR="00A0308E" w:rsidRPr="003B10E2" w14:paraId="0DBE6400"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DCBCF1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Power New Energy,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ED3916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057CCD5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30.81</w:t>
            </w:r>
          </w:p>
        </w:tc>
        <w:tc>
          <w:tcPr>
            <w:tcW w:w="1418" w:type="dxa"/>
            <w:tcBorders>
              <w:top w:val="nil"/>
              <w:left w:val="nil"/>
              <w:bottom w:val="single" w:sz="4" w:space="0" w:color="000000"/>
              <w:right w:val="single" w:sz="4" w:space="0" w:color="000000"/>
            </w:tcBorders>
            <w:shd w:val="clear" w:color="auto" w:fill="auto"/>
            <w:noWrap/>
            <w:vAlign w:val="bottom"/>
            <w:hideMark/>
          </w:tcPr>
          <w:p w14:paraId="1FDD742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5.78</w:t>
            </w:r>
          </w:p>
        </w:tc>
      </w:tr>
      <w:tr w:rsidR="00A0308E" w:rsidRPr="003B10E2" w14:paraId="6399D08F"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C0F075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Provincial New Energy Investment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798E54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3 481.46</w:t>
            </w:r>
          </w:p>
        </w:tc>
        <w:tc>
          <w:tcPr>
            <w:tcW w:w="957" w:type="dxa"/>
            <w:tcBorders>
              <w:top w:val="nil"/>
              <w:left w:val="nil"/>
              <w:bottom w:val="single" w:sz="4" w:space="0" w:color="000000"/>
              <w:right w:val="single" w:sz="4" w:space="0" w:color="000000"/>
            </w:tcBorders>
            <w:shd w:val="clear" w:color="auto" w:fill="auto"/>
            <w:noWrap/>
            <w:vAlign w:val="bottom"/>
            <w:hideMark/>
          </w:tcPr>
          <w:p w14:paraId="4F9FA9E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11.96</w:t>
            </w:r>
          </w:p>
        </w:tc>
        <w:tc>
          <w:tcPr>
            <w:tcW w:w="1418" w:type="dxa"/>
            <w:tcBorders>
              <w:top w:val="nil"/>
              <w:left w:val="nil"/>
              <w:bottom w:val="single" w:sz="4" w:space="0" w:color="000000"/>
              <w:right w:val="single" w:sz="4" w:space="0" w:color="000000"/>
            </w:tcBorders>
            <w:shd w:val="clear" w:color="auto" w:fill="auto"/>
            <w:noWrap/>
            <w:vAlign w:val="bottom"/>
            <w:hideMark/>
          </w:tcPr>
          <w:p w14:paraId="3B45109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75.81</w:t>
            </w:r>
          </w:p>
        </w:tc>
      </w:tr>
      <w:tr w:rsidR="00A0308E" w:rsidRPr="003B10E2" w14:paraId="5DEBD24B"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EE2F32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Publishing &amp; Media,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39662D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3 302.78</w:t>
            </w:r>
          </w:p>
        </w:tc>
        <w:tc>
          <w:tcPr>
            <w:tcW w:w="957" w:type="dxa"/>
            <w:tcBorders>
              <w:top w:val="nil"/>
              <w:left w:val="nil"/>
              <w:bottom w:val="single" w:sz="4" w:space="0" w:color="000000"/>
              <w:right w:val="single" w:sz="4" w:space="0" w:color="000000"/>
            </w:tcBorders>
            <w:shd w:val="clear" w:color="auto" w:fill="auto"/>
            <w:noWrap/>
            <w:vAlign w:val="bottom"/>
            <w:hideMark/>
          </w:tcPr>
          <w:p w14:paraId="3B5B169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10.62</w:t>
            </w:r>
          </w:p>
        </w:tc>
        <w:tc>
          <w:tcPr>
            <w:tcW w:w="1418" w:type="dxa"/>
            <w:tcBorders>
              <w:top w:val="nil"/>
              <w:left w:val="nil"/>
              <w:bottom w:val="single" w:sz="4" w:space="0" w:color="000000"/>
              <w:right w:val="single" w:sz="4" w:space="0" w:color="000000"/>
            </w:tcBorders>
            <w:shd w:val="clear" w:color="auto" w:fill="auto"/>
            <w:noWrap/>
            <w:vAlign w:val="bottom"/>
            <w:hideMark/>
          </w:tcPr>
          <w:p w14:paraId="307D9C8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322.47</w:t>
            </w:r>
          </w:p>
        </w:tc>
      </w:tr>
      <w:tr w:rsidR="00A0308E" w:rsidRPr="003B10E2" w14:paraId="2A922BD6"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AEF77D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Qianjiang Biochem,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FD6335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629.43</w:t>
            </w:r>
          </w:p>
        </w:tc>
        <w:tc>
          <w:tcPr>
            <w:tcW w:w="957" w:type="dxa"/>
            <w:tcBorders>
              <w:top w:val="nil"/>
              <w:left w:val="nil"/>
              <w:bottom w:val="single" w:sz="4" w:space="0" w:color="000000"/>
              <w:right w:val="single" w:sz="4" w:space="0" w:color="000000"/>
            </w:tcBorders>
            <w:shd w:val="clear" w:color="auto" w:fill="auto"/>
            <w:noWrap/>
            <w:vAlign w:val="bottom"/>
            <w:hideMark/>
          </w:tcPr>
          <w:p w14:paraId="277CC3E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5.19</w:t>
            </w:r>
          </w:p>
        </w:tc>
        <w:tc>
          <w:tcPr>
            <w:tcW w:w="1418" w:type="dxa"/>
            <w:tcBorders>
              <w:top w:val="nil"/>
              <w:left w:val="nil"/>
              <w:bottom w:val="single" w:sz="4" w:space="0" w:color="000000"/>
              <w:right w:val="single" w:sz="4" w:space="0" w:color="000000"/>
            </w:tcBorders>
            <w:shd w:val="clear" w:color="auto" w:fill="auto"/>
            <w:noWrap/>
            <w:vAlign w:val="bottom"/>
            <w:hideMark/>
          </w:tcPr>
          <w:p w14:paraId="78748EA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7.94</w:t>
            </w:r>
          </w:p>
        </w:tc>
      </w:tr>
      <w:tr w:rsidR="00A0308E" w:rsidRPr="003B10E2" w14:paraId="14BB7451"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4A8720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Red Dragonfly Footwear,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D2A723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495.12</w:t>
            </w:r>
          </w:p>
        </w:tc>
        <w:tc>
          <w:tcPr>
            <w:tcW w:w="957" w:type="dxa"/>
            <w:tcBorders>
              <w:top w:val="nil"/>
              <w:left w:val="nil"/>
              <w:bottom w:val="single" w:sz="4" w:space="0" w:color="000000"/>
              <w:right w:val="single" w:sz="4" w:space="0" w:color="000000"/>
            </w:tcBorders>
            <w:shd w:val="clear" w:color="auto" w:fill="auto"/>
            <w:noWrap/>
            <w:vAlign w:val="bottom"/>
            <w:hideMark/>
          </w:tcPr>
          <w:p w14:paraId="306CB0B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6.14</w:t>
            </w:r>
          </w:p>
        </w:tc>
        <w:tc>
          <w:tcPr>
            <w:tcW w:w="1418" w:type="dxa"/>
            <w:tcBorders>
              <w:top w:val="nil"/>
              <w:left w:val="nil"/>
              <w:bottom w:val="single" w:sz="4" w:space="0" w:color="000000"/>
              <w:right w:val="single" w:sz="4" w:space="0" w:color="000000"/>
            </w:tcBorders>
            <w:shd w:val="clear" w:color="auto" w:fill="auto"/>
            <w:noWrap/>
            <w:vAlign w:val="bottom"/>
            <w:hideMark/>
          </w:tcPr>
          <w:p w14:paraId="54C4960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43.45</w:t>
            </w:r>
          </w:p>
        </w:tc>
      </w:tr>
      <w:tr w:rsidR="00A0308E" w:rsidRPr="003B10E2" w14:paraId="5481E563"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669F3A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Risun Intelligent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9B46E2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206.43</w:t>
            </w:r>
          </w:p>
        </w:tc>
        <w:tc>
          <w:tcPr>
            <w:tcW w:w="957" w:type="dxa"/>
            <w:tcBorders>
              <w:top w:val="nil"/>
              <w:left w:val="nil"/>
              <w:bottom w:val="single" w:sz="4" w:space="0" w:color="000000"/>
              <w:right w:val="single" w:sz="4" w:space="0" w:color="000000"/>
            </w:tcBorders>
            <w:shd w:val="clear" w:color="auto" w:fill="auto"/>
            <w:noWrap/>
            <w:vAlign w:val="bottom"/>
            <w:hideMark/>
          </w:tcPr>
          <w:p w14:paraId="79F1F7E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36.84</w:t>
            </w:r>
          </w:p>
        </w:tc>
        <w:tc>
          <w:tcPr>
            <w:tcW w:w="1418" w:type="dxa"/>
            <w:tcBorders>
              <w:top w:val="nil"/>
              <w:left w:val="nil"/>
              <w:bottom w:val="single" w:sz="4" w:space="0" w:color="000000"/>
              <w:right w:val="single" w:sz="4" w:space="0" w:color="000000"/>
            </w:tcBorders>
            <w:shd w:val="clear" w:color="auto" w:fill="auto"/>
            <w:noWrap/>
            <w:vAlign w:val="bottom"/>
            <w:hideMark/>
          </w:tcPr>
          <w:p w14:paraId="52C1165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12.97</w:t>
            </w:r>
          </w:p>
        </w:tc>
      </w:tr>
      <w:tr w:rsidR="00A0308E" w:rsidRPr="003B10E2" w14:paraId="05CB3248"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649D72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Rongsheng Environmental Protection Paper,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9CF413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560.62</w:t>
            </w:r>
          </w:p>
        </w:tc>
        <w:tc>
          <w:tcPr>
            <w:tcW w:w="957" w:type="dxa"/>
            <w:tcBorders>
              <w:top w:val="nil"/>
              <w:left w:val="nil"/>
              <w:bottom w:val="single" w:sz="4" w:space="0" w:color="000000"/>
              <w:right w:val="single" w:sz="4" w:space="0" w:color="000000"/>
            </w:tcBorders>
            <w:shd w:val="clear" w:color="auto" w:fill="auto"/>
            <w:noWrap/>
            <w:vAlign w:val="bottom"/>
            <w:hideMark/>
          </w:tcPr>
          <w:p w14:paraId="0F04C8B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15.22</w:t>
            </w:r>
          </w:p>
        </w:tc>
        <w:tc>
          <w:tcPr>
            <w:tcW w:w="1418" w:type="dxa"/>
            <w:tcBorders>
              <w:top w:val="nil"/>
              <w:left w:val="nil"/>
              <w:bottom w:val="single" w:sz="4" w:space="0" w:color="000000"/>
              <w:right w:val="single" w:sz="4" w:space="0" w:color="000000"/>
            </w:tcBorders>
            <w:shd w:val="clear" w:color="auto" w:fill="auto"/>
            <w:noWrap/>
            <w:vAlign w:val="bottom"/>
            <w:hideMark/>
          </w:tcPr>
          <w:p w14:paraId="4595257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65.43</w:t>
            </w:r>
          </w:p>
        </w:tc>
      </w:tr>
      <w:tr w:rsidR="00A0308E" w:rsidRPr="003B10E2" w14:paraId="7D435FEE"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F54A4C8"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Sanmei Chemical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D42887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2 031.65</w:t>
            </w:r>
          </w:p>
        </w:tc>
        <w:tc>
          <w:tcPr>
            <w:tcW w:w="957" w:type="dxa"/>
            <w:tcBorders>
              <w:top w:val="nil"/>
              <w:left w:val="nil"/>
              <w:bottom w:val="single" w:sz="4" w:space="0" w:color="000000"/>
              <w:right w:val="single" w:sz="4" w:space="0" w:color="000000"/>
            </w:tcBorders>
            <w:shd w:val="clear" w:color="auto" w:fill="auto"/>
            <w:noWrap/>
            <w:vAlign w:val="bottom"/>
            <w:hideMark/>
          </w:tcPr>
          <w:p w14:paraId="0C790D3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23.78</w:t>
            </w:r>
          </w:p>
        </w:tc>
        <w:tc>
          <w:tcPr>
            <w:tcW w:w="1418" w:type="dxa"/>
            <w:tcBorders>
              <w:top w:val="nil"/>
              <w:left w:val="nil"/>
              <w:bottom w:val="single" w:sz="4" w:space="0" w:color="000000"/>
              <w:right w:val="single" w:sz="4" w:space="0" w:color="000000"/>
            </w:tcBorders>
            <w:shd w:val="clear" w:color="auto" w:fill="auto"/>
            <w:noWrap/>
            <w:vAlign w:val="bottom"/>
            <w:hideMark/>
          </w:tcPr>
          <w:p w14:paraId="1AFD2A1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83.01</w:t>
            </w:r>
          </w:p>
        </w:tc>
      </w:tr>
      <w:tr w:rsidR="00A0308E" w:rsidRPr="003B10E2" w14:paraId="2AD204B7"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CC42F8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Sanwei Rubber Item,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D60813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1 732.66</w:t>
            </w:r>
          </w:p>
        </w:tc>
        <w:tc>
          <w:tcPr>
            <w:tcW w:w="957" w:type="dxa"/>
            <w:tcBorders>
              <w:top w:val="nil"/>
              <w:left w:val="nil"/>
              <w:bottom w:val="single" w:sz="4" w:space="0" w:color="000000"/>
              <w:right w:val="single" w:sz="4" w:space="0" w:color="000000"/>
            </w:tcBorders>
            <w:shd w:val="clear" w:color="auto" w:fill="auto"/>
            <w:noWrap/>
            <w:vAlign w:val="bottom"/>
            <w:hideMark/>
          </w:tcPr>
          <w:p w14:paraId="6A49409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20.75</w:t>
            </w:r>
          </w:p>
        </w:tc>
        <w:tc>
          <w:tcPr>
            <w:tcW w:w="1418" w:type="dxa"/>
            <w:tcBorders>
              <w:top w:val="nil"/>
              <w:left w:val="nil"/>
              <w:bottom w:val="single" w:sz="4" w:space="0" w:color="000000"/>
              <w:right w:val="single" w:sz="4" w:space="0" w:color="000000"/>
            </w:tcBorders>
            <w:shd w:val="clear" w:color="auto" w:fill="auto"/>
            <w:noWrap/>
            <w:vAlign w:val="bottom"/>
            <w:hideMark/>
          </w:tcPr>
          <w:p w14:paraId="1740C4F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96.73</w:t>
            </w:r>
          </w:p>
        </w:tc>
      </w:tr>
      <w:tr w:rsidR="00A0308E" w:rsidRPr="003B10E2" w14:paraId="454A8892" w14:textId="77777777" w:rsidTr="00A0308E">
        <w:trPr>
          <w:trHeight w:val="300"/>
        </w:trPr>
        <w:tc>
          <w:tcPr>
            <w:tcW w:w="4815" w:type="dxa"/>
            <w:tcBorders>
              <w:top w:val="nil"/>
              <w:left w:val="single" w:sz="4" w:space="0" w:color="000000"/>
              <w:bottom w:val="single" w:sz="4" w:space="0" w:color="auto"/>
              <w:right w:val="single" w:sz="4" w:space="0" w:color="000000"/>
            </w:tcBorders>
            <w:shd w:val="clear" w:color="auto" w:fill="auto"/>
            <w:noWrap/>
            <w:vAlign w:val="bottom"/>
            <w:hideMark/>
          </w:tcPr>
          <w:p w14:paraId="560B9C0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Shapuaisi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auto"/>
              <w:right w:val="single" w:sz="4" w:space="0" w:color="000000"/>
            </w:tcBorders>
            <w:shd w:val="clear" w:color="auto" w:fill="auto"/>
            <w:noWrap/>
            <w:vAlign w:val="bottom"/>
            <w:hideMark/>
          </w:tcPr>
          <w:p w14:paraId="166E61B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364.78</w:t>
            </w:r>
          </w:p>
        </w:tc>
        <w:tc>
          <w:tcPr>
            <w:tcW w:w="957" w:type="dxa"/>
            <w:tcBorders>
              <w:top w:val="nil"/>
              <w:left w:val="nil"/>
              <w:bottom w:val="single" w:sz="4" w:space="0" w:color="auto"/>
              <w:right w:val="single" w:sz="4" w:space="0" w:color="000000"/>
            </w:tcBorders>
            <w:shd w:val="clear" w:color="auto" w:fill="auto"/>
            <w:noWrap/>
            <w:vAlign w:val="bottom"/>
            <w:hideMark/>
          </w:tcPr>
          <w:p w14:paraId="23A7456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8.08</w:t>
            </w:r>
          </w:p>
        </w:tc>
        <w:tc>
          <w:tcPr>
            <w:tcW w:w="1418" w:type="dxa"/>
            <w:tcBorders>
              <w:top w:val="nil"/>
              <w:left w:val="nil"/>
              <w:bottom w:val="single" w:sz="4" w:space="0" w:color="auto"/>
              <w:right w:val="single" w:sz="4" w:space="0" w:color="000000"/>
            </w:tcBorders>
            <w:shd w:val="clear" w:color="auto" w:fill="auto"/>
            <w:noWrap/>
            <w:vAlign w:val="bottom"/>
            <w:hideMark/>
          </w:tcPr>
          <w:p w14:paraId="631F5D4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40.67</w:t>
            </w:r>
          </w:p>
        </w:tc>
      </w:tr>
      <w:tr w:rsidR="00A0308E" w:rsidRPr="003B10E2" w14:paraId="12A065A8"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614B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Shengda Bio-Pharm,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359BD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298.03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A8DF3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12.44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77BA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19.42</w:t>
            </w:r>
          </w:p>
        </w:tc>
      </w:tr>
      <w:tr w:rsidR="00A0308E" w:rsidRPr="003B10E2" w14:paraId="1A7FFAB5" w14:textId="77777777" w:rsidTr="00A0308E">
        <w:trPr>
          <w:trHeight w:val="300"/>
        </w:trPr>
        <w:tc>
          <w:tcPr>
            <w:tcW w:w="481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E688E4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Shengyang Science &amp;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nil"/>
              <w:bottom w:val="single" w:sz="4" w:space="0" w:color="000000"/>
              <w:right w:val="single" w:sz="4" w:space="0" w:color="000000"/>
            </w:tcBorders>
            <w:shd w:val="clear" w:color="auto" w:fill="auto"/>
            <w:noWrap/>
            <w:vAlign w:val="bottom"/>
            <w:hideMark/>
          </w:tcPr>
          <w:p w14:paraId="7C275F7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618.07</w:t>
            </w:r>
          </w:p>
        </w:tc>
        <w:tc>
          <w:tcPr>
            <w:tcW w:w="957" w:type="dxa"/>
            <w:tcBorders>
              <w:top w:val="single" w:sz="4" w:space="0" w:color="auto"/>
              <w:left w:val="nil"/>
              <w:bottom w:val="single" w:sz="4" w:space="0" w:color="000000"/>
              <w:right w:val="single" w:sz="4" w:space="0" w:color="000000"/>
            </w:tcBorders>
            <w:shd w:val="clear" w:color="auto" w:fill="auto"/>
            <w:noWrap/>
            <w:vAlign w:val="bottom"/>
            <w:hideMark/>
          </w:tcPr>
          <w:p w14:paraId="0D85FCA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14.79</w:t>
            </w:r>
          </w:p>
        </w:tc>
        <w:tc>
          <w:tcPr>
            <w:tcW w:w="1418" w:type="dxa"/>
            <w:tcBorders>
              <w:top w:val="single" w:sz="4" w:space="0" w:color="auto"/>
              <w:left w:val="nil"/>
              <w:bottom w:val="single" w:sz="4" w:space="0" w:color="000000"/>
              <w:right w:val="single" w:sz="4" w:space="0" w:color="000000"/>
            </w:tcBorders>
            <w:shd w:val="clear" w:color="auto" w:fill="auto"/>
            <w:noWrap/>
            <w:vAlign w:val="bottom"/>
            <w:hideMark/>
          </w:tcPr>
          <w:p w14:paraId="683A2A9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53.59</w:t>
            </w:r>
          </w:p>
        </w:tc>
      </w:tr>
      <w:tr w:rsidR="00A0308E" w:rsidRPr="003B10E2" w14:paraId="31E6B92B"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AC1B92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Shouxiangu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4E937B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923.68</w:t>
            </w:r>
          </w:p>
        </w:tc>
        <w:tc>
          <w:tcPr>
            <w:tcW w:w="957" w:type="dxa"/>
            <w:tcBorders>
              <w:top w:val="nil"/>
              <w:left w:val="nil"/>
              <w:bottom w:val="single" w:sz="4" w:space="0" w:color="000000"/>
              <w:right w:val="single" w:sz="4" w:space="0" w:color="000000"/>
            </w:tcBorders>
            <w:shd w:val="clear" w:color="auto" w:fill="auto"/>
            <w:noWrap/>
            <w:vAlign w:val="bottom"/>
            <w:hideMark/>
          </w:tcPr>
          <w:p w14:paraId="720ADE1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43.28</w:t>
            </w:r>
          </w:p>
        </w:tc>
        <w:tc>
          <w:tcPr>
            <w:tcW w:w="1418" w:type="dxa"/>
            <w:tcBorders>
              <w:top w:val="nil"/>
              <w:left w:val="nil"/>
              <w:bottom w:val="single" w:sz="4" w:space="0" w:color="000000"/>
              <w:right w:val="single" w:sz="4" w:space="0" w:color="000000"/>
            </w:tcBorders>
            <w:shd w:val="clear" w:color="auto" w:fill="auto"/>
            <w:noWrap/>
            <w:vAlign w:val="bottom"/>
            <w:hideMark/>
          </w:tcPr>
          <w:p w14:paraId="25F7E3B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146.88</w:t>
            </w:r>
          </w:p>
        </w:tc>
      </w:tr>
      <w:tr w:rsidR="00A0308E" w:rsidRPr="003B10E2" w14:paraId="430570A6"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B5A857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Starry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ABF97D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555.84</w:t>
            </w:r>
          </w:p>
        </w:tc>
        <w:tc>
          <w:tcPr>
            <w:tcW w:w="957" w:type="dxa"/>
            <w:tcBorders>
              <w:top w:val="nil"/>
              <w:left w:val="nil"/>
              <w:bottom w:val="single" w:sz="4" w:space="0" w:color="000000"/>
              <w:right w:val="single" w:sz="4" w:space="0" w:color="000000"/>
            </w:tcBorders>
            <w:shd w:val="clear" w:color="auto" w:fill="auto"/>
            <w:noWrap/>
            <w:vAlign w:val="bottom"/>
            <w:hideMark/>
          </w:tcPr>
          <w:p w14:paraId="03323E4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16.21</w:t>
            </w:r>
          </w:p>
        </w:tc>
        <w:tc>
          <w:tcPr>
            <w:tcW w:w="1418" w:type="dxa"/>
            <w:tcBorders>
              <w:top w:val="nil"/>
              <w:left w:val="nil"/>
              <w:bottom w:val="single" w:sz="4" w:space="0" w:color="000000"/>
              <w:right w:val="single" w:sz="4" w:space="0" w:color="000000"/>
            </w:tcBorders>
            <w:shd w:val="clear" w:color="auto" w:fill="auto"/>
            <w:noWrap/>
            <w:vAlign w:val="bottom"/>
            <w:hideMark/>
          </w:tcPr>
          <w:p w14:paraId="398BCB5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77.06</w:t>
            </w:r>
          </w:p>
        </w:tc>
      </w:tr>
      <w:tr w:rsidR="00A0308E" w:rsidRPr="003B10E2" w14:paraId="699F9559"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2BF742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Sunrise Garment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5D90DC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670.20</w:t>
            </w:r>
          </w:p>
        </w:tc>
        <w:tc>
          <w:tcPr>
            <w:tcW w:w="957" w:type="dxa"/>
            <w:tcBorders>
              <w:top w:val="nil"/>
              <w:left w:val="nil"/>
              <w:bottom w:val="single" w:sz="4" w:space="0" w:color="000000"/>
              <w:right w:val="single" w:sz="4" w:space="0" w:color="000000"/>
            </w:tcBorders>
            <w:shd w:val="clear" w:color="auto" w:fill="auto"/>
            <w:noWrap/>
            <w:vAlign w:val="bottom"/>
            <w:hideMark/>
          </w:tcPr>
          <w:p w14:paraId="32F2A24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8.62</w:t>
            </w:r>
          </w:p>
        </w:tc>
        <w:tc>
          <w:tcPr>
            <w:tcW w:w="1418" w:type="dxa"/>
            <w:tcBorders>
              <w:top w:val="nil"/>
              <w:left w:val="nil"/>
              <w:bottom w:val="single" w:sz="4" w:space="0" w:color="000000"/>
              <w:right w:val="single" w:sz="4" w:space="0" w:color="000000"/>
            </w:tcBorders>
            <w:shd w:val="clear" w:color="auto" w:fill="auto"/>
            <w:noWrap/>
            <w:vAlign w:val="bottom"/>
            <w:hideMark/>
          </w:tcPr>
          <w:p w14:paraId="2148317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11.21</w:t>
            </w:r>
          </w:p>
        </w:tc>
      </w:tr>
      <w:tr w:rsidR="00A0308E" w:rsidRPr="003B10E2" w14:paraId="19FF2873"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A316AB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Sunriver Culture,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4D80A8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787.09</w:t>
            </w:r>
          </w:p>
        </w:tc>
        <w:tc>
          <w:tcPr>
            <w:tcW w:w="957" w:type="dxa"/>
            <w:tcBorders>
              <w:top w:val="nil"/>
              <w:left w:val="nil"/>
              <w:bottom w:val="single" w:sz="4" w:space="0" w:color="000000"/>
              <w:right w:val="single" w:sz="4" w:space="0" w:color="000000"/>
            </w:tcBorders>
            <w:shd w:val="clear" w:color="auto" w:fill="auto"/>
            <w:noWrap/>
            <w:vAlign w:val="bottom"/>
            <w:hideMark/>
          </w:tcPr>
          <w:p w14:paraId="2F19D12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9.08</w:t>
            </w:r>
          </w:p>
        </w:tc>
        <w:tc>
          <w:tcPr>
            <w:tcW w:w="1418" w:type="dxa"/>
            <w:tcBorders>
              <w:top w:val="nil"/>
              <w:left w:val="nil"/>
              <w:bottom w:val="single" w:sz="4" w:space="0" w:color="000000"/>
              <w:right w:val="single" w:sz="4" w:space="0" w:color="000000"/>
            </w:tcBorders>
            <w:shd w:val="clear" w:color="auto" w:fill="auto"/>
            <w:noWrap/>
            <w:vAlign w:val="bottom"/>
            <w:hideMark/>
          </w:tcPr>
          <w:p w14:paraId="0C79069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90.53</w:t>
            </w:r>
          </w:p>
        </w:tc>
      </w:tr>
      <w:tr w:rsidR="00A0308E" w:rsidRPr="003B10E2" w14:paraId="5A9D490E"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CBF89D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Supcon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B17AA3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6 196.47</w:t>
            </w:r>
          </w:p>
        </w:tc>
        <w:tc>
          <w:tcPr>
            <w:tcW w:w="957" w:type="dxa"/>
            <w:tcBorders>
              <w:top w:val="nil"/>
              <w:left w:val="nil"/>
              <w:bottom w:val="single" w:sz="4" w:space="0" w:color="000000"/>
              <w:right w:val="single" w:sz="4" w:space="0" w:color="000000"/>
            </w:tcBorders>
            <w:shd w:val="clear" w:color="auto" w:fill="auto"/>
            <w:noWrap/>
            <w:vAlign w:val="bottom"/>
            <w:hideMark/>
          </w:tcPr>
          <w:p w14:paraId="25E9C0F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89.12</w:t>
            </w:r>
          </w:p>
        </w:tc>
        <w:tc>
          <w:tcPr>
            <w:tcW w:w="1418" w:type="dxa"/>
            <w:tcBorders>
              <w:top w:val="nil"/>
              <w:left w:val="nil"/>
              <w:bottom w:val="single" w:sz="4" w:space="0" w:color="000000"/>
              <w:right w:val="single" w:sz="4" w:space="0" w:color="000000"/>
            </w:tcBorders>
            <w:shd w:val="clear" w:color="auto" w:fill="auto"/>
            <w:noWrap/>
            <w:vAlign w:val="bottom"/>
            <w:hideMark/>
          </w:tcPr>
          <w:p w14:paraId="139BC9E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511.11</w:t>
            </w:r>
          </w:p>
        </w:tc>
      </w:tr>
      <w:tr w:rsidR="00A0308E" w:rsidRPr="003B10E2" w14:paraId="53029729"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F08896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Taihua New Material,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58B52A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1 201.38</w:t>
            </w:r>
          </w:p>
        </w:tc>
        <w:tc>
          <w:tcPr>
            <w:tcW w:w="957" w:type="dxa"/>
            <w:tcBorders>
              <w:top w:val="nil"/>
              <w:left w:val="nil"/>
              <w:bottom w:val="single" w:sz="4" w:space="0" w:color="000000"/>
              <w:right w:val="single" w:sz="4" w:space="0" w:color="000000"/>
            </w:tcBorders>
            <w:shd w:val="clear" w:color="auto" w:fill="auto"/>
            <w:noWrap/>
            <w:vAlign w:val="bottom"/>
            <w:hideMark/>
          </w:tcPr>
          <w:p w14:paraId="2CEE0F7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9.88</w:t>
            </w:r>
          </w:p>
        </w:tc>
        <w:tc>
          <w:tcPr>
            <w:tcW w:w="1418" w:type="dxa"/>
            <w:tcBorders>
              <w:top w:val="nil"/>
              <w:left w:val="nil"/>
              <w:bottom w:val="single" w:sz="4" w:space="0" w:color="000000"/>
              <w:right w:val="single" w:sz="4" w:space="0" w:color="000000"/>
            </w:tcBorders>
            <w:shd w:val="clear" w:color="auto" w:fill="auto"/>
            <w:noWrap/>
            <w:vAlign w:val="bottom"/>
            <w:hideMark/>
          </w:tcPr>
          <w:p w14:paraId="43D4BA7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34.53</w:t>
            </w:r>
          </w:p>
        </w:tc>
      </w:tr>
      <w:tr w:rsidR="00A0308E" w:rsidRPr="003B10E2" w14:paraId="1D71B62C"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56DEC9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Tengen Electrics,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51B326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508.90</w:t>
            </w:r>
          </w:p>
        </w:tc>
        <w:tc>
          <w:tcPr>
            <w:tcW w:w="957" w:type="dxa"/>
            <w:tcBorders>
              <w:top w:val="nil"/>
              <w:left w:val="nil"/>
              <w:bottom w:val="single" w:sz="4" w:space="0" w:color="000000"/>
              <w:right w:val="single" w:sz="4" w:space="0" w:color="000000"/>
            </w:tcBorders>
            <w:shd w:val="clear" w:color="auto" w:fill="auto"/>
            <w:noWrap/>
            <w:vAlign w:val="bottom"/>
            <w:hideMark/>
          </w:tcPr>
          <w:p w14:paraId="7F6889E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9.00</w:t>
            </w:r>
          </w:p>
        </w:tc>
        <w:tc>
          <w:tcPr>
            <w:tcW w:w="1418" w:type="dxa"/>
            <w:tcBorders>
              <w:top w:val="nil"/>
              <w:left w:val="nil"/>
              <w:bottom w:val="single" w:sz="4" w:space="0" w:color="000000"/>
              <w:right w:val="single" w:sz="4" w:space="0" w:color="000000"/>
            </w:tcBorders>
            <w:shd w:val="clear" w:color="auto" w:fill="auto"/>
            <w:noWrap/>
            <w:vAlign w:val="bottom"/>
            <w:hideMark/>
          </w:tcPr>
          <w:p w14:paraId="68804F5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30.53</w:t>
            </w:r>
          </w:p>
        </w:tc>
      </w:tr>
      <w:tr w:rsidR="00A0308E" w:rsidRPr="003B10E2" w14:paraId="7E7A8D46"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E66747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Three Stars New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B8F328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276.58</w:t>
            </w:r>
          </w:p>
        </w:tc>
        <w:tc>
          <w:tcPr>
            <w:tcW w:w="957" w:type="dxa"/>
            <w:tcBorders>
              <w:top w:val="nil"/>
              <w:left w:val="nil"/>
              <w:bottom w:val="single" w:sz="4" w:space="0" w:color="000000"/>
              <w:right w:val="single" w:sz="4" w:space="0" w:color="000000"/>
            </w:tcBorders>
            <w:shd w:val="clear" w:color="auto" w:fill="auto"/>
            <w:noWrap/>
            <w:vAlign w:val="bottom"/>
            <w:hideMark/>
          </w:tcPr>
          <w:p w14:paraId="2F92467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14.21</w:t>
            </w:r>
          </w:p>
        </w:tc>
        <w:tc>
          <w:tcPr>
            <w:tcW w:w="1418" w:type="dxa"/>
            <w:tcBorders>
              <w:top w:val="nil"/>
              <w:left w:val="nil"/>
              <w:bottom w:val="single" w:sz="4" w:space="0" w:color="000000"/>
              <w:right w:val="single" w:sz="4" w:space="0" w:color="000000"/>
            </w:tcBorders>
            <w:shd w:val="clear" w:color="auto" w:fill="auto"/>
            <w:noWrap/>
            <w:vAlign w:val="bottom"/>
            <w:hideMark/>
          </w:tcPr>
          <w:p w14:paraId="19A588B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25.84</w:t>
            </w:r>
          </w:p>
        </w:tc>
      </w:tr>
      <w:tr w:rsidR="00A0308E" w:rsidRPr="003B10E2" w14:paraId="25D29D75"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E8AAA7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Tiancheng Controls,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8BB8B8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499.47</w:t>
            </w:r>
          </w:p>
        </w:tc>
        <w:tc>
          <w:tcPr>
            <w:tcW w:w="957" w:type="dxa"/>
            <w:tcBorders>
              <w:top w:val="nil"/>
              <w:left w:val="nil"/>
              <w:bottom w:val="single" w:sz="4" w:space="0" w:color="000000"/>
              <w:right w:val="single" w:sz="4" w:space="0" w:color="000000"/>
            </w:tcBorders>
            <w:shd w:val="clear" w:color="auto" w:fill="auto"/>
            <w:noWrap/>
            <w:vAlign w:val="bottom"/>
            <w:hideMark/>
          </w:tcPr>
          <w:p w14:paraId="7DE569A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9.64</w:t>
            </w:r>
          </w:p>
        </w:tc>
        <w:tc>
          <w:tcPr>
            <w:tcW w:w="1418" w:type="dxa"/>
            <w:tcBorders>
              <w:top w:val="nil"/>
              <w:left w:val="nil"/>
              <w:bottom w:val="single" w:sz="4" w:space="0" w:color="000000"/>
              <w:right w:val="single" w:sz="4" w:space="0" w:color="000000"/>
            </w:tcBorders>
            <w:shd w:val="clear" w:color="auto" w:fill="auto"/>
            <w:noWrap/>
            <w:vAlign w:val="bottom"/>
            <w:hideMark/>
          </w:tcPr>
          <w:p w14:paraId="651305C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23.49</w:t>
            </w:r>
          </w:p>
        </w:tc>
      </w:tr>
      <w:tr w:rsidR="00A0308E" w:rsidRPr="003B10E2" w14:paraId="286B7578"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BEF616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Tiantai Xianghe Industrial,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97791D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471.48</w:t>
            </w:r>
          </w:p>
        </w:tc>
        <w:tc>
          <w:tcPr>
            <w:tcW w:w="957" w:type="dxa"/>
            <w:tcBorders>
              <w:top w:val="nil"/>
              <w:left w:val="nil"/>
              <w:bottom w:val="single" w:sz="4" w:space="0" w:color="000000"/>
              <w:right w:val="single" w:sz="4" w:space="0" w:color="000000"/>
            </w:tcBorders>
            <w:shd w:val="clear" w:color="auto" w:fill="auto"/>
            <w:noWrap/>
            <w:vAlign w:val="bottom"/>
            <w:hideMark/>
          </w:tcPr>
          <w:p w14:paraId="0B22C98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13.72</w:t>
            </w:r>
          </w:p>
        </w:tc>
        <w:tc>
          <w:tcPr>
            <w:tcW w:w="1418" w:type="dxa"/>
            <w:tcBorders>
              <w:top w:val="nil"/>
              <w:left w:val="nil"/>
              <w:bottom w:val="single" w:sz="4" w:space="0" w:color="000000"/>
              <w:right w:val="single" w:sz="4" w:space="0" w:color="000000"/>
            </w:tcBorders>
            <w:shd w:val="clear" w:color="auto" w:fill="auto"/>
            <w:noWrap/>
            <w:vAlign w:val="bottom"/>
            <w:hideMark/>
          </w:tcPr>
          <w:p w14:paraId="5099695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55.65</w:t>
            </w:r>
          </w:p>
        </w:tc>
      </w:tr>
      <w:tr w:rsidR="00A0308E" w:rsidRPr="003B10E2" w14:paraId="0F58C36B"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D8632EB"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Zhejiang Tieliu Clutch,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605C2F4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239.93</w:t>
            </w:r>
          </w:p>
        </w:tc>
        <w:tc>
          <w:tcPr>
            <w:tcW w:w="957" w:type="dxa"/>
            <w:tcBorders>
              <w:top w:val="nil"/>
              <w:left w:val="nil"/>
              <w:bottom w:val="single" w:sz="4" w:space="0" w:color="000000"/>
              <w:right w:val="single" w:sz="4" w:space="0" w:color="000000"/>
            </w:tcBorders>
            <w:shd w:val="clear" w:color="auto" w:fill="auto"/>
            <w:noWrap/>
            <w:vAlign w:val="bottom"/>
            <w:hideMark/>
          </w:tcPr>
          <w:p w14:paraId="4B8F4CD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9.71</w:t>
            </w:r>
          </w:p>
        </w:tc>
        <w:tc>
          <w:tcPr>
            <w:tcW w:w="1418" w:type="dxa"/>
            <w:tcBorders>
              <w:top w:val="nil"/>
              <w:left w:val="nil"/>
              <w:bottom w:val="single" w:sz="4" w:space="0" w:color="000000"/>
              <w:right w:val="single" w:sz="4" w:space="0" w:color="000000"/>
            </w:tcBorders>
            <w:shd w:val="clear" w:color="auto" w:fill="auto"/>
            <w:noWrap/>
            <w:vAlign w:val="bottom"/>
            <w:hideMark/>
          </w:tcPr>
          <w:p w14:paraId="538423A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10.93</w:t>
            </w:r>
          </w:p>
        </w:tc>
      </w:tr>
      <w:tr w:rsidR="00A0308E" w:rsidRPr="003B10E2" w14:paraId="5814D788"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B4D9C1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Tony Electronic,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B6ADFD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1 307.70</w:t>
            </w:r>
          </w:p>
        </w:tc>
        <w:tc>
          <w:tcPr>
            <w:tcW w:w="957" w:type="dxa"/>
            <w:tcBorders>
              <w:top w:val="nil"/>
              <w:left w:val="nil"/>
              <w:bottom w:val="single" w:sz="4" w:space="0" w:color="000000"/>
              <w:right w:val="single" w:sz="4" w:space="0" w:color="000000"/>
            </w:tcBorders>
            <w:shd w:val="clear" w:color="auto" w:fill="auto"/>
            <w:noWrap/>
            <w:vAlign w:val="bottom"/>
            <w:hideMark/>
          </w:tcPr>
          <w:p w14:paraId="5E1B57F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40.20</w:t>
            </w:r>
          </w:p>
        </w:tc>
        <w:tc>
          <w:tcPr>
            <w:tcW w:w="1418" w:type="dxa"/>
            <w:tcBorders>
              <w:top w:val="nil"/>
              <w:left w:val="nil"/>
              <w:bottom w:val="single" w:sz="4" w:space="0" w:color="000000"/>
              <w:right w:val="single" w:sz="4" w:space="0" w:color="000000"/>
            </w:tcBorders>
            <w:shd w:val="clear" w:color="auto" w:fill="auto"/>
            <w:noWrap/>
            <w:vAlign w:val="bottom"/>
            <w:hideMark/>
          </w:tcPr>
          <w:p w14:paraId="5A0A4C1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69.84</w:t>
            </w:r>
          </w:p>
        </w:tc>
      </w:tr>
      <w:tr w:rsidR="00A0308E" w:rsidRPr="003B10E2" w14:paraId="5E8392C1"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29D4E7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Tuna Environmental Science &amp;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7D78E0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331.60</w:t>
            </w:r>
          </w:p>
        </w:tc>
        <w:tc>
          <w:tcPr>
            <w:tcW w:w="957" w:type="dxa"/>
            <w:tcBorders>
              <w:top w:val="nil"/>
              <w:left w:val="nil"/>
              <w:bottom w:val="single" w:sz="4" w:space="0" w:color="000000"/>
              <w:right w:val="single" w:sz="4" w:space="0" w:color="000000"/>
            </w:tcBorders>
            <w:shd w:val="clear" w:color="auto" w:fill="auto"/>
            <w:noWrap/>
            <w:vAlign w:val="bottom"/>
            <w:hideMark/>
          </w:tcPr>
          <w:p w14:paraId="036FC2B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11.73</w:t>
            </w:r>
          </w:p>
        </w:tc>
        <w:tc>
          <w:tcPr>
            <w:tcW w:w="1418" w:type="dxa"/>
            <w:tcBorders>
              <w:top w:val="nil"/>
              <w:left w:val="nil"/>
              <w:bottom w:val="single" w:sz="4" w:space="0" w:color="000000"/>
              <w:right w:val="single" w:sz="4" w:space="0" w:color="000000"/>
            </w:tcBorders>
            <w:shd w:val="clear" w:color="auto" w:fill="auto"/>
            <w:noWrap/>
            <w:vAlign w:val="bottom"/>
            <w:hideMark/>
          </w:tcPr>
          <w:p w14:paraId="718D8DB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28.55</w:t>
            </w:r>
          </w:p>
        </w:tc>
      </w:tr>
      <w:tr w:rsidR="00A0308E" w:rsidRPr="003B10E2" w14:paraId="0D015305"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8A1E32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Wanfeng Chemical,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593743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34DDDB9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17.24</w:t>
            </w:r>
          </w:p>
        </w:tc>
        <w:tc>
          <w:tcPr>
            <w:tcW w:w="1418" w:type="dxa"/>
            <w:tcBorders>
              <w:top w:val="nil"/>
              <w:left w:val="nil"/>
              <w:bottom w:val="single" w:sz="4" w:space="0" w:color="000000"/>
              <w:right w:val="single" w:sz="4" w:space="0" w:color="000000"/>
            </w:tcBorders>
            <w:shd w:val="clear" w:color="auto" w:fill="auto"/>
            <w:noWrap/>
            <w:vAlign w:val="bottom"/>
            <w:hideMark/>
          </w:tcPr>
          <w:p w14:paraId="3E3EDF1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41.27</w:t>
            </w:r>
          </w:p>
        </w:tc>
      </w:tr>
      <w:tr w:rsidR="00A0308E" w:rsidRPr="003B10E2" w14:paraId="50165286"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6DA9C3E"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Zhejiang Wansheng,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0BA8BD8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728.71</w:t>
            </w:r>
          </w:p>
        </w:tc>
        <w:tc>
          <w:tcPr>
            <w:tcW w:w="957" w:type="dxa"/>
            <w:tcBorders>
              <w:top w:val="nil"/>
              <w:left w:val="nil"/>
              <w:bottom w:val="single" w:sz="4" w:space="0" w:color="000000"/>
              <w:right w:val="single" w:sz="4" w:space="0" w:color="000000"/>
            </w:tcBorders>
            <w:shd w:val="clear" w:color="auto" w:fill="auto"/>
            <w:noWrap/>
            <w:vAlign w:val="bottom"/>
            <w:hideMark/>
          </w:tcPr>
          <w:p w14:paraId="637CD1E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10.73</w:t>
            </w:r>
          </w:p>
        </w:tc>
        <w:tc>
          <w:tcPr>
            <w:tcW w:w="1418" w:type="dxa"/>
            <w:tcBorders>
              <w:top w:val="nil"/>
              <w:left w:val="nil"/>
              <w:bottom w:val="single" w:sz="4" w:space="0" w:color="000000"/>
              <w:right w:val="single" w:sz="4" w:space="0" w:color="000000"/>
            </w:tcBorders>
            <w:shd w:val="clear" w:color="auto" w:fill="auto"/>
            <w:noWrap/>
            <w:vAlign w:val="bottom"/>
            <w:hideMark/>
          </w:tcPr>
          <w:p w14:paraId="468DFC5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19.73</w:t>
            </w:r>
          </w:p>
        </w:tc>
      </w:tr>
      <w:tr w:rsidR="00A0308E" w:rsidRPr="003B10E2" w14:paraId="0343F7A9"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368AC0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Weiming Environment Protection,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19B8D9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3 100.57</w:t>
            </w:r>
          </w:p>
        </w:tc>
        <w:tc>
          <w:tcPr>
            <w:tcW w:w="957" w:type="dxa"/>
            <w:tcBorders>
              <w:top w:val="nil"/>
              <w:left w:val="nil"/>
              <w:bottom w:val="single" w:sz="4" w:space="0" w:color="000000"/>
              <w:right w:val="single" w:sz="4" w:space="0" w:color="000000"/>
            </w:tcBorders>
            <w:shd w:val="clear" w:color="auto" w:fill="auto"/>
            <w:noWrap/>
            <w:vAlign w:val="bottom"/>
            <w:hideMark/>
          </w:tcPr>
          <w:p w14:paraId="27938A9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17.00</w:t>
            </w:r>
          </w:p>
        </w:tc>
        <w:tc>
          <w:tcPr>
            <w:tcW w:w="1418" w:type="dxa"/>
            <w:tcBorders>
              <w:top w:val="nil"/>
              <w:left w:val="nil"/>
              <w:bottom w:val="single" w:sz="4" w:space="0" w:color="000000"/>
              <w:right w:val="single" w:sz="4" w:space="0" w:color="000000"/>
            </w:tcBorders>
            <w:shd w:val="clear" w:color="auto" w:fill="auto"/>
            <w:noWrap/>
            <w:vAlign w:val="bottom"/>
            <w:hideMark/>
          </w:tcPr>
          <w:p w14:paraId="62376C5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36.31</w:t>
            </w:r>
          </w:p>
        </w:tc>
      </w:tr>
      <w:tr w:rsidR="00A0308E" w:rsidRPr="003B10E2" w14:paraId="4E54FEA8"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180CEC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Wufangzhai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588C37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0ABEA42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49.55</w:t>
            </w:r>
          </w:p>
        </w:tc>
        <w:tc>
          <w:tcPr>
            <w:tcW w:w="1418" w:type="dxa"/>
            <w:tcBorders>
              <w:top w:val="nil"/>
              <w:left w:val="nil"/>
              <w:bottom w:val="single" w:sz="4" w:space="0" w:color="000000"/>
              <w:right w:val="single" w:sz="4" w:space="0" w:color="000000"/>
            </w:tcBorders>
            <w:shd w:val="clear" w:color="auto" w:fill="auto"/>
            <w:noWrap/>
            <w:vAlign w:val="bottom"/>
            <w:hideMark/>
          </w:tcPr>
          <w:p w14:paraId="4EAC982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70.99</w:t>
            </w:r>
          </w:p>
        </w:tc>
      </w:tr>
      <w:tr w:rsidR="00A0308E" w:rsidRPr="003B10E2" w14:paraId="3B6827E0"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DBA569D"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Zhejiang XCC Group,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609987D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513.41</w:t>
            </w:r>
          </w:p>
        </w:tc>
        <w:tc>
          <w:tcPr>
            <w:tcW w:w="957" w:type="dxa"/>
            <w:tcBorders>
              <w:top w:val="nil"/>
              <w:left w:val="nil"/>
              <w:bottom w:val="single" w:sz="4" w:space="0" w:color="000000"/>
              <w:right w:val="single" w:sz="4" w:space="0" w:color="000000"/>
            </w:tcBorders>
            <w:shd w:val="clear" w:color="auto" w:fill="auto"/>
            <w:noWrap/>
            <w:vAlign w:val="bottom"/>
            <w:hideMark/>
          </w:tcPr>
          <w:p w14:paraId="7CFE50B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12.18</w:t>
            </w:r>
          </w:p>
        </w:tc>
        <w:tc>
          <w:tcPr>
            <w:tcW w:w="1418" w:type="dxa"/>
            <w:tcBorders>
              <w:top w:val="nil"/>
              <w:left w:val="nil"/>
              <w:bottom w:val="single" w:sz="4" w:space="0" w:color="000000"/>
              <w:right w:val="single" w:sz="4" w:space="0" w:color="000000"/>
            </w:tcBorders>
            <w:shd w:val="clear" w:color="auto" w:fill="auto"/>
            <w:noWrap/>
            <w:vAlign w:val="bottom"/>
            <w:hideMark/>
          </w:tcPr>
          <w:p w14:paraId="436CAE5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45.80</w:t>
            </w:r>
          </w:p>
        </w:tc>
      </w:tr>
      <w:tr w:rsidR="00A0308E" w:rsidRPr="003B10E2" w14:paraId="01F9B830"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5CE9D0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Xiantong Rubber&amp;Plastic,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26B21E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603.92</w:t>
            </w:r>
          </w:p>
        </w:tc>
        <w:tc>
          <w:tcPr>
            <w:tcW w:w="957" w:type="dxa"/>
            <w:tcBorders>
              <w:top w:val="nil"/>
              <w:left w:val="nil"/>
              <w:bottom w:val="single" w:sz="4" w:space="0" w:color="000000"/>
              <w:right w:val="single" w:sz="4" w:space="0" w:color="000000"/>
            </w:tcBorders>
            <w:shd w:val="clear" w:color="auto" w:fill="auto"/>
            <w:noWrap/>
            <w:vAlign w:val="bottom"/>
            <w:hideMark/>
          </w:tcPr>
          <w:p w14:paraId="62FFBD1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15.94</w:t>
            </w:r>
          </w:p>
        </w:tc>
        <w:tc>
          <w:tcPr>
            <w:tcW w:w="1418" w:type="dxa"/>
            <w:tcBorders>
              <w:top w:val="nil"/>
              <w:left w:val="nil"/>
              <w:bottom w:val="single" w:sz="4" w:space="0" w:color="000000"/>
              <w:right w:val="single" w:sz="4" w:space="0" w:color="000000"/>
            </w:tcBorders>
            <w:shd w:val="clear" w:color="auto" w:fill="auto"/>
            <w:noWrap/>
            <w:vAlign w:val="bottom"/>
            <w:hideMark/>
          </w:tcPr>
          <w:p w14:paraId="0806A52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34.68</w:t>
            </w:r>
          </w:p>
        </w:tc>
      </w:tr>
      <w:tr w:rsidR="00A0308E" w:rsidRPr="003B10E2" w14:paraId="7A003D80"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41BAAB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Xinan Chemical Industrial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470AE1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1 278.18</w:t>
            </w:r>
          </w:p>
        </w:tc>
        <w:tc>
          <w:tcPr>
            <w:tcW w:w="957" w:type="dxa"/>
            <w:tcBorders>
              <w:top w:val="nil"/>
              <w:left w:val="nil"/>
              <w:bottom w:val="single" w:sz="4" w:space="0" w:color="000000"/>
              <w:right w:val="single" w:sz="4" w:space="0" w:color="000000"/>
            </w:tcBorders>
            <w:shd w:val="clear" w:color="auto" w:fill="auto"/>
            <w:noWrap/>
            <w:vAlign w:val="bottom"/>
            <w:hideMark/>
          </w:tcPr>
          <w:p w14:paraId="41D4362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11.16</w:t>
            </w:r>
          </w:p>
        </w:tc>
        <w:tc>
          <w:tcPr>
            <w:tcW w:w="1418" w:type="dxa"/>
            <w:tcBorders>
              <w:top w:val="nil"/>
              <w:left w:val="nil"/>
              <w:bottom w:val="single" w:sz="4" w:space="0" w:color="000000"/>
              <w:right w:val="single" w:sz="4" w:space="0" w:color="000000"/>
            </w:tcBorders>
            <w:shd w:val="clear" w:color="auto" w:fill="auto"/>
            <w:noWrap/>
            <w:vAlign w:val="bottom"/>
            <w:hideMark/>
          </w:tcPr>
          <w:p w14:paraId="052F133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66.73</w:t>
            </w:r>
          </w:p>
        </w:tc>
      </w:tr>
      <w:tr w:rsidR="00A0308E" w:rsidRPr="003B10E2" w14:paraId="5E6AD519"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6445D9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Xinao Textiles,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7C87BF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557.19</w:t>
            </w:r>
          </w:p>
        </w:tc>
        <w:tc>
          <w:tcPr>
            <w:tcW w:w="957" w:type="dxa"/>
            <w:tcBorders>
              <w:top w:val="nil"/>
              <w:left w:val="nil"/>
              <w:bottom w:val="single" w:sz="4" w:space="0" w:color="000000"/>
              <w:right w:val="single" w:sz="4" w:space="0" w:color="000000"/>
            </w:tcBorders>
            <w:shd w:val="clear" w:color="auto" w:fill="auto"/>
            <w:noWrap/>
            <w:vAlign w:val="bottom"/>
            <w:hideMark/>
          </w:tcPr>
          <w:p w14:paraId="2149BA6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7.78</w:t>
            </w:r>
          </w:p>
        </w:tc>
        <w:tc>
          <w:tcPr>
            <w:tcW w:w="1418" w:type="dxa"/>
            <w:tcBorders>
              <w:top w:val="nil"/>
              <w:left w:val="nil"/>
              <w:bottom w:val="single" w:sz="4" w:space="0" w:color="000000"/>
              <w:right w:val="single" w:sz="4" w:space="0" w:color="000000"/>
            </w:tcBorders>
            <w:shd w:val="clear" w:color="auto" w:fill="auto"/>
            <w:noWrap/>
            <w:vAlign w:val="bottom"/>
            <w:hideMark/>
          </w:tcPr>
          <w:p w14:paraId="248005C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157.36</w:t>
            </w:r>
          </w:p>
        </w:tc>
      </w:tr>
      <w:tr w:rsidR="00A0308E" w:rsidRPr="003B10E2" w14:paraId="2DE999A5"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37DFB3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Xinhua Chemical,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31A823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722.34</w:t>
            </w:r>
          </w:p>
        </w:tc>
        <w:tc>
          <w:tcPr>
            <w:tcW w:w="957" w:type="dxa"/>
            <w:tcBorders>
              <w:top w:val="nil"/>
              <w:left w:val="nil"/>
              <w:bottom w:val="single" w:sz="4" w:space="0" w:color="000000"/>
              <w:right w:val="single" w:sz="4" w:space="0" w:color="000000"/>
            </w:tcBorders>
            <w:shd w:val="clear" w:color="auto" w:fill="auto"/>
            <w:noWrap/>
            <w:vAlign w:val="bottom"/>
            <w:hideMark/>
          </w:tcPr>
          <w:p w14:paraId="3B020B5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36.50</w:t>
            </w:r>
          </w:p>
        </w:tc>
        <w:tc>
          <w:tcPr>
            <w:tcW w:w="1418" w:type="dxa"/>
            <w:tcBorders>
              <w:top w:val="nil"/>
              <w:left w:val="nil"/>
              <w:bottom w:val="single" w:sz="4" w:space="0" w:color="000000"/>
              <w:right w:val="single" w:sz="4" w:space="0" w:color="000000"/>
            </w:tcBorders>
            <w:shd w:val="clear" w:color="auto" w:fill="auto"/>
            <w:noWrap/>
            <w:vAlign w:val="bottom"/>
            <w:hideMark/>
          </w:tcPr>
          <w:p w14:paraId="5878D0A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64.15</w:t>
            </w:r>
          </w:p>
        </w:tc>
      </w:tr>
      <w:tr w:rsidR="00A0308E" w:rsidRPr="003B10E2" w14:paraId="674EE4C6"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5B815E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Xinneng Photovoltaic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22CF2E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1 131.48</w:t>
            </w:r>
          </w:p>
        </w:tc>
        <w:tc>
          <w:tcPr>
            <w:tcW w:w="957" w:type="dxa"/>
            <w:tcBorders>
              <w:top w:val="nil"/>
              <w:left w:val="nil"/>
              <w:bottom w:val="single" w:sz="4" w:space="0" w:color="000000"/>
              <w:right w:val="single" w:sz="4" w:space="0" w:color="000000"/>
            </w:tcBorders>
            <w:shd w:val="clear" w:color="auto" w:fill="auto"/>
            <w:noWrap/>
            <w:vAlign w:val="bottom"/>
            <w:hideMark/>
          </w:tcPr>
          <w:p w14:paraId="016FFD9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16.17</w:t>
            </w:r>
          </w:p>
        </w:tc>
        <w:tc>
          <w:tcPr>
            <w:tcW w:w="1418" w:type="dxa"/>
            <w:tcBorders>
              <w:top w:val="nil"/>
              <w:left w:val="nil"/>
              <w:bottom w:val="single" w:sz="4" w:space="0" w:color="000000"/>
              <w:right w:val="single" w:sz="4" w:space="0" w:color="000000"/>
            </w:tcBorders>
            <w:shd w:val="clear" w:color="auto" w:fill="auto"/>
            <w:noWrap/>
            <w:vAlign w:val="bottom"/>
            <w:hideMark/>
          </w:tcPr>
          <w:p w14:paraId="4061142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305.38</w:t>
            </w:r>
          </w:p>
        </w:tc>
      </w:tr>
      <w:tr w:rsidR="00A0308E" w:rsidRPr="003B10E2" w14:paraId="1FBBC7D5"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8AB659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Xinzhonggang Thermal 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265D7C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533.52</w:t>
            </w:r>
          </w:p>
        </w:tc>
        <w:tc>
          <w:tcPr>
            <w:tcW w:w="957" w:type="dxa"/>
            <w:tcBorders>
              <w:top w:val="nil"/>
              <w:left w:val="nil"/>
              <w:bottom w:val="single" w:sz="4" w:space="0" w:color="000000"/>
              <w:right w:val="single" w:sz="4" w:space="0" w:color="000000"/>
            </w:tcBorders>
            <w:shd w:val="clear" w:color="auto" w:fill="auto"/>
            <w:noWrap/>
            <w:vAlign w:val="bottom"/>
            <w:hideMark/>
          </w:tcPr>
          <w:p w14:paraId="5814D44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9.52</w:t>
            </w:r>
          </w:p>
        </w:tc>
        <w:tc>
          <w:tcPr>
            <w:tcW w:w="1418" w:type="dxa"/>
            <w:tcBorders>
              <w:top w:val="nil"/>
              <w:left w:val="nil"/>
              <w:bottom w:val="single" w:sz="4" w:space="0" w:color="000000"/>
              <w:right w:val="single" w:sz="4" w:space="0" w:color="000000"/>
            </w:tcBorders>
            <w:shd w:val="clear" w:color="auto" w:fill="auto"/>
            <w:noWrap/>
            <w:vAlign w:val="bottom"/>
            <w:hideMark/>
          </w:tcPr>
          <w:p w14:paraId="3220647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100.48</w:t>
            </w:r>
          </w:p>
        </w:tc>
      </w:tr>
      <w:tr w:rsidR="00A0308E" w:rsidRPr="003B10E2" w14:paraId="6867CD47"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1EE079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Yaguang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3A674E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43DF0F6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34.32</w:t>
            </w:r>
          </w:p>
        </w:tc>
        <w:tc>
          <w:tcPr>
            <w:tcW w:w="1418" w:type="dxa"/>
            <w:tcBorders>
              <w:top w:val="nil"/>
              <w:left w:val="nil"/>
              <w:bottom w:val="single" w:sz="4" w:space="0" w:color="000000"/>
              <w:right w:val="single" w:sz="4" w:space="0" w:color="000000"/>
            </w:tcBorders>
            <w:shd w:val="clear" w:color="auto" w:fill="auto"/>
            <w:noWrap/>
            <w:vAlign w:val="bottom"/>
            <w:hideMark/>
          </w:tcPr>
          <w:p w14:paraId="5F5F5C6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49.60</w:t>
            </w:r>
          </w:p>
        </w:tc>
      </w:tr>
      <w:tr w:rsidR="00A0308E" w:rsidRPr="003B10E2" w14:paraId="39D18A1F"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13B070A"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Zhejiang Yankon Group,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0089FA3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694.91</w:t>
            </w:r>
          </w:p>
        </w:tc>
        <w:tc>
          <w:tcPr>
            <w:tcW w:w="957" w:type="dxa"/>
            <w:tcBorders>
              <w:top w:val="nil"/>
              <w:left w:val="nil"/>
              <w:bottom w:val="single" w:sz="4" w:space="0" w:color="000000"/>
              <w:right w:val="single" w:sz="4" w:space="0" w:color="000000"/>
            </w:tcBorders>
            <w:shd w:val="clear" w:color="auto" w:fill="auto"/>
            <w:noWrap/>
            <w:vAlign w:val="bottom"/>
            <w:hideMark/>
          </w:tcPr>
          <w:p w14:paraId="4850623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3.51</w:t>
            </w:r>
          </w:p>
        </w:tc>
        <w:tc>
          <w:tcPr>
            <w:tcW w:w="1418" w:type="dxa"/>
            <w:tcBorders>
              <w:top w:val="nil"/>
              <w:left w:val="nil"/>
              <w:bottom w:val="single" w:sz="4" w:space="0" w:color="000000"/>
              <w:right w:val="single" w:sz="4" w:space="0" w:color="000000"/>
            </w:tcBorders>
            <w:shd w:val="clear" w:color="auto" w:fill="auto"/>
            <w:noWrap/>
            <w:vAlign w:val="bottom"/>
            <w:hideMark/>
          </w:tcPr>
          <w:p w14:paraId="4ED4190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20.48</w:t>
            </w:r>
          </w:p>
        </w:tc>
      </w:tr>
      <w:tr w:rsidR="00A0308E" w:rsidRPr="003B10E2" w14:paraId="5C048780"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6AC99E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Yingfeng Technology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699408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360.23</w:t>
            </w:r>
          </w:p>
        </w:tc>
        <w:tc>
          <w:tcPr>
            <w:tcW w:w="957" w:type="dxa"/>
            <w:tcBorders>
              <w:top w:val="nil"/>
              <w:left w:val="nil"/>
              <w:bottom w:val="single" w:sz="4" w:space="0" w:color="000000"/>
              <w:right w:val="single" w:sz="4" w:space="0" w:color="000000"/>
            </w:tcBorders>
            <w:shd w:val="clear" w:color="auto" w:fill="auto"/>
            <w:noWrap/>
            <w:vAlign w:val="bottom"/>
            <w:hideMark/>
          </w:tcPr>
          <w:p w14:paraId="104D86C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5.85</w:t>
            </w:r>
          </w:p>
        </w:tc>
        <w:tc>
          <w:tcPr>
            <w:tcW w:w="1418" w:type="dxa"/>
            <w:tcBorders>
              <w:top w:val="nil"/>
              <w:left w:val="nil"/>
              <w:bottom w:val="single" w:sz="4" w:space="0" w:color="000000"/>
              <w:right w:val="single" w:sz="4" w:space="0" w:color="000000"/>
            </w:tcBorders>
            <w:shd w:val="clear" w:color="auto" w:fill="auto"/>
            <w:noWrap/>
            <w:vAlign w:val="bottom"/>
            <w:hideMark/>
          </w:tcPr>
          <w:p w14:paraId="09389DA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8.84</w:t>
            </w:r>
          </w:p>
        </w:tc>
      </w:tr>
      <w:tr w:rsidR="00A0308E" w:rsidRPr="003B10E2" w14:paraId="7741C0BB"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4CF1B0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Yonghe Refrigerant,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84DD4F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1 386.60</w:t>
            </w:r>
          </w:p>
        </w:tc>
        <w:tc>
          <w:tcPr>
            <w:tcW w:w="957" w:type="dxa"/>
            <w:tcBorders>
              <w:top w:val="nil"/>
              <w:left w:val="nil"/>
              <w:bottom w:val="single" w:sz="4" w:space="0" w:color="000000"/>
              <w:right w:val="single" w:sz="4" w:space="0" w:color="000000"/>
            </w:tcBorders>
            <w:shd w:val="clear" w:color="auto" w:fill="auto"/>
            <w:noWrap/>
            <w:vAlign w:val="bottom"/>
            <w:hideMark/>
          </w:tcPr>
          <w:p w14:paraId="2CEF91E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36.73</w:t>
            </w:r>
          </w:p>
        </w:tc>
        <w:tc>
          <w:tcPr>
            <w:tcW w:w="1418" w:type="dxa"/>
            <w:tcBorders>
              <w:top w:val="nil"/>
              <w:left w:val="nil"/>
              <w:bottom w:val="single" w:sz="4" w:space="0" w:color="000000"/>
              <w:right w:val="single" w:sz="4" w:space="0" w:color="000000"/>
            </w:tcBorders>
            <w:shd w:val="clear" w:color="auto" w:fill="auto"/>
            <w:noWrap/>
            <w:vAlign w:val="bottom"/>
            <w:hideMark/>
          </w:tcPr>
          <w:p w14:paraId="7DBDD92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49.99</w:t>
            </w:r>
          </w:p>
        </w:tc>
      </w:tr>
      <w:tr w:rsidR="00A0308E" w:rsidRPr="003B10E2" w14:paraId="1DB671CF"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08BAC1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Yongjin Metal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954AB7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792.13</w:t>
            </w:r>
          </w:p>
        </w:tc>
        <w:tc>
          <w:tcPr>
            <w:tcW w:w="957" w:type="dxa"/>
            <w:tcBorders>
              <w:top w:val="nil"/>
              <w:left w:val="nil"/>
              <w:bottom w:val="single" w:sz="4" w:space="0" w:color="000000"/>
              <w:right w:val="single" w:sz="4" w:space="0" w:color="000000"/>
            </w:tcBorders>
            <w:shd w:val="clear" w:color="auto" w:fill="auto"/>
            <w:noWrap/>
            <w:vAlign w:val="bottom"/>
            <w:hideMark/>
          </w:tcPr>
          <w:p w14:paraId="4042E34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24.28</w:t>
            </w:r>
          </w:p>
        </w:tc>
        <w:tc>
          <w:tcPr>
            <w:tcW w:w="1418" w:type="dxa"/>
            <w:tcBorders>
              <w:top w:val="nil"/>
              <w:left w:val="nil"/>
              <w:bottom w:val="single" w:sz="4" w:space="0" w:color="000000"/>
              <w:right w:val="single" w:sz="4" w:space="0" w:color="000000"/>
            </w:tcBorders>
            <w:shd w:val="clear" w:color="auto" w:fill="auto"/>
            <w:noWrap/>
            <w:vAlign w:val="bottom"/>
            <w:hideMark/>
          </w:tcPr>
          <w:p w14:paraId="6115D5C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36.07</w:t>
            </w:r>
          </w:p>
        </w:tc>
      </w:tr>
      <w:tr w:rsidR="00A0308E" w:rsidRPr="003B10E2" w14:paraId="18804C6F"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B38CF1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Yuancheng Landscape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D6E7F3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398.65</w:t>
            </w:r>
          </w:p>
        </w:tc>
        <w:tc>
          <w:tcPr>
            <w:tcW w:w="957" w:type="dxa"/>
            <w:tcBorders>
              <w:top w:val="nil"/>
              <w:left w:val="nil"/>
              <w:bottom w:val="single" w:sz="4" w:space="0" w:color="000000"/>
              <w:right w:val="single" w:sz="4" w:space="0" w:color="000000"/>
            </w:tcBorders>
            <w:shd w:val="clear" w:color="auto" w:fill="auto"/>
            <w:noWrap/>
            <w:vAlign w:val="bottom"/>
            <w:hideMark/>
          </w:tcPr>
          <w:p w14:paraId="231398E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9.99</w:t>
            </w:r>
          </w:p>
        </w:tc>
        <w:tc>
          <w:tcPr>
            <w:tcW w:w="1418" w:type="dxa"/>
            <w:tcBorders>
              <w:top w:val="nil"/>
              <w:left w:val="nil"/>
              <w:bottom w:val="single" w:sz="4" w:space="0" w:color="000000"/>
              <w:right w:val="single" w:sz="4" w:space="0" w:color="000000"/>
            </w:tcBorders>
            <w:shd w:val="clear" w:color="auto" w:fill="auto"/>
            <w:noWrap/>
            <w:vAlign w:val="bottom"/>
            <w:hideMark/>
          </w:tcPr>
          <w:p w14:paraId="41DEB98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202.46</w:t>
            </w:r>
          </w:p>
        </w:tc>
      </w:tr>
      <w:tr w:rsidR="00A0308E" w:rsidRPr="003B10E2" w14:paraId="7998F5DD"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D00F061"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Yuejian Intelligent Equipment,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812799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282.64</w:t>
            </w:r>
          </w:p>
        </w:tc>
        <w:tc>
          <w:tcPr>
            <w:tcW w:w="957" w:type="dxa"/>
            <w:tcBorders>
              <w:top w:val="nil"/>
              <w:left w:val="nil"/>
              <w:bottom w:val="single" w:sz="4" w:space="0" w:color="000000"/>
              <w:right w:val="single" w:sz="4" w:space="0" w:color="000000"/>
            </w:tcBorders>
            <w:shd w:val="clear" w:color="auto" w:fill="auto"/>
            <w:noWrap/>
            <w:vAlign w:val="bottom"/>
            <w:hideMark/>
          </w:tcPr>
          <w:p w14:paraId="77CFE3E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15.30</w:t>
            </w:r>
          </w:p>
        </w:tc>
        <w:tc>
          <w:tcPr>
            <w:tcW w:w="1418" w:type="dxa"/>
            <w:tcBorders>
              <w:top w:val="nil"/>
              <w:left w:val="nil"/>
              <w:bottom w:val="single" w:sz="4" w:space="0" w:color="000000"/>
              <w:right w:val="single" w:sz="4" w:space="0" w:color="000000"/>
            </w:tcBorders>
            <w:shd w:val="clear" w:color="auto" w:fill="auto"/>
            <w:noWrap/>
            <w:vAlign w:val="bottom"/>
            <w:hideMark/>
          </w:tcPr>
          <w:p w14:paraId="7D6728E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8.60</w:t>
            </w:r>
          </w:p>
        </w:tc>
      </w:tr>
      <w:tr w:rsidR="00A0308E" w:rsidRPr="003B10E2" w14:paraId="07285C6D"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C1D184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Yunzhongma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339DC9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5DCFB97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22.90</w:t>
            </w:r>
          </w:p>
        </w:tc>
        <w:tc>
          <w:tcPr>
            <w:tcW w:w="1418" w:type="dxa"/>
            <w:tcBorders>
              <w:top w:val="nil"/>
              <w:left w:val="nil"/>
              <w:bottom w:val="single" w:sz="4" w:space="0" w:color="000000"/>
              <w:right w:val="single" w:sz="4" w:space="0" w:color="000000"/>
            </w:tcBorders>
            <w:shd w:val="clear" w:color="auto" w:fill="auto"/>
            <w:noWrap/>
            <w:vAlign w:val="bottom"/>
            <w:hideMark/>
          </w:tcPr>
          <w:p w14:paraId="050AB75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38.74</w:t>
            </w:r>
          </w:p>
        </w:tc>
      </w:tr>
      <w:tr w:rsidR="00A0308E" w:rsidRPr="003B10E2" w14:paraId="23CA0E12"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26E709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Zheneng Electric 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1E1B35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9 516.96</w:t>
            </w:r>
          </w:p>
        </w:tc>
        <w:tc>
          <w:tcPr>
            <w:tcW w:w="957" w:type="dxa"/>
            <w:tcBorders>
              <w:top w:val="nil"/>
              <w:left w:val="nil"/>
              <w:bottom w:val="single" w:sz="4" w:space="0" w:color="000000"/>
              <w:right w:val="single" w:sz="4" w:space="0" w:color="000000"/>
            </w:tcBorders>
            <w:shd w:val="clear" w:color="auto" w:fill="auto"/>
            <w:noWrap/>
            <w:vAlign w:val="bottom"/>
            <w:hideMark/>
          </w:tcPr>
          <w:p w14:paraId="5AA9AE5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5.00</w:t>
            </w:r>
          </w:p>
        </w:tc>
        <w:tc>
          <w:tcPr>
            <w:tcW w:w="1418" w:type="dxa"/>
            <w:tcBorders>
              <w:top w:val="nil"/>
              <w:left w:val="nil"/>
              <w:bottom w:val="single" w:sz="4" w:space="0" w:color="000000"/>
              <w:right w:val="single" w:sz="4" w:space="0" w:color="000000"/>
            </w:tcBorders>
            <w:shd w:val="clear" w:color="auto" w:fill="auto"/>
            <w:noWrap/>
            <w:vAlign w:val="bottom"/>
            <w:hideMark/>
          </w:tcPr>
          <w:p w14:paraId="3A9290C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136.35</w:t>
            </w:r>
          </w:p>
        </w:tc>
      </w:tr>
      <w:tr w:rsidR="00A0308E" w:rsidRPr="003B10E2" w14:paraId="0D1DDA6F"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98A9D3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Zomax Transmission,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5BDDDD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321.16</w:t>
            </w:r>
          </w:p>
        </w:tc>
        <w:tc>
          <w:tcPr>
            <w:tcW w:w="957" w:type="dxa"/>
            <w:tcBorders>
              <w:top w:val="nil"/>
              <w:left w:val="nil"/>
              <w:bottom w:val="single" w:sz="4" w:space="0" w:color="000000"/>
              <w:right w:val="single" w:sz="4" w:space="0" w:color="000000"/>
            </w:tcBorders>
            <w:shd w:val="clear" w:color="auto" w:fill="auto"/>
            <w:noWrap/>
            <w:vAlign w:val="bottom"/>
            <w:hideMark/>
          </w:tcPr>
          <w:p w14:paraId="0FF41D9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7.50</w:t>
            </w:r>
          </w:p>
        </w:tc>
        <w:tc>
          <w:tcPr>
            <w:tcW w:w="1418" w:type="dxa"/>
            <w:tcBorders>
              <w:top w:val="nil"/>
              <w:left w:val="nil"/>
              <w:bottom w:val="single" w:sz="4" w:space="0" w:color="000000"/>
              <w:right w:val="single" w:sz="4" w:space="0" w:color="000000"/>
            </w:tcBorders>
            <w:shd w:val="clear" w:color="auto" w:fill="auto"/>
            <w:noWrap/>
            <w:vAlign w:val="bottom"/>
            <w:hideMark/>
          </w:tcPr>
          <w:p w14:paraId="231F918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20.55</w:t>
            </w:r>
          </w:p>
        </w:tc>
      </w:tr>
      <w:tr w:rsidR="00A0308E" w:rsidRPr="003B10E2" w14:paraId="28E6193D"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D517C4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Zone-King Environmental Sci&amp;Tech,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A18E90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168.94</w:t>
            </w:r>
          </w:p>
        </w:tc>
        <w:tc>
          <w:tcPr>
            <w:tcW w:w="957" w:type="dxa"/>
            <w:tcBorders>
              <w:top w:val="nil"/>
              <w:left w:val="nil"/>
              <w:bottom w:val="single" w:sz="4" w:space="0" w:color="000000"/>
              <w:right w:val="single" w:sz="4" w:space="0" w:color="000000"/>
            </w:tcBorders>
            <w:shd w:val="clear" w:color="auto" w:fill="auto"/>
            <w:noWrap/>
            <w:vAlign w:val="bottom"/>
            <w:hideMark/>
          </w:tcPr>
          <w:p w14:paraId="38B1D2A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8.99</w:t>
            </w:r>
          </w:p>
        </w:tc>
        <w:tc>
          <w:tcPr>
            <w:tcW w:w="1418" w:type="dxa"/>
            <w:tcBorders>
              <w:top w:val="nil"/>
              <w:left w:val="nil"/>
              <w:bottom w:val="single" w:sz="4" w:space="0" w:color="000000"/>
              <w:right w:val="single" w:sz="4" w:space="0" w:color="000000"/>
            </w:tcBorders>
            <w:shd w:val="clear" w:color="auto" w:fill="auto"/>
            <w:noWrap/>
            <w:vAlign w:val="bottom"/>
            <w:hideMark/>
          </w:tcPr>
          <w:p w14:paraId="18EBCB6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5.20</w:t>
            </w:r>
          </w:p>
        </w:tc>
      </w:tr>
      <w:tr w:rsidR="00A0308E" w:rsidRPr="003B10E2" w14:paraId="19E55AA3"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E62FA33"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Zhende Medical,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5625437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1 002.56</w:t>
            </w:r>
          </w:p>
        </w:tc>
        <w:tc>
          <w:tcPr>
            <w:tcW w:w="957" w:type="dxa"/>
            <w:tcBorders>
              <w:top w:val="nil"/>
              <w:left w:val="nil"/>
              <w:bottom w:val="single" w:sz="4" w:space="0" w:color="000000"/>
              <w:right w:val="single" w:sz="4" w:space="0" w:color="000000"/>
            </w:tcBorders>
            <w:shd w:val="clear" w:color="auto" w:fill="auto"/>
            <w:noWrap/>
            <w:vAlign w:val="bottom"/>
            <w:hideMark/>
          </w:tcPr>
          <w:p w14:paraId="6E9A8E1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31.53</w:t>
            </w:r>
          </w:p>
        </w:tc>
        <w:tc>
          <w:tcPr>
            <w:tcW w:w="1418" w:type="dxa"/>
            <w:tcBorders>
              <w:top w:val="nil"/>
              <w:left w:val="nil"/>
              <w:bottom w:val="single" w:sz="4" w:space="0" w:color="000000"/>
              <w:right w:val="single" w:sz="4" w:space="0" w:color="000000"/>
            </w:tcBorders>
            <w:shd w:val="clear" w:color="auto" w:fill="auto"/>
            <w:noWrap/>
            <w:vAlign w:val="bottom"/>
            <w:hideMark/>
          </w:tcPr>
          <w:p w14:paraId="3A48E77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26.23</w:t>
            </w:r>
          </w:p>
        </w:tc>
      </w:tr>
      <w:tr w:rsidR="00A0308E" w:rsidRPr="003B10E2" w14:paraId="53FB7D38"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ED2E9D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Zhengjiang Huazheng New Material,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4C61DA0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702.42</w:t>
            </w:r>
          </w:p>
        </w:tc>
        <w:tc>
          <w:tcPr>
            <w:tcW w:w="957" w:type="dxa"/>
            <w:tcBorders>
              <w:top w:val="nil"/>
              <w:left w:val="nil"/>
              <w:bottom w:val="single" w:sz="4" w:space="0" w:color="000000"/>
              <w:right w:val="single" w:sz="4" w:space="0" w:color="000000"/>
            </w:tcBorders>
            <w:shd w:val="clear" w:color="auto" w:fill="auto"/>
            <w:noWrap/>
            <w:vAlign w:val="bottom"/>
            <w:hideMark/>
          </w:tcPr>
          <w:p w14:paraId="60F5770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35.34</w:t>
            </w:r>
          </w:p>
        </w:tc>
        <w:tc>
          <w:tcPr>
            <w:tcW w:w="1418" w:type="dxa"/>
            <w:tcBorders>
              <w:top w:val="nil"/>
              <w:left w:val="nil"/>
              <w:bottom w:val="single" w:sz="4" w:space="0" w:color="000000"/>
              <w:right w:val="single" w:sz="4" w:space="0" w:color="000000"/>
            </w:tcBorders>
            <w:shd w:val="clear" w:color="auto" w:fill="auto"/>
            <w:noWrap/>
            <w:vAlign w:val="bottom"/>
            <w:hideMark/>
          </w:tcPr>
          <w:p w14:paraId="43E56FB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123.58</w:t>
            </w:r>
          </w:p>
        </w:tc>
      </w:tr>
      <w:tr w:rsidR="00A0308E" w:rsidRPr="003B10E2" w14:paraId="3860CFBB"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1FFC0F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Zhengping Road &amp; Bridge Construction,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B9A5B4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364.23</w:t>
            </w:r>
          </w:p>
        </w:tc>
        <w:tc>
          <w:tcPr>
            <w:tcW w:w="957" w:type="dxa"/>
            <w:tcBorders>
              <w:top w:val="nil"/>
              <w:left w:val="nil"/>
              <w:bottom w:val="single" w:sz="4" w:space="0" w:color="000000"/>
              <w:right w:val="single" w:sz="4" w:space="0" w:color="000000"/>
            </w:tcBorders>
            <w:shd w:val="clear" w:color="auto" w:fill="auto"/>
            <w:noWrap/>
            <w:vAlign w:val="bottom"/>
            <w:hideMark/>
          </w:tcPr>
          <w:p w14:paraId="6BABCE5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3.72</w:t>
            </w:r>
          </w:p>
        </w:tc>
        <w:tc>
          <w:tcPr>
            <w:tcW w:w="1418" w:type="dxa"/>
            <w:tcBorders>
              <w:top w:val="nil"/>
              <w:left w:val="nil"/>
              <w:bottom w:val="single" w:sz="4" w:space="0" w:color="000000"/>
              <w:right w:val="single" w:sz="4" w:space="0" w:color="000000"/>
            </w:tcBorders>
            <w:shd w:val="clear" w:color="auto" w:fill="auto"/>
            <w:noWrap/>
            <w:vAlign w:val="bottom"/>
            <w:hideMark/>
          </w:tcPr>
          <w:p w14:paraId="3916BD16"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19.93</w:t>
            </w:r>
          </w:p>
        </w:tc>
      </w:tr>
      <w:tr w:rsidR="00A0308E" w:rsidRPr="003B10E2" w14:paraId="23B768F7" w14:textId="77777777" w:rsidTr="00A0308E">
        <w:trPr>
          <w:trHeight w:val="300"/>
        </w:trPr>
        <w:tc>
          <w:tcPr>
            <w:tcW w:w="4815" w:type="dxa"/>
            <w:tcBorders>
              <w:top w:val="nil"/>
              <w:left w:val="single" w:sz="4" w:space="0" w:color="000000"/>
              <w:bottom w:val="single" w:sz="4" w:space="0" w:color="auto"/>
              <w:right w:val="single" w:sz="4" w:space="0" w:color="000000"/>
            </w:tcBorders>
            <w:shd w:val="clear" w:color="auto" w:fill="auto"/>
            <w:noWrap/>
            <w:vAlign w:val="bottom"/>
            <w:hideMark/>
          </w:tcPr>
          <w:p w14:paraId="750E117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Zhengyuan Geomatics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auto"/>
              <w:right w:val="single" w:sz="4" w:space="0" w:color="000000"/>
            </w:tcBorders>
            <w:shd w:val="clear" w:color="auto" w:fill="auto"/>
            <w:noWrap/>
            <w:vAlign w:val="bottom"/>
            <w:hideMark/>
          </w:tcPr>
          <w:p w14:paraId="37C229C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547.42</w:t>
            </w:r>
          </w:p>
        </w:tc>
        <w:tc>
          <w:tcPr>
            <w:tcW w:w="957" w:type="dxa"/>
            <w:tcBorders>
              <w:top w:val="nil"/>
              <w:left w:val="nil"/>
              <w:bottom w:val="single" w:sz="4" w:space="0" w:color="auto"/>
              <w:right w:val="single" w:sz="4" w:space="0" w:color="000000"/>
            </w:tcBorders>
            <w:shd w:val="clear" w:color="auto" w:fill="auto"/>
            <w:noWrap/>
            <w:vAlign w:val="bottom"/>
            <w:hideMark/>
          </w:tcPr>
          <w:p w14:paraId="2ECA704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5.08</w:t>
            </w:r>
          </w:p>
        </w:tc>
        <w:tc>
          <w:tcPr>
            <w:tcW w:w="1418" w:type="dxa"/>
            <w:tcBorders>
              <w:top w:val="nil"/>
              <w:left w:val="nil"/>
              <w:bottom w:val="single" w:sz="4" w:space="0" w:color="auto"/>
              <w:right w:val="single" w:sz="4" w:space="0" w:color="000000"/>
            </w:tcBorders>
            <w:shd w:val="clear" w:color="auto" w:fill="auto"/>
            <w:noWrap/>
            <w:vAlign w:val="bottom"/>
            <w:hideMark/>
          </w:tcPr>
          <w:p w14:paraId="2741D5E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44.90</w:t>
            </w:r>
          </w:p>
        </w:tc>
      </w:tr>
      <w:tr w:rsidR="00A0308E" w:rsidRPr="003B10E2" w14:paraId="139C2833"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29D1A"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Zhengzhou Coal Industry &amp; Electric 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1D25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738.33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E98D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B208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35.53</w:t>
            </w:r>
          </w:p>
        </w:tc>
      </w:tr>
      <w:tr w:rsidR="00A0308E" w:rsidRPr="003B10E2" w14:paraId="6FBB7B1D" w14:textId="77777777" w:rsidTr="00A0308E">
        <w:trPr>
          <w:trHeight w:val="300"/>
        </w:trPr>
        <w:tc>
          <w:tcPr>
            <w:tcW w:w="481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8BEECBD"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Zhengzhou Coal Mining Machinery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nil"/>
              <w:bottom w:val="single" w:sz="4" w:space="0" w:color="000000"/>
              <w:right w:val="single" w:sz="4" w:space="0" w:color="000000"/>
            </w:tcBorders>
            <w:shd w:val="clear" w:color="auto" w:fill="auto"/>
            <w:noWrap/>
            <w:vAlign w:val="bottom"/>
            <w:hideMark/>
          </w:tcPr>
          <w:p w14:paraId="7F8D020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2 560.61</w:t>
            </w:r>
          </w:p>
        </w:tc>
        <w:tc>
          <w:tcPr>
            <w:tcW w:w="957" w:type="dxa"/>
            <w:tcBorders>
              <w:top w:val="single" w:sz="4" w:space="0" w:color="auto"/>
              <w:left w:val="nil"/>
              <w:bottom w:val="single" w:sz="4" w:space="0" w:color="000000"/>
              <w:right w:val="single" w:sz="4" w:space="0" w:color="000000"/>
            </w:tcBorders>
            <w:shd w:val="clear" w:color="auto" w:fill="auto"/>
            <w:noWrap/>
            <w:vAlign w:val="bottom"/>
            <w:hideMark/>
          </w:tcPr>
          <w:p w14:paraId="5F947C1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11.91</w:t>
            </w:r>
          </w:p>
        </w:tc>
        <w:tc>
          <w:tcPr>
            <w:tcW w:w="1418" w:type="dxa"/>
            <w:tcBorders>
              <w:top w:val="single" w:sz="4" w:space="0" w:color="auto"/>
              <w:left w:val="nil"/>
              <w:bottom w:val="single" w:sz="4" w:space="0" w:color="000000"/>
              <w:right w:val="single" w:sz="4" w:space="0" w:color="000000"/>
            </w:tcBorders>
            <w:shd w:val="clear" w:color="auto" w:fill="auto"/>
            <w:noWrap/>
            <w:vAlign w:val="bottom"/>
            <w:hideMark/>
          </w:tcPr>
          <w:p w14:paraId="5E68A62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148.43</w:t>
            </w:r>
          </w:p>
        </w:tc>
      </w:tr>
      <w:tr w:rsidR="00A0308E" w:rsidRPr="003B10E2" w14:paraId="50742657"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66EE9E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Zhengzhou Deheng Hongsheng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810A2E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803.91</w:t>
            </w:r>
          </w:p>
        </w:tc>
        <w:tc>
          <w:tcPr>
            <w:tcW w:w="957" w:type="dxa"/>
            <w:tcBorders>
              <w:top w:val="nil"/>
              <w:left w:val="nil"/>
              <w:bottom w:val="single" w:sz="4" w:space="0" w:color="000000"/>
              <w:right w:val="single" w:sz="4" w:space="0" w:color="000000"/>
            </w:tcBorders>
            <w:shd w:val="clear" w:color="auto" w:fill="auto"/>
            <w:noWrap/>
            <w:vAlign w:val="bottom"/>
            <w:hideMark/>
          </w:tcPr>
          <w:p w14:paraId="614568A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10.65</w:t>
            </w:r>
          </w:p>
        </w:tc>
        <w:tc>
          <w:tcPr>
            <w:tcW w:w="1418" w:type="dxa"/>
            <w:tcBorders>
              <w:top w:val="nil"/>
              <w:left w:val="nil"/>
              <w:bottom w:val="single" w:sz="4" w:space="0" w:color="000000"/>
              <w:right w:val="single" w:sz="4" w:space="0" w:color="000000"/>
            </w:tcBorders>
            <w:shd w:val="clear" w:color="auto" w:fill="auto"/>
            <w:noWrap/>
            <w:vAlign w:val="bottom"/>
            <w:hideMark/>
          </w:tcPr>
          <w:p w14:paraId="3ECCC37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22.72</w:t>
            </w:r>
          </w:p>
        </w:tc>
      </w:tr>
      <w:tr w:rsidR="00A0308E" w:rsidRPr="003B10E2" w14:paraId="4F71548B"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2EFBD9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Zhengzhou Yutong Bus,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248DF2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4 256.36</w:t>
            </w:r>
          </w:p>
        </w:tc>
        <w:tc>
          <w:tcPr>
            <w:tcW w:w="957" w:type="dxa"/>
            <w:tcBorders>
              <w:top w:val="nil"/>
              <w:left w:val="nil"/>
              <w:bottom w:val="single" w:sz="4" w:space="0" w:color="000000"/>
              <w:right w:val="single" w:sz="4" w:space="0" w:color="000000"/>
            </w:tcBorders>
            <w:shd w:val="clear" w:color="auto" w:fill="auto"/>
            <w:noWrap/>
            <w:vAlign w:val="bottom"/>
            <w:hideMark/>
          </w:tcPr>
          <w:p w14:paraId="10A50BA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13.44</w:t>
            </w:r>
          </w:p>
        </w:tc>
        <w:tc>
          <w:tcPr>
            <w:tcW w:w="1418" w:type="dxa"/>
            <w:tcBorders>
              <w:top w:val="nil"/>
              <w:left w:val="nil"/>
              <w:bottom w:val="single" w:sz="4" w:space="0" w:color="000000"/>
              <w:right w:val="single" w:sz="4" w:space="0" w:color="000000"/>
            </w:tcBorders>
            <w:shd w:val="clear" w:color="auto" w:fill="auto"/>
            <w:noWrap/>
            <w:vAlign w:val="bottom"/>
            <w:hideMark/>
          </w:tcPr>
          <w:p w14:paraId="26BD83A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230.64</w:t>
            </w:r>
          </w:p>
        </w:tc>
      </w:tr>
      <w:tr w:rsidR="00A0308E" w:rsidRPr="003B10E2" w14:paraId="07010E5C"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9C54A6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Zhenhai Petrochemical Engineering,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0C3956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282.37</w:t>
            </w:r>
          </w:p>
        </w:tc>
        <w:tc>
          <w:tcPr>
            <w:tcW w:w="957" w:type="dxa"/>
            <w:tcBorders>
              <w:top w:val="nil"/>
              <w:left w:val="nil"/>
              <w:bottom w:val="single" w:sz="4" w:space="0" w:color="000000"/>
              <w:right w:val="single" w:sz="4" w:space="0" w:color="000000"/>
            </w:tcBorders>
            <w:shd w:val="clear" w:color="auto" w:fill="auto"/>
            <w:noWrap/>
            <w:vAlign w:val="bottom"/>
            <w:hideMark/>
          </w:tcPr>
          <w:p w14:paraId="5A47574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8.28</w:t>
            </w:r>
          </w:p>
        </w:tc>
        <w:tc>
          <w:tcPr>
            <w:tcW w:w="1418" w:type="dxa"/>
            <w:tcBorders>
              <w:top w:val="nil"/>
              <w:left w:val="nil"/>
              <w:bottom w:val="single" w:sz="4" w:space="0" w:color="000000"/>
              <w:right w:val="single" w:sz="4" w:space="0" w:color="000000"/>
            </w:tcBorders>
            <w:shd w:val="clear" w:color="auto" w:fill="auto"/>
            <w:noWrap/>
            <w:vAlign w:val="bottom"/>
            <w:hideMark/>
          </w:tcPr>
          <w:p w14:paraId="7DECF85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23.87</w:t>
            </w:r>
          </w:p>
        </w:tc>
      </w:tr>
      <w:tr w:rsidR="00A0308E" w:rsidRPr="003B10E2" w14:paraId="50185D46"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E909B97"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zheshang securities,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1CADC43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5 416.57</w:t>
            </w:r>
          </w:p>
        </w:tc>
        <w:tc>
          <w:tcPr>
            <w:tcW w:w="957" w:type="dxa"/>
            <w:tcBorders>
              <w:top w:val="nil"/>
              <w:left w:val="nil"/>
              <w:bottom w:val="single" w:sz="4" w:space="0" w:color="000000"/>
              <w:right w:val="single" w:sz="4" w:space="0" w:color="000000"/>
            </w:tcBorders>
            <w:shd w:val="clear" w:color="auto" w:fill="auto"/>
            <w:noWrap/>
            <w:vAlign w:val="bottom"/>
            <w:hideMark/>
          </w:tcPr>
          <w:p w14:paraId="514DACC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9.98</w:t>
            </w:r>
          </w:p>
        </w:tc>
        <w:tc>
          <w:tcPr>
            <w:tcW w:w="1418" w:type="dxa"/>
            <w:tcBorders>
              <w:top w:val="nil"/>
              <w:left w:val="nil"/>
              <w:bottom w:val="single" w:sz="4" w:space="0" w:color="000000"/>
              <w:right w:val="single" w:sz="4" w:space="0" w:color="000000"/>
            </w:tcBorders>
            <w:shd w:val="clear" w:color="auto" w:fill="auto"/>
            <w:noWrap/>
            <w:vAlign w:val="bottom"/>
            <w:hideMark/>
          </w:tcPr>
          <w:p w14:paraId="2BEA219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99.24</w:t>
            </w:r>
          </w:p>
        </w:tc>
      </w:tr>
      <w:tr w:rsidR="00A0308E" w:rsidRPr="003B10E2" w14:paraId="53E94621"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1BF2D15"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Zhiyang Innovation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E3152A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362.62</w:t>
            </w:r>
          </w:p>
        </w:tc>
        <w:tc>
          <w:tcPr>
            <w:tcW w:w="957" w:type="dxa"/>
            <w:tcBorders>
              <w:top w:val="nil"/>
              <w:left w:val="nil"/>
              <w:bottom w:val="single" w:sz="4" w:space="0" w:color="000000"/>
              <w:right w:val="single" w:sz="4" w:space="0" w:color="000000"/>
            </w:tcBorders>
            <w:shd w:val="clear" w:color="auto" w:fill="auto"/>
            <w:noWrap/>
            <w:vAlign w:val="bottom"/>
            <w:hideMark/>
          </w:tcPr>
          <w:p w14:paraId="353B8F5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16.93</w:t>
            </w:r>
          </w:p>
        </w:tc>
        <w:tc>
          <w:tcPr>
            <w:tcW w:w="1418" w:type="dxa"/>
            <w:tcBorders>
              <w:top w:val="nil"/>
              <w:left w:val="nil"/>
              <w:bottom w:val="single" w:sz="4" w:space="0" w:color="000000"/>
              <w:right w:val="single" w:sz="4" w:space="0" w:color="000000"/>
            </w:tcBorders>
            <w:shd w:val="clear" w:color="auto" w:fill="auto"/>
            <w:noWrap/>
            <w:vAlign w:val="bottom"/>
            <w:hideMark/>
          </w:tcPr>
          <w:p w14:paraId="48F7579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76.48</w:t>
            </w:r>
          </w:p>
        </w:tc>
      </w:tr>
      <w:tr w:rsidR="00A0308E" w:rsidRPr="003B10E2" w14:paraId="7B22A3A9"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73431E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Zhongchang Big Data,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86A996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15.34</w:t>
            </w:r>
          </w:p>
        </w:tc>
        <w:tc>
          <w:tcPr>
            <w:tcW w:w="957" w:type="dxa"/>
            <w:tcBorders>
              <w:top w:val="nil"/>
              <w:left w:val="nil"/>
              <w:bottom w:val="single" w:sz="4" w:space="0" w:color="000000"/>
              <w:right w:val="single" w:sz="4" w:space="0" w:color="000000"/>
            </w:tcBorders>
            <w:shd w:val="clear" w:color="auto" w:fill="auto"/>
            <w:noWrap/>
            <w:vAlign w:val="bottom"/>
            <w:hideMark/>
          </w:tcPr>
          <w:p w14:paraId="5C8B9FE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0.24</w:t>
            </w:r>
          </w:p>
        </w:tc>
        <w:tc>
          <w:tcPr>
            <w:tcW w:w="1418" w:type="dxa"/>
            <w:tcBorders>
              <w:top w:val="nil"/>
              <w:left w:val="nil"/>
              <w:bottom w:val="single" w:sz="4" w:space="0" w:color="000000"/>
              <w:right w:val="single" w:sz="4" w:space="0" w:color="000000"/>
            </w:tcBorders>
            <w:shd w:val="clear" w:color="auto" w:fill="auto"/>
            <w:noWrap/>
            <w:vAlign w:val="bottom"/>
            <w:hideMark/>
          </w:tcPr>
          <w:p w14:paraId="7382C73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6.35</w:t>
            </w:r>
          </w:p>
        </w:tc>
      </w:tr>
      <w:tr w:rsidR="00A0308E" w:rsidRPr="003B10E2" w14:paraId="53415842"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7AED7A4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Zhongfu Shenying Carbon Fiber,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3783D87"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36DD07C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34.36</w:t>
            </w:r>
          </w:p>
        </w:tc>
        <w:tc>
          <w:tcPr>
            <w:tcW w:w="1418" w:type="dxa"/>
            <w:tcBorders>
              <w:top w:val="nil"/>
              <w:left w:val="nil"/>
              <w:bottom w:val="single" w:sz="4" w:space="0" w:color="000000"/>
              <w:right w:val="single" w:sz="4" w:space="0" w:color="000000"/>
            </w:tcBorders>
            <w:shd w:val="clear" w:color="auto" w:fill="auto"/>
            <w:noWrap/>
            <w:vAlign w:val="bottom"/>
            <w:hideMark/>
          </w:tcPr>
          <w:p w14:paraId="5880762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47.93</w:t>
            </w:r>
          </w:p>
        </w:tc>
      </w:tr>
      <w:tr w:rsidR="00A0308E" w:rsidRPr="003B10E2" w14:paraId="10F94C78"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CE3CE9F"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Zhongjin Gold,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1A7A59C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7 401.05</w:t>
            </w:r>
          </w:p>
        </w:tc>
        <w:tc>
          <w:tcPr>
            <w:tcW w:w="957" w:type="dxa"/>
            <w:tcBorders>
              <w:top w:val="nil"/>
              <w:left w:val="nil"/>
              <w:bottom w:val="single" w:sz="4" w:space="0" w:color="000000"/>
              <w:right w:val="single" w:sz="4" w:space="0" w:color="000000"/>
            </w:tcBorders>
            <w:shd w:val="clear" w:color="auto" w:fill="auto"/>
            <w:noWrap/>
            <w:vAlign w:val="bottom"/>
            <w:hideMark/>
          </w:tcPr>
          <w:p w14:paraId="62D384C7"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10.91</w:t>
            </w:r>
          </w:p>
        </w:tc>
        <w:tc>
          <w:tcPr>
            <w:tcW w:w="1418" w:type="dxa"/>
            <w:tcBorders>
              <w:top w:val="nil"/>
              <w:left w:val="nil"/>
              <w:bottom w:val="single" w:sz="4" w:space="0" w:color="000000"/>
              <w:right w:val="single" w:sz="4" w:space="0" w:color="000000"/>
            </w:tcBorders>
            <w:shd w:val="clear" w:color="auto" w:fill="auto"/>
            <w:noWrap/>
            <w:vAlign w:val="bottom"/>
            <w:hideMark/>
          </w:tcPr>
          <w:p w14:paraId="6799C3C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276.24</w:t>
            </w:r>
          </w:p>
        </w:tc>
      </w:tr>
      <w:tr w:rsidR="00A0308E" w:rsidRPr="003B10E2" w14:paraId="402E9516"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6F74586"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Zhonglu,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17330CC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986.54</w:t>
            </w:r>
          </w:p>
        </w:tc>
        <w:tc>
          <w:tcPr>
            <w:tcW w:w="957" w:type="dxa"/>
            <w:tcBorders>
              <w:top w:val="nil"/>
              <w:left w:val="nil"/>
              <w:bottom w:val="single" w:sz="4" w:space="0" w:color="000000"/>
              <w:right w:val="single" w:sz="4" w:space="0" w:color="000000"/>
            </w:tcBorders>
            <w:shd w:val="clear" w:color="auto" w:fill="auto"/>
            <w:noWrap/>
            <w:vAlign w:val="bottom"/>
            <w:hideMark/>
          </w:tcPr>
          <w:p w14:paraId="1C7E2C1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21.93</w:t>
            </w:r>
          </w:p>
        </w:tc>
        <w:tc>
          <w:tcPr>
            <w:tcW w:w="1418" w:type="dxa"/>
            <w:tcBorders>
              <w:top w:val="nil"/>
              <w:left w:val="nil"/>
              <w:bottom w:val="single" w:sz="4" w:space="0" w:color="000000"/>
              <w:right w:val="single" w:sz="4" w:space="0" w:color="000000"/>
            </w:tcBorders>
            <w:shd w:val="clear" w:color="auto" w:fill="auto"/>
            <w:noWrap/>
            <w:vAlign w:val="bottom"/>
            <w:hideMark/>
          </w:tcPr>
          <w:p w14:paraId="2F6E93F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78.95</w:t>
            </w:r>
          </w:p>
        </w:tc>
      </w:tr>
      <w:tr w:rsidR="00A0308E" w:rsidRPr="003B10E2" w14:paraId="552D9149"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61A5597"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Zhonglu,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4B527193"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34DBE79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0.69</w:t>
            </w:r>
          </w:p>
        </w:tc>
        <w:tc>
          <w:tcPr>
            <w:tcW w:w="1418" w:type="dxa"/>
            <w:tcBorders>
              <w:top w:val="nil"/>
              <w:left w:val="nil"/>
              <w:bottom w:val="single" w:sz="4" w:space="0" w:color="000000"/>
              <w:right w:val="single" w:sz="4" w:space="0" w:color="000000"/>
            </w:tcBorders>
            <w:shd w:val="clear" w:color="auto" w:fill="auto"/>
            <w:noWrap/>
            <w:vAlign w:val="bottom"/>
            <w:hideMark/>
          </w:tcPr>
          <w:p w14:paraId="734FBDB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0.75</w:t>
            </w:r>
          </w:p>
        </w:tc>
      </w:tr>
      <w:tr w:rsidR="00A0308E" w:rsidRPr="003B10E2" w14:paraId="030CBC57"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02B70C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ZhongMan Petroleum and Natural Gas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D91E17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887.27</w:t>
            </w:r>
          </w:p>
        </w:tc>
        <w:tc>
          <w:tcPr>
            <w:tcW w:w="957" w:type="dxa"/>
            <w:tcBorders>
              <w:top w:val="nil"/>
              <w:left w:val="nil"/>
              <w:bottom w:val="single" w:sz="4" w:space="0" w:color="000000"/>
              <w:right w:val="single" w:sz="4" w:space="0" w:color="000000"/>
            </w:tcBorders>
            <w:shd w:val="clear" w:color="auto" w:fill="auto"/>
            <w:noWrap/>
            <w:vAlign w:val="bottom"/>
            <w:hideMark/>
          </w:tcPr>
          <w:p w14:paraId="5083C9B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15.85</w:t>
            </w:r>
          </w:p>
        </w:tc>
        <w:tc>
          <w:tcPr>
            <w:tcW w:w="1418" w:type="dxa"/>
            <w:tcBorders>
              <w:top w:val="nil"/>
              <w:left w:val="nil"/>
              <w:bottom w:val="single" w:sz="4" w:space="0" w:color="000000"/>
              <w:right w:val="single" w:sz="4" w:space="0" w:color="000000"/>
            </w:tcBorders>
            <w:shd w:val="clear" w:color="auto" w:fill="auto"/>
            <w:noWrap/>
            <w:vAlign w:val="bottom"/>
            <w:hideMark/>
          </w:tcPr>
          <w:p w14:paraId="6ADEDE8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57.82</w:t>
            </w:r>
          </w:p>
        </w:tc>
      </w:tr>
      <w:tr w:rsidR="00A0308E" w:rsidRPr="003B10E2" w14:paraId="35ADC691"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AA2057D"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Zhongmin Energy,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54B9428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1 446.12</w:t>
            </w:r>
          </w:p>
        </w:tc>
        <w:tc>
          <w:tcPr>
            <w:tcW w:w="957" w:type="dxa"/>
            <w:tcBorders>
              <w:top w:val="nil"/>
              <w:left w:val="nil"/>
              <w:bottom w:val="single" w:sz="4" w:space="0" w:color="000000"/>
              <w:right w:val="single" w:sz="4" w:space="0" w:color="000000"/>
            </w:tcBorders>
            <w:shd w:val="clear" w:color="auto" w:fill="auto"/>
            <w:noWrap/>
            <w:vAlign w:val="bottom"/>
            <w:hideMark/>
          </w:tcPr>
          <w:p w14:paraId="62396B9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5.43</w:t>
            </w:r>
          </w:p>
        </w:tc>
        <w:tc>
          <w:tcPr>
            <w:tcW w:w="1418" w:type="dxa"/>
            <w:tcBorders>
              <w:top w:val="nil"/>
              <w:left w:val="nil"/>
              <w:bottom w:val="single" w:sz="4" w:space="0" w:color="000000"/>
              <w:right w:val="single" w:sz="4" w:space="0" w:color="000000"/>
            </w:tcBorders>
            <w:shd w:val="clear" w:color="auto" w:fill="auto"/>
            <w:noWrap/>
            <w:vAlign w:val="bottom"/>
            <w:hideMark/>
          </w:tcPr>
          <w:p w14:paraId="4FE23F9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52.32</w:t>
            </w:r>
          </w:p>
        </w:tc>
      </w:tr>
      <w:tr w:rsidR="00A0308E" w:rsidRPr="003B10E2" w14:paraId="0FDE4482"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6A76C2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Zhongnongfa Seed Industry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FEE3A2A"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1 358.52</w:t>
            </w:r>
          </w:p>
        </w:tc>
        <w:tc>
          <w:tcPr>
            <w:tcW w:w="957" w:type="dxa"/>
            <w:tcBorders>
              <w:top w:val="nil"/>
              <w:left w:val="nil"/>
              <w:bottom w:val="single" w:sz="4" w:space="0" w:color="000000"/>
              <w:right w:val="single" w:sz="4" w:space="0" w:color="000000"/>
            </w:tcBorders>
            <w:shd w:val="clear" w:color="auto" w:fill="auto"/>
            <w:noWrap/>
            <w:vAlign w:val="bottom"/>
            <w:hideMark/>
          </w:tcPr>
          <w:p w14:paraId="313A371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8.97</w:t>
            </w:r>
          </w:p>
        </w:tc>
        <w:tc>
          <w:tcPr>
            <w:tcW w:w="1418" w:type="dxa"/>
            <w:tcBorders>
              <w:top w:val="nil"/>
              <w:left w:val="nil"/>
              <w:bottom w:val="single" w:sz="4" w:space="0" w:color="000000"/>
              <w:right w:val="single" w:sz="4" w:space="0" w:color="000000"/>
            </w:tcBorders>
            <w:shd w:val="clear" w:color="auto" w:fill="auto"/>
            <w:noWrap/>
            <w:vAlign w:val="bottom"/>
            <w:hideMark/>
          </w:tcPr>
          <w:p w14:paraId="21608BC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231.88</w:t>
            </w:r>
          </w:p>
        </w:tc>
      </w:tr>
      <w:tr w:rsidR="00A0308E" w:rsidRPr="003B10E2" w14:paraId="68376988"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CF6D71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Zhongtai Securities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4A6591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6 729.20</w:t>
            </w:r>
          </w:p>
        </w:tc>
        <w:tc>
          <w:tcPr>
            <w:tcW w:w="957" w:type="dxa"/>
            <w:tcBorders>
              <w:top w:val="nil"/>
              <w:left w:val="nil"/>
              <w:bottom w:val="single" w:sz="4" w:space="0" w:color="000000"/>
              <w:right w:val="single" w:sz="4" w:space="0" w:color="000000"/>
            </w:tcBorders>
            <w:shd w:val="clear" w:color="auto" w:fill="auto"/>
            <w:noWrap/>
            <w:vAlign w:val="bottom"/>
            <w:hideMark/>
          </w:tcPr>
          <w:p w14:paraId="7CB5532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6.90</w:t>
            </w:r>
          </w:p>
        </w:tc>
        <w:tc>
          <w:tcPr>
            <w:tcW w:w="1418" w:type="dxa"/>
            <w:tcBorders>
              <w:top w:val="nil"/>
              <w:left w:val="nil"/>
              <w:bottom w:val="single" w:sz="4" w:space="0" w:color="000000"/>
              <w:right w:val="single" w:sz="4" w:space="0" w:color="000000"/>
            </w:tcBorders>
            <w:shd w:val="clear" w:color="auto" w:fill="auto"/>
            <w:noWrap/>
            <w:vAlign w:val="bottom"/>
            <w:hideMark/>
          </w:tcPr>
          <w:p w14:paraId="5343B9B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154.63</w:t>
            </w:r>
          </w:p>
        </w:tc>
      </w:tr>
      <w:tr w:rsidR="00A0308E" w:rsidRPr="003B10E2" w14:paraId="14591B87"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0D86305"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ZhongTongGuoMai Communication,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785B7DC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128.56</w:t>
            </w:r>
          </w:p>
        </w:tc>
        <w:tc>
          <w:tcPr>
            <w:tcW w:w="957" w:type="dxa"/>
            <w:tcBorders>
              <w:top w:val="nil"/>
              <w:left w:val="nil"/>
              <w:bottom w:val="single" w:sz="4" w:space="0" w:color="000000"/>
              <w:right w:val="single" w:sz="4" w:space="0" w:color="000000"/>
            </w:tcBorders>
            <w:shd w:val="clear" w:color="auto" w:fill="auto"/>
            <w:noWrap/>
            <w:vAlign w:val="bottom"/>
            <w:hideMark/>
          </w:tcPr>
          <w:p w14:paraId="68F4EF4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6.41</w:t>
            </w:r>
          </w:p>
        </w:tc>
        <w:tc>
          <w:tcPr>
            <w:tcW w:w="1418" w:type="dxa"/>
            <w:tcBorders>
              <w:top w:val="nil"/>
              <w:left w:val="nil"/>
              <w:bottom w:val="single" w:sz="4" w:space="0" w:color="000000"/>
              <w:right w:val="single" w:sz="4" w:space="0" w:color="000000"/>
            </w:tcBorders>
            <w:shd w:val="clear" w:color="auto" w:fill="auto"/>
            <w:noWrap/>
            <w:vAlign w:val="bottom"/>
            <w:hideMark/>
          </w:tcPr>
          <w:p w14:paraId="178CEC7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11.47</w:t>
            </w:r>
          </w:p>
        </w:tc>
      </w:tr>
      <w:tr w:rsidR="00A0308E" w:rsidRPr="003B10E2" w14:paraId="7ECDC955"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981D2A6"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Zhongyin Babi Food,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447B048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882.60</w:t>
            </w:r>
          </w:p>
        </w:tc>
        <w:tc>
          <w:tcPr>
            <w:tcW w:w="957" w:type="dxa"/>
            <w:tcBorders>
              <w:top w:val="nil"/>
              <w:left w:val="nil"/>
              <w:bottom w:val="single" w:sz="4" w:space="0" w:color="000000"/>
              <w:right w:val="single" w:sz="4" w:space="0" w:color="000000"/>
            </w:tcBorders>
            <w:shd w:val="clear" w:color="auto" w:fill="auto"/>
            <w:noWrap/>
            <w:vAlign w:val="bottom"/>
            <w:hideMark/>
          </w:tcPr>
          <w:p w14:paraId="3E69307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25.43</w:t>
            </w:r>
          </w:p>
        </w:tc>
        <w:tc>
          <w:tcPr>
            <w:tcW w:w="1418" w:type="dxa"/>
            <w:tcBorders>
              <w:top w:val="nil"/>
              <w:left w:val="nil"/>
              <w:bottom w:val="single" w:sz="4" w:space="0" w:color="000000"/>
              <w:right w:val="single" w:sz="4" w:space="0" w:color="000000"/>
            </w:tcBorders>
            <w:shd w:val="clear" w:color="auto" w:fill="auto"/>
            <w:noWrap/>
            <w:vAlign w:val="bottom"/>
            <w:hideMark/>
          </w:tcPr>
          <w:p w14:paraId="6475306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19.51</w:t>
            </w:r>
          </w:p>
        </w:tc>
      </w:tr>
      <w:tr w:rsidR="00A0308E" w:rsidRPr="003B10E2" w14:paraId="309514AF"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37B1C8C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Zhongzhong Science &amp; Technology Tianjin,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A6F45C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14:paraId="59D540A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18.58</w:t>
            </w:r>
          </w:p>
        </w:tc>
        <w:tc>
          <w:tcPr>
            <w:tcW w:w="1418" w:type="dxa"/>
            <w:tcBorders>
              <w:top w:val="nil"/>
              <w:left w:val="nil"/>
              <w:bottom w:val="single" w:sz="4" w:space="0" w:color="000000"/>
              <w:right w:val="single" w:sz="4" w:space="0" w:color="000000"/>
            </w:tcBorders>
            <w:shd w:val="clear" w:color="auto" w:fill="auto"/>
            <w:noWrap/>
            <w:vAlign w:val="bottom"/>
            <w:hideMark/>
          </w:tcPr>
          <w:p w14:paraId="651D500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53.96</w:t>
            </w:r>
          </w:p>
        </w:tc>
      </w:tr>
      <w:tr w:rsidR="00A0308E" w:rsidRPr="003B10E2" w14:paraId="7637A73D"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6247511E"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Zhongzhu Healthcare 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4FFDA0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499.23</w:t>
            </w:r>
          </w:p>
        </w:tc>
        <w:tc>
          <w:tcPr>
            <w:tcW w:w="957" w:type="dxa"/>
            <w:tcBorders>
              <w:top w:val="nil"/>
              <w:left w:val="nil"/>
              <w:bottom w:val="single" w:sz="4" w:space="0" w:color="000000"/>
              <w:right w:val="single" w:sz="4" w:space="0" w:color="000000"/>
            </w:tcBorders>
            <w:shd w:val="clear" w:color="auto" w:fill="auto"/>
            <w:noWrap/>
            <w:vAlign w:val="bottom"/>
            <w:hideMark/>
          </w:tcPr>
          <w:p w14:paraId="465CB24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1.79</w:t>
            </w:r>
          </w:p>
        </w:tc>
        <w:tc>
          <w:tcPr>
            <w:tcW w:w="1418" w:type="dxa"/>
            <w:tcBorders>
              <w:top w:val="nil"/>
              <w:left w:val="nil"/>
              <w:bottom w:val="single" w:sz="4" w:space="0" w:color="000000"/>
              <w:right w:val="single" w:sz="4" w:space="0" w:color="000000"/>
            </w:tcBorders>
            <w:shd w:val="clear" w:color="auto" w:fill="auto"/>
            <w:noWrap/>
            <w:vAlign w:val="bottom"/>
            <w:hideMark/>
          </w:tcPr>
          <w:p w14:paraId="6D306FA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12.70</w:t>
            </w:r>
          </w:p>
        </w:tc>
      </w:tr>
      <w:tr w:rsidR="00A0308E" w:rsidRPr="003B10E2" w14:paraId="37B70312"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017C612"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Zhuhai Comleader,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3B16849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445.06</w:t>
            </w:r>
          </w:p>
        </w:tc>
        <w:tc>
          <w:tcPr>
            <w:tcW w:w="957" w:type="dxa"/>
            <w:tcBorders>
              <w:top w:val="nil"/>
              <w:left w:val="nil"/>
              <w:bottom w:val="single" w:sz="4" w:space="0" w:color="000000"/>
              <w:right w:val="single" w:sz="4" w:space="0" w:color="000000"/>
            </w:tcBorders>
            <w:shd w:val="clear" w:color="auto" w:fill="auto"/>
            <w:noWrap/>
            <w:vAlign w:val="bottom"/>
            <w:hideMark/>
          </w:tcPr>
          <w:p w14:paraId="69E89B5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34.23</w:t>
            </w:r>
          </w:p>
        </w:tc>
        <w:tc>
          <w:tcPr>
            <w:tcW w:w="1418" w:type="dxa"/>
            <w:tcBorders>
              <w:top w:val="nil"/>
              <w:left w:val="nil"/>
              <w:bottom w:val="single" w:sz="4" w:space="0" w:color="000000"/>
              <w:right w:val="single" w:sz="4" w:space="0" w:color="000000"/>
            </w:tcBorders>
            <w:shd w:val="clear" w:color="auto" w:fill="auto"/>
            <w:noWrap/>
            <w:vAlign w:val="bottom"/>
            <w:hideMark/>
          </w:tcPr>
          <w:p w14:paraId="1B9B812B"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15.51</w:t>
            </w:r>
          </w:p>
        </w:tc>
      </w:tr>
      <w:tr w:rsidR="00A0308E" w:rsidRPr="003B10E2" w14:paraId="4DF5204E"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2FDA914"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Zhuhai CosMX Battery,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584C081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3 105.49</w:t>
            </w:r>
          </w:p>
        </w:tc>
        <w:tc>
          <w:tcPr>
            <w:tcW w:w="957" w:type="dxa"/>
            <w:tcBorders>
              <w:top w:val="nil"/>
              <w:left w:val="nil"/>
              <w:bottom w:val="single" w:sz="4" w:space="0" w:color="000000"/>
              <w:right w:val="single" w:sz="4" w:space="0" w:color="000000"/>
            </w:tcBorders>
            <w:shd w:val="clear" w:color="auto" w:fill="auto"/>
            <w:noWrap/>
            <w:vAlign w:val="bottom"/>
            <w:hideMark/>
          </w:tcPr>
          <w:p w14:paraId="77DEE0B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19.78</w:t>
            </w:r>
          </w:p>
        </w:tc>
        <w:tc>
          <w:tcPr>
            <w:tcW w:w="1418" w:type="dxa"/>
            <w:tcBorders>
              <w:top w:val="nil"/>
              <w:left w:val="nil"/>
              <w:bottom w:val="single" w:sz="4" w:space="0" w:color="000000"/>
              <w:right w:val="single" w:sz="4" w:space="0" w:color="000000"/>
            </w:tcBorders>
            <w:shd w:val="clear" w:color="auto" w:fill="auto"/>
            <w:noWrap/>
            <w:vAlign w:val="bottom"/>
            <w:hideMark/>
          </w:tcPr>
          <w:p w14:paraId="3C601AE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217.50</w:t>
            </w:r>
          </w:p>
        </w:tc>
      </w:tr>
      <w:tr w:rsidR="00A0308E" w:rsidRPr="003B10E2" w14:paraId="6B6D197E"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FE52B00"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Zhuzhou CRRC Times Electric,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25AF709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5 089.05</w:t>
            </w:r>
          </w:p>
        </w:tc>
        <w:tc>
          <w:tcPr>
            <w:tcW w:w="957" w:type="dxa"/>
            <w:tcBorders>
              <w:top w:val="nil"/>
              <w:left w:val="nil"/>
              <w:bottom w:val="single" w:sz="4" w:space="0" w:color="000000"/>
              <w:right w:val="single" w:sz="4" w:space="0" w:color="000000"/>
            </w:tcBorders>
            <w:shd w:val="clear" w:color="auto" w:fill="auto"/>
            <w:noWrap/>
            <w:vAlign w:val="bottom"/>
            <w:hideMark/>
          </w:tcPr>
          <w:p w14:paraId="567F700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41.85</w:t>
            </w:r>
          </w:p>
        </w:tc>
        <w:tc>
          <w:tcPr>
            <w:tcW w:w="1418" w:type="dxa"/>
            <w:tcBorders>
              <w:top w:val="nil"/>
              <w:left w:val="nil"/>
              <w:bottom w:val="single" w:sz="4" w:space="0" w:color="000000"/>
              <w:right w:val="single" w:sz="4" w:space="0" w:color="000000"/>
            </w:tcBorders>
            <w:shd w:val="clear" w:color="auto" w:fill="auto"/>
            <w:noWrap/>
            <w:vAlign w:val="bottom"/>
            <w:hideMark/>
          </w:tcPr>
          <w:p w14:paraId="71F8A8B5"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183.68</w:t>
            </w:r>
          </w:p>
        </w:tc>
      </w:tr>
      <w:tr w:rsidR="00A0308E" w:rsidRPr="003B10E2" w14:paraId="53BD6CD2"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377ECC9"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Zhuzhou Huarui Precision Cutting Tools,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AC3B82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477.00</w:t>
            </w:r>
          </w:p>
        </w:tc>
        <w:tc>
          <w:tcPr>
            <w:tcW w:w="957" w:type="dxa"/>
            <w:tcBorders>
              <w:top w:val="nil"/>
              <w:left w:val="nil"/>
              <w:bottom w:val="single" w:sz="4" w:space="0" w:color="000000"/>
              <w:right w:val="single" w:sz="4" w:space="0" w:color="000000"/>
            </w:tcBorders>
            <w:shd w:val="clear" w:color="auto" w:fill="auto"/>
            <w:noWrap/>
            <w:vAlign w:val="bottom"/>
            <w:hideMark/>
          </w:tcPr>
          <w:p w14:paraId="017CA7E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77.45</w:t>
            </w:r>
          </w:p>
        </w:tc>
        <w:tc>
          <w:tcPr>
            <w:tcW w:w="1418" w:type="dxa"/>
            <w:tcBorders>
              <w:top w:val="nil"/>
              <w:left w:val="nil"/>
              <w:bottom w:val="single" w:sz="4" w:space="0" w:color="000000"/>
              <w:right w:val="single" w:sz="4" w:space="0" w:color="000000"/>
            </w:tcBorders>
            <w:shd w:val="clear" w:color="auto" w:fill="auto"/>
            <w:noWrap/>
            <w:vAlign w:val="bottom"/>
            <w:hideMark/>
          </w:tcPr>
          <w:p w14:paraId="26422CC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40.57</w:t>
            </w:r>
          </w:p>
        </w:tc>
      </w:tr>
      <w:tr w:rsidR="00A0308E" w:rsidRPr="003B10E2" w14:paraId="7343ED21"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25048A0C"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Zhuzhou Kibing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A30B0B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3 545.13</w:t>
            </w:r>
          </w:p>
        </w:tc>
        <w:tc>
          <w:tcPr>
            <w:tcW w:w="957" w:type="dxa"/>
            <w:tcBorders>
              <w:top w:val="nil"/>
              <w:left w:val="nil"/>
              <w:bottom w:val="single" w:sz="4" w:space="0" w:color="000000"/>
              <w:right w:val="single" w:sz="4" w:space="0" w:color="000000"/>
            </w:tcBorders>
            <w:shd w:val="clear" w:color="auto" w:fill="auto"/>
            <w:noWrap/>
            <w:vAlign w:val="bottom"/>
            <w:hideMark/>
          </w:tcPr>
          <w:p w14:paraId="78F966A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9.43</w:t>
            </w:r>
          </w:p>
        </w:tc>
        <w:tc>
          <w:tcPr>
            <w:tcW w:w="1418" w:type="dxa"/>
            <w:tcBorders>
              <w:top w:val="nil"/>
              <w:left w:val="nil"/>
              <w:bottom w:val="single" w:sz="4" w:space="0" w:color="000000"/>
              <w:right w:val="single" w:sz="4" w:space="0" w:color="000000"/>
            </w:tcBorders>
            <w:shd w:val="clear" w:color="auto" w:fill="auto"/>
            <w:noWrap/>
            <w:vAlign w:val="bottom"/>
            <w:hideMark/>
          </w:tcPr>
          <w:p w14:paraId="12E4EC2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437.62</w:t>
            </w:r>
          </w:p>
        </w:tc>
      </w:tr>
      <w:tr w:rsidR="00A0308E" w:rsidRPr="003B10E2" w14:paraId="33625E2F"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FECF2D8"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Zhuzhou Qianjin Pharmaceutical,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14:paraId="102CF2A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721.81</w:t>
            </w:r>
          </w:p>
        </w:tc>
        <w:tc>
          <w:tcPr>
            <w:tcW w:w="957" w:type="dxa"/>
            <w:tcBorders>
              <w:top w:val="nil"/>
              <w:left w:val="nil"/>
              <w:bottom w:val="single" w:sz="4" w:space="0" w:color="000000"/>
              <w:right w:val="single" w:sz="4" w:space="0" w:color="000000"/>
            </w:tcBorders>
            <w:shd w:val="clear" w:color="auto" w:fill="auto"/>
            <w:noWrap/>
            <w:vAlign w:val="bottom"/>
            <w:hideMark/>
          </w:tcPr>
          <w:p w14:paraId="2765D4A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12.00</w:t>
            </w:r>
          </w:p>
        </w:tc>
        <w:tc>
          <w:tcPr>
            <w:tcW w:w="1418" w:type="dxa"/>
            <w:tcBorders>
              <w:top w:val="nil"/>
              <w:left w:val="nil"/>
              <w:bottom w:val="single" w:sz="4" w:space="0" w:color="000000"/>
              <w:right w:val="single" w:sz="4" w:space="0" w:color="000000"/>
            </w:tcBorders>
            <w:shd w:val="clear" w:color="auto" w:fill="auto"/>
            <w:noWrap/>
            <w:vAlign w:val="bottom"/>
            <w:hideMark/>
          </w:tcPr>
          <w:p w14:paraId="089ABD7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203.65</w:t>
            </w:r>
          </w:p>
        </w:tc>
      </w:tr>
      <w:tr w:rsidR="00A0308E" w:rsidRPr="003B10E2" w14:paraId="270EF8A3"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FC40B83"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Zhuzhou Smelter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7EFA83A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587.58</w:t>
            </w:r>
          </w:p>
        </w:tc>
        <w:tc>
          <w:tcPr>
            <w:tcW w:w="957" w:type="dxa"/>
            <w:tcBorders>
              <w:top w:val="nil"/>
              <w:left w:val="nil"/>
              <w:bottom w:val="single" w:sz="4" w:space="0" w:color="000000"/>
              <w:right w:val="single" w:sz="4" w:space="0" w:color="000000"/>
            </w:tcBorders>
            <w:shd w:val="clear" w:color="auto" w:fill="auto"/>
            <w:noWrap/>
            <w:vAlign w:val="bottom"/>
            <w:hideMark/>
          </w:tcPr>
          <w:p w14:paraId="6B992FB9"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7.96</w:t>
            </w:r>
          </w:p>
        </w:tc>
        <w:tc>
          <w:tcPr>
            <w:tcW w:w="1418" w:type="dxa"/>
            <w:tcBorders>
              <w:top w:val="nil"/>
              <w:left w:val="nil"/>
              <w:bottom w:val="single" w:sz="4" w:space="0" w:color="000000"/>
              <w:right w:val="single" w:sz="4" w:space="0" w:color="000000"/>
            </w:tcBorders>
            <w:shd w:val="clear" w:color="auto" w:fill="auto"/>
            <w:noWrap/>
            <w:vAlign w:val="bottom"/>
            <w:hideMark/>
          </w:tcPr>
          <w:p w14:paraId="6EC8C3DD"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36.05</w:t>
            </w:r>
          </w:p>
        </w:tc>
      </w:tr>
      <w:tr w:rsidR="00A0308E" w:rsidRPr="003B10E2" w14:paraId="01DAD752"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046548BB"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Zhuzhou Times New Material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3CA3D44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1 253.83</w:t>
            </w:r>
          </w:p>
        </w:tc>
        <w:tc>
          <w:tcPr>
            <w:tcW w:w="957" w:type="dxa"/>
            <w:tcBorders>
              <w:top w:val="nil"/>
              <w:left w:val="nil"/>
              <w:bottom w:val="single" w:sz="4" w:space="0" w:color="000000"/>
              <w:right w:val="single" w:sz="4" w:space="0" w:color="000000"/>
            </w:tcBorders>
            <w:shd w:val="clear" w:color="auto" w:fill="auto"/>
            <w:noWrap/>
            <w:vAlign w:val="bottom"/>
            <w:hideMark/>
          </w:tcPr>
          <w:p w14:paraId="7414417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11.16</w:t>
            </w:r>
          </w:p>
        </w:tc>
        <w:tc>
          <w:tcPr>
            <w:tcW w:w="1418" w:type="dxa"/>
            <w:tcBorders>
              <w:top w:val="nil"/>
              <w:left w:val="nil"/>
              <w:bottom w:val="single" w:sz="4" w:space="0" w:color="000000"/>
              <w:right w:val="single" w:sz="4" w:space="0" w:color="000000"/>
            </w:tcBorders>
            <w:shd w:val="clear" w:color="auto" w:fill="auto"/>
            <w:noWrap/>
            <w:vAlign w:val="bottom"/>
            <w:hideMark/>
          </w:tcPr>
          <w:p w14:paraId="481FAA7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57.15</w:t>
            </w:r>
          </w:p>
        </w:tc>
      </w:tr>
      <w:tr w:rsidR="00A0308E" w:rsidRPr="003B10E2" w14:paraId="13898B17"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43831A96"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Zijin Mining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179FD65F"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33 429.64</w:t>
            </w:r>
          </w:p>
        </w:tc>
        <w:tc>
          <w:tcPr>
            <w:tcW w:w="957" w:type="dxa"/>
            <w:tcBorders>
              <w:top w:val="nil"/>
              <w:left w:val="nil"/>
              <w:bottom w:val="single" w:sz="4" w:space="0" w:color="000000"/>
              <w:right w:val="single" w:sz="4" w:space="0" w:color="000000"/>
            </w:tcBorders>
            <w:shd w:val="clear" w:color="auto" w:fill="auto"/>
            <w:noWrap/>
            <w:vAlign w:val="bottom"/>
            <w:hideMark/>
          </w:tcPr>
          <w:p w14:paraId="69EFB7E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11.60</w:t>
            </w:r>
          </w:p>
        </w:tc>
        <w:tc>
          <w:tcPr>
            <w:tcW w:w="1418" w:type="dxa"/>
            <w:tcBorders>
              <w:top w:val="nil"/>
              <w:left w:val="nil"/>
              <w:bottom w:val="single" w:sz="4" w:space="0" w:color="000000"/>
              <w:right w:val="single" w:sz="4" w:space="0" w:color="000000"/>
            </w:tcBorders>
            <w:shd w:val="clear" w:color="auto" w:fill="auto"/>
            <w:noWrap/>
            <w:vAlign w:val="bottom"/>
            <w:hideMark/>
          </w:tcPr>
          <w:p w14:paraId="2C6E0383"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1 021.05</w:t>
            </w:r>
          </w:p>
        </w:tc>
      </w:tr>
      <w:tr w:rsidR="00A0308E" w:rsidRPr="003B10E2" w14:paraId="38E56FC0"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1EA9A44F"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ZJMI Environmental Energy,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6D1131F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1 288.40</w:t>
            </w:r>
          </w:p>
        </w:tc>
        <w:tc>
          <w:tcPr>
            <w:tcW w:w="957" w:type="dxa"/>
            <w:tcBorders>
              <w:top w:val="nil"/>
              <w:left w:val="nil"/>
              <w:bottom w:val="single" w:sz="4" w:space="0" w:color="000000"/>
              <w:right w:val="single" w:sz="4" w:space="0" w:color="000000"/>
            </w:tcBorders>
            <w:shd w:val="clear" w:color="auto" w:fill="auto"/>
            <w:noWrap/>
            <w:vAlign w:val="bottom"/>
            <w:hideMark/>
          </w:tcPr>
          <w:p w14:paraId="47B653E1"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16.50</w:t>
            </w:r>
          </w:p>
        </w:tc>
        <w:tc>
          <w:tcPr>
            <w:tcW w:w="1418" w:type="dxa"/>
            <w:tcBorders>
              <w:top w:val="nil"/>
              <w:left w:val="nil"/>
              <w:bottom w:val="single" w:sz="4" w:space="0" w:color="000000"/>
              <w:right w:val="single" w:sz="4" w:space="0" w:color="000000"/>
            </w:tcBorders>
            <w:shd w:val="clear" w:color="auto" w:fill="auto"/>
            <w:noWrap/>
            <w:vAlign w:val="bottom"/>
            <w:hideMark/>
          </w:tcPr>
          <w:p w14:paraId="38BCAA7E"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26.42</w:t>
            </w:r>
          </w:p>
        </w:tc>
      </w:tr>
      <w:tr w:rsidR="00A0308E" w:rsidRPr="003B10E2" w14:paraId="7DE031A8" w14:textId="77777777"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14:paraId="54FCF9A2" w14:textId="77777777"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Zoy Home Furnishing,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14:paraId="0801906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192.34</w:t>
            </w:r>
          </w:p>
        </w:tc>
        <w:tc>
          <w:tcPr>
            <w:tcW w:w="957" w:type="dxa"/>
            <w:tcBorders>
              <w:top w:val="nil"/>
              <w:left w:val="nil"/>
              <w:bottom w:val="single" w:sz="4" w:space="0" w:color="000000"/>
              <w:right w:val="single" w:sz="4" w:space="0" w:color="000000"/>
            </w:tcBorders>
            <w:shd w:val="clear" w:color="auto" w:fill="auto"/>
            <w:noWrap/>
            <w:vAlign w:val="bottom"/>
            <w:hideMark/>
          </w:tcPr>
          <w:p w14:paraId="3F0C6228"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17.18</w:t>
            </w:r>
          </w:p>
        </w:tc>
        <w:tc>
          <w:tcPr>
            <w:tcW w:w="1418" w:type="dxa"/>
            <w:tcBorders>
              <w:top w:val="nil"/>
              <w:left w:val="nil"/>
              <w:bottom w:val="single" w:sz="4" w:space="0" w:color="000000"/>
              <w:right w:val="single" w:sz="4" w:space="0" w:color="000000"/>
            </w:tcBorders>
            <w:shd w:val="clear" w:color="auto" w:fill="auto"/>
            <w:noWrap/>
            <w:vAlign w:val="bottom"/>
            <w:hideMark/>
          </w:tcPr>
          <w:p w14:paraId="591E639C"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7.73</w:t>
            </w:r>
          </w:p>
        </w:tc>
      </w:tr>
      <w:tr w:rsidR="00A0308E" w:rsidRPr="003B10E2" w14:paraId="051C852C" w14:textId="77777777" w:rsidTr="00A0308E">
        <w:trPr>
          <w:trHeight w:val="300"/>
        </w:trPr>
        <w:tc>
          <w:tcPr>
            <w:tcW w:w="4815" w:type="dxa"/>
            <w:tcBorders>
              <w:top w:val="nil"/>
              <w:left w:val="single" w:sz="4" w:space="0" w:color="000000"/>
              <w:bottom w:val="nil"/>
              <w:right w:val="single" w:sz="4" w:space="0" w:color="000000"/>
            </w:tcBorders>
            <w:shd w:val="clear" w:color="auto" w:fill="auto"/>
            <w:noWrap/>
            <w:vAlign w:val="bottom"/>
            <w:hideMark/>
          </w:tcPr>
          <w:p w14:paraId="1CDE0001" w14:textId="77777777"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ZWSOFT, акция об.</w:t>
            </w:r>
          </w:p>
        </w:tc>
        <w:tc>
          <w:tcPr>
            <w:tcW w:w="1736" w:type="dxa"/>
            <w:tcBorders>
              <w:top w:val="nil"/>
              <w:left w:val="nil"/>
              <w:bottom w:val="nil"/>
              <w:right w:val="single" w:sz="4" w:space="0" w:color="000000"/>
            </w:tcBorders>
            <w:shd w:val="clear" w:color="auto" w:fill="auto"/>
            <w:noWrap/>
            <w:vAlign w:val="bottom"/>
            <w:hideMark/>
          </w:tcPr>
          <w:p w14:paraId="0BB2F784"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1 790.05</w:t>
            </w:r>
          </w:p>
        </w:tc>
        <w:tc>
          <w:tcPr>
            <w:tcW w:w="957" w:type="dxa"/>
            <w:tcBorders>
              <w:top w:val="nil"/>
              <w:left w:val="nil"/>
              <w:bottom w:val="nil"/>
              <w:right w:val="single" w:sz="4" w:space="0" w:color="000000"/>
            </w:tcBorders>
            <w:shd w:val="clear" w:color="auto" w:fill="auto"/>
            <w:noWrap/>
            <w:vAlign w:val="bottom"/>
            <w:hideMark/>
          </w:tcPr>
          <w:p w14:paraId="6BCE2B90"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206.49</w:t>
            </w:r>
          </w:p>
        </w:tc>
        <w:tc>
          <w:tcPr>
            <w:tcW w:w="1418" w:type="dxa"/>
            <w:tcBorders>
              <w:top w:val="nil"/>
              <w:left w:val="nil"/>
              <w:bottom w:val="nil"/>
              <w:right w:val="single" w:sz="4" w:space="0" w:color="000000"/>
            </w:tcBorders>
            <w:shd w:val="clear" w:color="auto" w:fill="auto"/>
            <w:noWrap/>
            <w:vAlign w:val="bottom"/>
            <w:hideMark/>
          </w:tcPr>
          <w:p w14:paraId="5F6A1E62" w14:textId="77777777"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115.60</w:t>
            </w:r>
          </w:p>
        </w:tc>
      </w:tr>
      <w:tr w:rsidR="00A0308E" w:rsidRPr="003B10E2" w14:paraId="6E2BE77C" w14:textId="77777777"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DAE38" w14:textId="77777777" w:rsidR="00A0308E" w:rsidRPr="003B10E2" w:rsidRDefault="00A0308E" w:rsidP="00A0308E">
            <w:pPr>
              <w:suppressAutoHyphens w:val="0"/>
              <w:spacing w:after="0" w:line="240" w:lineRule="auto"/>
              <w:rPr>
                <w:rFonts w:eastAsia="Times New Roman" w:cs="Calibri"/>
                <w:b/>
                <w:bCs/>
                <w:color w:val="000000"/>
              </w:rPr>
            </w:pPr>
            <w:r w:rsidRPr="003B10E2">
              <w:rPr>
                <w:rFonts w:eastAsia="Times New Roman" w:cs="Calibri"/>
                <w:b/>
                <w:bCs/>
                <w:color w:val="000000"/>
              </w:rPr>
              <w:t>Итого</w:t>
            </w:r>
          </w:p>
        </w:tc>
        <w:tc>
          <w:tcPr>
            <w:tcW w:w="1736" w:type="dxa"/>
            <w:tcBorders>
              <w:top w:val="single" w:sz="4" w:space="0" w:color="auto"/>
              <w:left w:val="nil"/>
              <w:bottom w:val="single" w:sz="4" w:space="0" w:color="auto"/>
              <w:right w:val="single" w:sz="4" w:space="0" w:color="auto"/>
            </w:tcBorders>
            <w:shd w:val="clear" w:color="auto" w:fill="auto"/>
            <w:noWrap/>
            <w:vAlign w:val="bottom"/>
            <w:hideMark/>
          </w:tcPr>
          <w:p w14:paraId="1D816DE4" w14:textId="77777777" w:rsidR="00A0308E" w:rsidRPr="003B10E2" w:rsidRDefault="00A0308E" w:rsidP="00A0308E">
            <w:pPr>
              <w:suppressAutoHyphens w:val="0"/>
              <w:spacing w:after="0" w:line="240" w:lineRule="auto"/>
              <w:jc w:val="right"/>
              <w:rPr>
                <w:rFonts w:eastAsia="Times New Roman" w:cs="Calibri"/>
                <w:b/>
                <w:bCs/>
              </w:rPr>
            </w:pPr>
            <w:r w:rsidRPr="003B10E2">
              <w:rPr>
                <w:rFonts w:eastAsia="Times New Roman" w:cs="Calibri"/>
                <w:b/>
                <w:bCs/>
              </w:rPr>
              <w:t>6 306 005.99</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09618B9D" w14:textId="77777777" w:rsidR="00A0308E" w:rsidRPr="003B10E2" w:rsidRDefault="00A0308E" w:rsidP="00A0308E">
            <w:pPr>
              <w:suppressAutoHyphens w:val="0"/>
              <w:spacing w:after="0" w:line="240" w:lineRule="auto"/>
              <w:rPr>
                <w:rFonts w:eastAsia="Times New Roman" w:cs="Calibri"/>
                <w:b/>
                <w:bCs/>
              </w:rPr>
            </w:pPr>
            <w:r w:rsidRPr="003B10E2">
              <w:rPr>
                <w:rFonts w:eastAsia="Times New Roman" w:cs="Calibri"/>
                <w:b/>
                <w:bCs/>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7E35B9F5" w14:textId="77777777" w:rsidR="00A0308E" w:rsidRPr="003B10E2" w:rsidRDefault="00A0308E" w:rsidP="00A0308E">
            <w:pPr>
              <w:suppressAutoHyphens w:val="0"/>
              <w:spacing w:after="0" w:line="240" w:lineRule="auto"/>
              <w:jc w:val="right"/>
              <w:rPr>
                <w:rFonts w:eastAsia="Times New Roman" w:cs="Calibri"/>
                <w:b/>
                <w:bCs/>
              </w:rPr>
            </w:pPr>
            <w:r w:rsidRPr="003B10E2">
              <w:rPr>
                <w:rFonts w:eastAsia="Times New Roman" w:cs="Calibri"/>
                <w:b/>
                <w:bCs/>
              </w:rPr>
              <w:t>367 832.77</w:t>
            </w:r>
          </w:p>
        </w:tc>
      </w:tr>
    </w:tbl>
    <w:p w14:paraId="255C6713" w14:textId="77777777" w:rsidR="00A0308E" w:rsidRPr="003B10E2" w:rsidRDefault="00A0308E" w:rsidP="00B05051">
      <w:pPr>
        <w:spacing w:after="0" w:line="240" w:lineRule="auto"/>
        <w:contextualSpacing/>
        <w:jc w:val="center"/>
        <w:rPr>
          <w:rFonts w:ascii="Times New Roman" w:hAnsi="Times New Roman"/>
          <w:color w:val="000000"/>
          <w:sz w:val="24"/>
          <w:szCs w:val="24"/>
        </w:rPr>
      </w:pPr>
    </w:p>
    <w:p w14:paraId="64EB1473" w14:textId="77777777" w:rsidR="00A0308E" w:rsidRPr="00AA5F29" w:rsidRDefault="00A0308E" w:rsidP="00A0308E">
      <w:pPr>
        <w:spacing w:after="0" w:line="360" w:lineRule="auto"/>
        <w:rPr>
          <w:rFonts w:ascii="Times New Roman" w:hAnsi="Times New Roman"/>
          <w:color w:val="000000"/>
          <w:sz w:val="24"/>
          <w:szCs w:val="24"/>
        </w:rPr>
      </w:pPr>
      <w:r w:rsidRPr="003B10E2">
        <w:rPr>
          <w:rFonts w:ascii="Times New Roman" w:hAnsi="Times New Roman"/>
          <w:color w:val="000000"/>
          <w:sz w:val="24"/>
          <w:szCs w:val="24"/>
        </w:rPr>
        <w:t xml:space="preserve">Источник: </w:t>
      </w:r>
      <w:r w:rsidRPr="003B10E2">
        <w:rPr>
          <w:rFonts w:ascii="Times New Roman" w:hAnsi="Times New Roman"/>
          <w:color w:val="000000"/>
          <w:sz w:val="24"/>
          <w:szCs w:val="24"/>
          <w:lang w:val="en-US"/>
        </w:rPr>
        <w:t>Thomson</w:t>
      </w:r>
      <w:r w:rsidRPr="00AA5F29">
        <w:rPr>
          <w:rFonts w:ascii="Times New Roman" w:hAnsi="Times New Roman"/>
          <w:color w:val="000000"/>
          <w:sz w:val="24"/>
          <w:szCs w:val="24"/>
        </w:rPr>
        <w:t xml:space="preserve"> </w:t>
      </w:r>
      <w:r w:rsidRPr="003B10E2">
        <w:rPr>
          <w:rFonts w:ascii="Times New Roman" w:hAnsi="Times New Roman"/>
          <w:color w:val="000000"/>
          <w:sz w:val="24"/>
          <w:szCs w:val="24"/>
          <w:lang w:val="en-US"/>
        </w:rPr>
        <w:t>Reuters</w:t>
      </w:r>
      <w:r w:rsidR="00AA5F29">
        <w:rPr>
          <w:rFonts w:ascii="Times New Roman" w:hAnsi="Times New Roman"/>
          <w:color w:val="000000"/>
          <w:sz w:val="24"/>
          <w:szCs w:val="24"/>
        </w:rPr>
        <w:t>, Шанхайская биржа.</w:t>
      </w:r>
    </w:p>
    <w:p w14:paraId="297C63BC" w14:textId="77777777" w:rsidR="00F77F9F" w:rsidRDefault="00F77F9F" w:rsidP="005840BB">
      <w:pPr>
        <w:spacing w:after="0" w:line="360" w:lineRule="auto"/>
      </w:pPr>
    </w:p>
    <w:p w14:paraId="240AE29D" w14:textId="77777777" w:rsidR="005840BB" w:rsidRDefault="005840BB" w:rsidP="005840BB">
      <w:pPr>
        <w:spacing w:after="0" w:line="360" w:lineRule="auto"/>
        <w:ind w:firstLine="851"/>
        <w:rPr>
          <w:rFonts w:ascii="Times New Roman" w:hAnsi="Times New Roman"/>
          <w:i/>
          <w:color w:val="000000"/>
          <w:sz w:val="28"/>
          <w:szCs w:val="28"/>
        </w:rPr>
      </w:pPr>
    </w:p>
    <w:p w14:paraId="50A4672B" w14:textId="77777777" w:rsidR="005840BB" w:rsidRPr="00F77F9F" w:rsidRDefault="005840BB" w:rsidP="00671B66"/>
    <w:sectPr w:rsidR="005840BB" w:rsidRPr="00F77F9F" w:rsidSect="00A17A58">
      <w:headerReference w:type="default" r:id="rId170"/>
      <w:footnotePr>
        <w:numFmt w:val="chicago"/>
        <w:numRestart w:val="eachPage"/>
      </w:footnotePr>
      <w:type w:val="continuous"/>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9A19FD" w14:textId="77777777" w:rsidR="00E23830" w:rsidRDefault="00E23830" w:rsidP="00671B66">
      <w:pPr>
        <w:spacing w:after="0" w:line="240" w:lineRule="auto"/>
      </w:pPr>
      <w:r>
        <w:separator/>
      </w:r>
    </w:p>
  </w:endnote>
  <w:endnote w:type="continuationSeparator" w:id="0">
    <w:p w14:paraId="63A9ACDA" w14:textId="77777777" w:rsidR="00E23830" w:rsidRDefault="00E23830" w:rsidP="00671B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altName w:val="Cambria"/>
    <w:charset w:val="CC"/>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CF813D" w14:textId="77777777" w:rsidR="00E23830" w:rsidRDefault="00E23830" w:rsidP="00671B66">
      <w:pPr>
        <w:spacing w:after="0" w:line="240" w:lineRule="auto"/>
      </w:pPr>
      <w:r>
        <w:separator/>
      </w:r>
    </w:p>
  </w:footnote>
  <w:footnote w:type="continuationSeparator" w:id="0">
    <w:p w14:paraId="07F79AEA" w14:textId="77777777" w:rsidR="00E23830" w:rsidRDefault="00E23830" w:rsidP="00671B66">
      <w:pPr>
        <w:spacing w:after="0" w:line="240" w:lineRule="auto"/>
      </w:pPr>
      <w:r>
        <w:continuationSeparator/>
      </w:r>
    </w:p>
  </w:footnote>
  <w:footnote w:id="1">
    <w:p w14:paraId="1ABAAAE3" w14:textId="77777777" w:rsidR="0005235E" w:rsidRPr="00794AC5" w:rsidRDefault="0005235E" w:rsidP="00794AC5">
      <w:pPr>
        <w:pStyle w:val="ab"/>
        <w:jc w:val="both"/>
        <w:rPr>
          <w:rFonts w:ascii="Times New Roman" w:hAnsi="Times New Roman"/>
          <w:lang w:val="en-US"/>
        </w:rPr>
      </w:pPr>
      <w:r w:rsidRPr="00794AC5">
        <w:rPr>
          <w:rStyle w:val="ac"/>
          <w:rFonts w:ascii="Times New Roman" w:hAnsi="Times New Roman"/>
        </w:rPr>
        <w:footnoteRef/>
      </w:r>
      <w:r w:rsidRPr="00794AC5">
        <w:rPr>
          <w:rFonts w:ascii="Times New Roman" w:hAnsi="Times New Roman"/>
          <w:lang w:val="en-US"/>
        </w:rPr>
        <w:t xml:space="preserve"> «relationships in the process of asset exchange within clear trading rules. At that time, as a large part of the economist avoids to research the mechanics of the markets, researchers of the market structure analyze how specific mechanisms affect the price formation process»</w:t>
      </w:r>
    </w:p>
  </w:footnote>
  <w:footnote w:id="2">
    <w:p w14:paraId="063A8A95" w14:textId="77777777" w:rsidR="0005235E" w:rsidRPr="00A35F4A" w:rsidRDefault="0005235E" w:rsidP="00A35F4A">
      <w:pPr>
        <w:pStyle w:val="ab"/>
        <w:jc w:val="both"/>
        <w:rPr>
          <w:rFonts w:ascii="Times New Roman" w:hAnsi="Times New Roman"/>
        </w:rPr>
      </w:pPr>
      <w:r w:rsidRPr="00A35F4A">
        <w:rPr>
          <w:rStyle w:val="ac"/>
          <w:rFonts w:ascii="Times New Roman" w:hAnsi="Times New Roman"/>
        </w:rPr>
        <w:footnoteRef/>
      </w:r>
      <w:r w:rsidRPr="00A35F4A">
        <w:rPr>
          <w:rFonts w:ascii="Times New Roman" w:hAnsi="Times New Roman"/>
        </w:rPr>
        <w:t xml:space="preserve"> Термин «изменения структуры» используется как синоним.</w:t>
      </w:r>
    </w:p>
  </w:footnote>
  <w:footnote w:id="3">
    <w:p w14:paraId="0EE31E85" w14:textId="77777777" w:rsidR="0005235E" w:rsidRPr="00E83BB8" w:rsidRDefault="0005235E" w:rsidP="00E83BB8">
      <w:pPr>
        <w:spacing w:after="0" w:line="240" w:lineRule="auto"/>
        <w:jc w:val="both"/>
        <w:rPr>
          <w:rFonts w:ascii="Times New Roman" w:hAnsi="Times New Roman"/>
          <w:sz w:val="20"/>
          <w:szCs w:val="20"/>
        </w:rPr>
      </w:pPr>
      <w:r w:rsidRPr="00E83BB8">
        <w:rPr>
          <w:rStyle w:val="af9"/>
          <w:rFonts w:ascii="Times New Roman" w:hAnsi="Times New Roman"/>
          <w:sz w:val="20"/>
          <w:szCs w:val="20"/>
        </w:rPr>
        <w:footnoteRef/>
      </w:r>
      <w:r w:rsidRPr="00E83BB8">
        <w:rPr>
          <w:rFonts w:ascii="Times New Roman" w:hAnsi="Times New Roman"/>
          <w:sz w:val="20"/>
          <w:szCs w:val="20"/>
        </w:rPr>
        <w:t xml:space="preserve"> Рубцов Б.Б. Глобальные финансовые рынки: масштабы, структура, регулирование \\ Век глобализации, 2011.</w:t>
      </w:r>
    </w:p>
    <w:p w14:paraId="3A16841F" w14:textId="77777777" w:rsidR="0005235E" w:rsidRPr="001F3E90" w:rsidRDefault="0005235E" w:rsidP="00E83BB8">
      <w:pPr>
        <w:spacing w:after="0" w:line="240" w:lineRule="auto"/>
        <w:jc w:val="both"/>
        <w:rPr>
          <w:rFonts w:ascii="Times New Roman" w:hAnsi="Times New Roman"/>
          <w:sz w:val="20"/>
          <w:szCs w:val="20"/>
          <w:lang w:val="en-US"/>
        </w:rPr>
      </w:pPr>
      <w:r w:rsidRPr="00E83BB8">
        <w:rPr>
          <w:rFonts w:ascii="Times New Roman" w:hAnsi="Times New Roman"/>
          <w:sz w:val="20"/>
          <w:szCs w:val="20"/>
        </w:rPr>
        <w:t>Ершов М.В. Мировая финансовая система после кризиса: тенденции и проблемы ра</w:t>
      </w:r>
      <w:r>
        <w:rPr>
          <w:rFonts w:ascii="Times New Roman" w:hAnsi="Times New Roman"/>
          <w:sz w:val="20"/>
          <w:szCs w:val="20"/>
        </w:rPr>
        <w:t>звития\\ Деньги и кредит, 2013.</w:t>
      </w:r>
      <w:r w:rsidRPr="00312337">
        <w:rPr>
          <w:rFonts w:ascii="Times New Roman" w:hAnsi="Times New Roman"/>
          <w:sz w:val="20"/>
          <w:szCs w:val="20"/>
        </w:rPr>
        <w:t xml:space="preserve">; </w:t>
      </w:r>
      <w:r w:rsidRPr="00E83BB8">
        <w:rPr>
          <w:rFonts w:ascii="Times New Roman" w:hAnsi="Times New Roman"/>
          <w:sz w:val="20"/>
          <w:szCs w:val="20"/>
        </w:rPr>
        <w:t>Столбов М.И., Дегтерев Д.А. Сценарии развития международной финансовой системы \\</w:t>
      </w:r>
      <w:r>
        <w:rPr>
          <w:rFonts w:ascii="Times New Roman" w:hAnsi="Times New Roman"/>
          <w:sz w:val="20"/>
          <w:szCs w:val="20"/>
        </w:rPr>
        <w:t xml:space="preserve"> Международные процессы, 2011.</w:t>
      </w:r>
      <w:r w:rsidRPr="00312337">
        <w:rPr>
          <w:rFonts w:ascii="Times New Roman" w:hAnsi="Times New Roman"/>
          <w:sz w:val="20"/>
          <w:szCs w:val="20"/>
        </w:rPr>
        <w:t xml:space="preserve">; </w:t>
      </w:r>
      <w:r w:rsidRPr="00E83BB8">
        <w:rPr>
          <w:rFonts w:ascii="Times New Roman" w:hAnsi="Times New Roman"/>
          <w:sz w:val="20"/>
          <w:szCs w:val="20"/>
        </w:rPr>
        <w:t>Зверев А. В., Мандрон В. В., Мишина М. Ю. Формирование российской модели регулирования финансового рынка через построение мегарегулятора // Вестник НГИ</w:t>
      </w:r>
      <w:r>
        <w:rPr>
          <w:rFonts w:ascii="Times New Roman" w:hAnsi="Times New Roman"/>
          <w:sz w:val="20"/>
          <w:szCs w:val="20"/>
        </w:rPr>
        <w:t>ЭИ. 2018. № 7 (86). С. 117-131.</w:t>
      </w:r>
      <w:r w:rsidRPr="00312337">
        <w:rPr>
          <w:rFonts w:ascii="Times New Roman" w:hAnsi="Times New Roman"/>
          <w:sz w:val="20"/>
          <w:szCs w:val="20"/>
        </w:rPr>
        <w:t xml:space="preserve">; </w:t>
      </w:r>
      <w:r w:rsidRPr="00E83BB8">
        <w:rPr>
          <w:rFonts w:ascii="Times New Roman" w:hAnsi="Times New Roman"/>
          <w:sz w:val="20"/>
          <w:szCs w:val="20"/>
        </w:rPr>
        <w:t xml:space="preserve">Евсин М.Ю., Макаров И.Н. Новые инструменты финансового рынка россии в условиях развивающейся цифровой экономики: тенденции и перспективы // </w:t>
      </w:r>
      <w:hyperlink r:id="rId1">
        <w:r w:rsidRPr="00E83BB8">
          <w:rPr>
            <w:rFonts w:ascii="Times New Roman" w:hAnsi="Times New Roman"/>
            <w:color w:val="000000"/>
            <w:sz w:val="20"/>
            <w:szCs w:val="20"/>
          </w:rPr>
          <w:t>Ученые записки Тамбовского отделения РоСМУ</w:t>
        </w:r>
      </w:hyperlink>
      <w:r w:rsidRPr="00E83BB8">
        <w:rPr>
          <w:rFonts w:ascii="Times New Roman" w:hAnsi="Times New Roman"/>
          <w:sz w:val="20"/>
          <w:szCs w:val="20"/>
        </w:rPr>
        <w:t>, 6</w:t>
      </w:r>
      <w:r>
        <w:rPr>
          <w:rFonts w:ascii="Times New Roman" w:hAnsi="Times New Roman"/>
          <w:sz w:val="20"/>
          <w:szCs w:val="20"/>
        </w:rPr>
        <w:t>, 2018.</w:t>
      </w:r>
      <w:r w:rsidRPr="00312337">
        <w:rPr>
          <w:rFonts w:ascii="Times New Roman" w:hAnsi="Times New Roman"/>
          <w:sz w:val="20"/>
          <w:szCs w:val="20"/>
        </w:rPr>
        <w:t xml:space="preserve">; </w:t>
      </w:r>
      <w:r w:rsidRPr="00E83BB8">
        <w:rPr>
          <w:rFonts w:ascii="Times New Roman" w:hAnsi="Times New Roman"/>
          <w:sz w:val="20"/>
          <w:szCs w:val="20"/>
        </w:rPr>
        <w:t>Маковецкий М.Ю. Современные тенденции развития мирового финансового</w:t>
      </w:r>
      <w:r>
        <w:rPr>
          <w:rFonts w:ascii="Times New Roman" w:hAnsi="Times New Roman"/>
          <w:sz w:val="20"/>
          <w:szCs w:val="20"/>
        </w:rPr>
        <w:t xml:space="preserve"> </w:t>
      </w:r>
      <w:r w:rsidRPr="00E83BB8">
        <w:rPr>
          <w:rFonts w:ascii="Times New Roman" w:hAnsi="Times New Roman"/>
          <w:sz w:val="20"/>
          <w:szCs w:val="20"/>
        </w:rPr>
        <w:t>рынка\</w:t>
      </w:r>
      <w:r>
        <w:rPr>
          <w:rFonts w:ascii="Times New Roman" w:hAnsi="Times New Roman"/>
          <w:sz w:val="20"/>
          <w:szCs w:val="20"/>
        </w:rPr>
        <w:t>\ Омский научный вестник, 2014.</w:t>
      </w:r>
      <w:r w:rsidRPr="00312337">
        <w:rPr>
          <w:rFonts w:ascii="Times New Roman" w:hAnsi="Times New Roman"/>
          <w:sz w:val="20"/>
          <w:szCs w:val="20"/>
        </w:rPr>
        <w:t xml:space="preserve">; </w:t>
      </w:r>
      <w:r w:rsidRPr="00E83BB8">
        <w:rPr>
          <w:rFonts w:ascii="Times New Roman" w:hAnsi="Times New Roman"/>
          <w:sz w:val="20"/>
          <w:szCs w:val="20"/>
        </w:rPr>
        <w:t>Кушу С.О. Тенденции формирования и развития финансового рынка современной Ро</w:t>
      </w:r>
      <w:r>
        <w:rPr>
          <w:rFonts w:ascii="Times New Roman" w:hAnsi="Times New Roman"/>
          <w:sz w:val="20"/>
          <w:szCs w:val="20"/>
        </w:rPr>
        <w:t>ссии \\ Новые технологии, 2012.</w:t>
      </w:r>
      <w:r w:rsidRPr="00312337">
        <w:rPr>
          <w:rFonts w:ascii="Times New Roman" w:hAnsi="Times New Roman"/>
          <w:sz w:val="20"/>
          <w:szCs w:val="20"/>
        </w:rPr>
        <w:t xml:space="preserve">; </w:t>
      </w:r>
      <w:r w:rsidRPr="00E83BB8">
        <w:rPr>
          <w:rFonts w:ascii="Times New Roman" w:hAnsi="Times New Roman"/>
          <w:sz w:val="20"/>
          <w:szCs w:val="20"/>
        </w:rPr>
        <w:t>Котова А.А. Интеграция финансового рынка России в мировую финансовую систему: проблемы, анализ, условия и тенд</w:t>
      </w:r>
      <w:r>
        <w:rPr>
          <w:rFonts w:ascii="Times New Roman" w:hAnsi="Times New Roman"/>
          <w:sz w:val="20"/>
          <w:szCs w:val="20"/>
        </w:rPr>
        <w:t>енции\\ Финансы и кредит, 2012.</w:t>
      </w:r>
      <w:r w:rsidRPr="00312337">
        <w:rPr>
          <w:rFonts w:ascii="Times New Roman" w:hAnsi="Times New Roman"/>
          <w:sz w:val="20"/>
          <w:szCs w:val="20"/>
        </w:rPr>
        <w:t xml:space="preserve">; </w:t>
      </w:r>
      <w:r w:rsidRPr="00E83BB8">
        <w:rPr>
          <w:rFonts w:ascii="Times New Roman" w:hAnsi="Times New Roman"/>
          <w:sz w:val="20"/>
          <w:szCs w:val="20"/>
        </w:rPr>
        <w:t>Игонина Л.Л. Российские финансовые институты: особенности функционирования и тенденции развития в современных условиях \\ Финансовая аналитика: проб</w:t>
      </w:r>
      <w:r>
        <w:rPr>
          <w:rFonts w:ascii="Times New Roman" w:hAnsi="Times New Roman"/>
          <w:sz w:val="20"/>
          <w:szCs w:val="20"/>
        </w:rPr>
        <w:t>лемы и решения, 2011.</w:t>
      </w:r>
      <w:r w:rsidRPr="00312337">
        <w:rPr>
          <w:rFonts w:ascii="Times New Roman" w:hAnsi="Times New Roman"/>
          <w:sz w:val="20"/>
          <w:szCs w:val="20"/>
        </w:rPr>
        <w:t xml:space="preserve">; </w:t>
      </w:r>
      <w:r w:rsidRPr="00E83BB8">
        <w:rPr>
          <w:rFonts w:ascii="Times New Roman" w:hAnsi="Times New Roman"/>
          <w:sz w:val="20"/>
          <w:szCs w:val="20"/>
          <w:lang w:val="en-US"/>
        </w:rPr>
        <w:t>Mathis</w:t>
      </w:r>
      <w:r w:rsidRPr="00312337">
        <w:rPr>
          <w:rFonts w:ascii="Times New Roman" w:hAnsi="Times New Roman"/>
          <w:sz w:val="20"/>
          <w:szCs w:val="20"/>
        </w:rPr>
        <w:t xml:space="preserve"> </w:t>
      </w:r>
      <w:r w:rsidRPr="00E83BB8">
        <w:rPr>
          <w:rFonts w:ascii="Times New Roman" w:hAnsi="Times New Roman"/>
          <w:sz w:val="20"/>
          <w:szCs w:val="20"/>
          <w:lang w:val="en-US"/>
        </w:rPr>
        <w:t>C</w:t>
      </w:r>
      <w:r w:rsidRPr="00312337">
        <w:rPr>
          <w:rFonts w:ascii="Times New Roman" w:hAnsi="Times New Roman"/>
          <w:sz w:val="20"/>
          <w:szCs w:val="20"/>
        </w:rPr>
        <w:t xml:space="preserve">. (2017). </w:t>
      </w:r>
      <w:r w:rsidRPr="00E83BB8">
        <w:rPr>
          <w:rFonts w:ascii="Times New Roman" w:hAnsi="Times New Roman"/>
          <w:sz w:val="20"/>
          <w:szCs w:val="20"/>
          <w:lang w:val="en-US"/>
        </w:rPr>
        <w:t>Three trends in middle market private equity. The journal of private equity, Vol. 20, no. 3 (summer 2017), pp. 16-18</w:t>
      </w:r>
      <w:r>
        <w:rPr>
          <w:rFonts w:ascii="Times New Roman" w:hAnsi="Times New Roman"/>
          <w:sz w:val="20"/>
          <w:szCs w:val="20"/>
          <w:lang w:val="en-US"/>
        </w:rPr>
        <w:t xml:space="preserve">; </w:t>
      </w:r>
      <w:r w:rsidRPr="00E83BB8">
        <w:rPr>
          <w:rFonts w:ascii="Times New Roman" w:hAnsi="Times New Roman"/>
          <w:sz w:val="20"/>
          <w:szCs w:val="20"/>
          <w:lang w:val="en-US"/>
        </w:rPr>
        <w:t>Shynkevich A. (2016). Return predictability in emerging equity market sectors. Applied</w:t>
      </w:r>
      <w:r w:rsidRPr="001F3E90">
        <w:rPr>
          <w:rFonts w:ascii="Times New Roman" w:hAnsi="Times New Roman"/>
          <w:sz w:val="20"/>
          <w:szCs w:val="20"/>
          <w:lang w:val="en-US"/>
        </w:rPr>
        <w:t xml:space="preserve"> </w:t>
      </w:r>
      <w:r w:rsidRPr="00E83BB8">
        <w:rPr>
          <w:rFonts w:ascii="Times New Roman" w:hAnsi="Times New Roman"/>
          <w:sz w:val="20"/>
          <w:szCs w:val="20"/>
          <w:lang w:val="en-US"/>
        </w:rPr>
        <w:t>economics</w:t>
      </w:r>
      <w:r w:rsidRPr="001F3E90">
        <w:rPr>
          <w:rFonts w:ascii="Times New Roman" w:hAnsi="Times New Roman"/>
          <w:sz w:val="20"/>
          <w:szCs w:val="20"/>
          <w:lang w:val="en-US"/>
        </w:rPr>
        <w:t xml:space="preserve">, </w:t>
      </w:r>
      <w:r w:rsidRPr="00E83BB8">
        <w:rPr>
          <w:rFonts w:ascii="Times New Roman" w:hAnsi="Times New Roman"/>
          <w:sz w:val="20"/>
          <w:szCs w:val="20"/>
          <w:lang w:val="en-US"/>
        </w:rPr>
        <w:t>Vol</w:t>
      </w:r>
      <w:r w:rsidRPr="001F3E90">
        <w:rPr>
          <w:rFonts w:ascii="Times New Roman" w:hAnsi="Times New Roman"/>
          <w:sz w:val="20"/>
          <w:szCs w:val="20"/>
          <w:lang w:val="en-US"/>
        </w:rPr>
        <w:t xml:space="preserve">. 49, </w:t>
      </w:r>
      <w:r w:rsidRPr="00E83BB8">
        <w:rPr>
          <w:rFonts w:ascii="Times New Roman" w:hAnsi="Times New Roman"/>
          <w:sz w:val="20"/>
          <w:szCs w:val="20"/>
          <w:lang w:val="en-US"/>
        </w:rPr>
        <w:t>Issue</w:t>
      </w:r>
      <w:r w:rsidRPr="001F3E90">
        <w:rPr>
          <w:rFonts w:ascii="Times New Roman" w:hAnsi="Times New Roman"/>
          <w:sz w:val="20"/>
          <w:szCs w:val="20"/>
          <w:lang w:val="en-US"/>
        </w:rPr>
        <w:t xml:space="preserve"> 5, </w:t>
      </w:r>
      <w:r w:rsidRPr="00E83BB8">
        <w:rPr>
          <w:rFonts w:ascii="Times New Roman" w:hAnsi="Times New Roman"/>
          <w:sz w:val="20"/>
          <w:szCs w:val="20"/>
          <w:lang w:val="en-US"/>
        </w:rPr>
        <w:t>pp</w:t>
      </w:r>
      <w:r w:rsidRPr="001F3E90">
        <w:rPr>
          <w:rFonts w:ascii="Times New Roman" w:hAnsi="Times New Roman"/>
          <w:sz w:val="20"/>
          <w:szCs w:val="20"/>
          <w:lang w:val="en-US"/>
        </w:rPr>
        <w:t xml:space="preserve">. 433-445 </w:t>
      </w:r>
    </w:p>
  </w:footnote>
  <w:footnote w:id="4">
    <w:p w14:paraId="0CD76EC2" w14:textId="77777777" w:rsidR="0005235E" w:rsidRDefault="0005235E" w:rsidP="00E83BB8">
      <w:pPr>
        <w:pStyle w:val="ab"/>
        <w:jc w:val="both"/>
      </w:pPr>
      <w:r w:rsidRPr="00E83BB8">
        <w:rPr>
          <w:rStyle w:val="ac"/>
          <w:rFonts w:ascii="Times New Roman" w:hAnsi="Times New Roman"/>
        </w:rPr>
        <w:sym w:font="Symbol" w:char="F02A"/>
      </w:r>
      <w:r w:rsidRPr="00E83BB8">
        <w:rPr>
          <w:rFonts w:ascii="Times New Roman" w:hAnsi="Times New Roman"/>
        </w:rPr>
        <w:t xml:space="preserve"> Когда в разных странах отмечаются разные объемы финансовых ресурсов, их цена варьирует по регионам, а сами ресурсы последнее время часто стремятся покинуть страны «периферийной» Европы и перетекают в более устойчивые европейские экономики.</w:t>
      </w:r>
    </w:p>
  </w:footnote>
  <w:footnote w:id="5">
    <w:p w14:paraId="3FC0C59E" w14:textId="77777777" w:rsidR="0005235E" w:rsidRPr="000B5BF9" w:rsidRDefault="0005235E" w:rsidP="000B5BF9">
      <w:pPr>
        <w:spacing w:after="0" w:line="240" w:lineRule="auto"/>
        <w:contextualSpacing/>
        <w:jc w:val="both"/>
        <w:rPr>
          <w:rFonts w:ascii="Times New Roman" w:hAnsi="Times New Roman"/>
          <w:sz w:val="20"/>
          <w:szCs w:val="20"/>
          <w:lang w:val="en-US"/>
        </w:rPr>
      </w:pPr>
      <w:r w:rsidRPr="000B5BF9">
        <w:rPr>
          <w:rStyle w:val="af9"/>
          <w:rFonts w:ascii="Times New Roman" w:hAnsi="Times New Roman"/>
          <w:sz w:val="20"/>
          <w:szCs w:val="20"/>
        </w:rPr>
        <w:footnoteRef/>
      </w:r>
      <w:r w:rsidRPr="001F3E90">
        <w:rPr>
          <w:rFonts w:ascii="Times New Roman" w:hAnsi="Times New Roman"/>
          <w:sz w:val="20"/>
          <w:szCs w:val="20"/>
          <w:lang w:val="en-US"/>
        </w:rPr>
        <w:t xml:space="preserve"> </w:t>
      </w:r>
      <w:r w:rsidRPr="000B5BF9">
        <w:rPr>
          <w:rFonts w:ascii="Times New Roman" w:hAnsi="Times New Roman"/>
          <w:sz w:val="20"/>
          <w:szCs w:val="20"/>
          <w:lang w:val="en-US"/>
        </w:rPr>
        <w:t>Muth</w:t>
      </w:r>
      <w:r w:rsidRPr="001F3E90">
        <w:rPr>
          <w:rFonts w:ascii="Times New Roman" w:hAnsi="Times New Roman"/>
          <w:sz w:val="20"/>
          <w:szCs w:val="20"/>
          <w:lang w:val="en-US"/>
        </w:rPr>
        <w:t xml:space="preserve"> </w:t>
      </w:r>
      <w:r w:rsidRPr="000B5BF9">
        <w:rPr>
          <w:rFonts w:ascii="Times New Roman" w:hAnsi="Times New Roman"/>
          <w:sz w:val="20"/>
          <w:szCs w:val="20"/>
          <w:lang w:val="en-US"/>
        </w:rPr>
        <w:t>J</w:t>
      </w:r>
      <w:r w:rsidRPr="001F3E90">
        <w:rPr>
          <w:rFonts w:ascii="Times New Roman" w:hAnsi="Times New Roman"/>
          <w:sz w:val="20"/>
          <w:szCs w:val="20"/>
          <w:lang w:val="en-US"/>
        </w:rPr>
        <w:t xml:space="preserve">. (1961). </w:t>
      </w:r>
      <w:r w:rsidRPr="000B5BF9">
        <w:rPr>
          <w:rFonts w:ascii="Times New Roman" w:hAnsi="Times New Roman"/>
          <w:sz w:val="20"/>
          <w:szCs w:val="20"/>
          <w:lang w:val="en-US"/>
        </w:rPr>
        <w:t>Rational Expectations and the Theory of Price Movements. Econometrica, Vol. 29, No. 3 (Jul., 1961), pp. 315-335.</w:t>
      </w:r>
    </w:p>
  </w:footnote>
  <w:footnote w:id="6">
    <w:p w14:paraId="616A20A1" w14:textId="77777777" w:rsidR="0005235E" w:rsidRPr="004D2444" w:rsidRDefault="0005235E" w:rsidP="000B5BF9">
      <w:pPr>
        <w:pStyle w:val="ab"/>
        <w:contextualSpacing/>
        <w:jc w:val="both"/>
        <w:rPr>
          <w:lang w:val="en-US"/>
        </w:rPr>
      </w:pPr>
      <w:r w:rsidRPr="000B5BF9">
        <w:rPr>
          <w:rStyle w:val="ac"/>
          <w:rFonts w:ascii="Times New Roman" w:hAnsi="Times New Roman"/>
        </w:rPr>
        <w:sym w:font="Symbol" w:char="F02A"/>
      </w:r>
      <w:r w:rsidRPr="000B5BF9">
        <w:rPr>
          <w:rFonts w:ascii="Times New Roman" w:hAnsi="Times New Roman"/>
          <w:lang w:val="en-US"/>
        </w:rPr>
        <w:t xml:space="preserve"> Lo A.W. Effective Market Hypothesis. [Jelektronnyj resurs]. URL</w:t>
      </w:r>
      <w:r w:rsidRPr="004D2444">
        <w:rPr>
          <w:rFonts w:ascii="Times New Roman" w:hAnsi="Times New Roman"/>
          <w:lang w:val="en-US"/>
        </w:rPr>
        <w:t xml:space="preserve">: </w:t>
      </w:r>
      <w:r w:rsidRPr="000B5BF9">
        <w:rPr>
          <w:rFonts w:ascii="Times New Roman" w:hAnsi="Times New Roman"/>
          <w:lang w:val="en-US"/>
        </w:rPr>
        <w:t>http</w:t>
      </w:r>
      <w:r w:rsidRPr="004D2444">
        <w:rPr>
          <w:rFonts w:ascii="Times New Roman" w:hAnsi="Times New Roman"/>
          <w:lang w:val="en-US"/>
        </w:rPr>
        <w:t>://</w:t>
      </w:r>
      <w:r w:rsidRPr="000B5BF9">
        <w:rPr>
          <w:rFonts w:ascii="Times New Roman" w:hAnsi="Times New Roman"/>
          <w:lang w:val="en-US"/>
        </w:rPr>
        <w:t>legacy</w:t>
      </w:r>
      <w:r w:rsidRPr="004D2444">
        <w:rPr>
          <w:rFonts w:ascii="Times New Roman" w:hAnsi="Times New Roman"/>
          <w:lang w:val="en-US"/>
        </w:rPr>
        <w:t>.</w:t>
      </w:r>
      <w:r w:rsidRPr="000B5BF9">
        <w:rPr>
          <w:rFonts w:ascii="Times New Roman" w:hAnsi="Times New Roman"/>
          <w:lang w:val="en-US"/>
        </w:rPr>
        <w:t>earlham</w:t>
      </w:r>
      <w:r w:rsidRPr="004D2444">
        <w:rPr>
          <w:rFonts w:ascii="Times New Roman" w:hAnsi="Times New Roman"/>
          <w:lang w:val="en-US"/>
        </w:rPr>
        <w:t>.</w:t>
      </w:r>
      <w:r w:rsidRPr="000B5BF9">
        <w:rPr>
          <w:rFonts w:ascii="Times New Roman" w:hAnsi="Times New Roman"/>
          <w:lang w:val="en-US"/>
        </w:rPr>
        <w:t>edu</w:t>
      </w:r>
      <w:r w:rsidRPr="004D2444">
        <w:rPr>
          <w:rFonts w:ascii="Times New Roman" w:hAnsi="Times New Roman"/>
          <w:lang w:val="en-US"/>
        </w:rPr>
        <w:t>/~</w:t>
      </w:r>
      <w:r w:rsidRPr="000B5BF9">
        <w:rPr>
          <w:rFonts w:ascii="Times New Roman" w:hAnsi="Times New Roman"/>
          <w:lang w:val="en-US"/>
        </w:rPr>
        <w:t>lautzma</w:t>
      </w:r>
      <w:r w:rsidRPr="004D2444">
        <w:rPr>
          <w:rFonts w:ascii="Times New Roman" w:hAnsi="Times New Roman"/>
          <w:lang w:val="en-US"/>
        </w:rPr>
        <w:t>/</w:t>
      </w:r>
      <w:r w:rsidRPr="000B5BF9">
        <w:rPr>
          <w:rFonts w:ascii="Times New Roman" w:hAnsi="Times New Roman"/>
          <w:lang w:val="en-US"/>
        </w:rPr>
        <w:t>index</w:t>
      </w:r>
      <w:r w:rsidRPr="004D2444">
        <w:rPr>
          <w:rFonts w:ascii="Times New Roman" w:hAnsi="Times New Roman"/>
          <w:lang w:val="en-US"/>
        </w:rPr>
        <w:t>_</w:t>
      </w:r>
      <w:r w:rsidRPr="000B5BF9">
        <w:rPr>
          <w:rFonts w:ascii="Times New Roman" w:hAnsi="Times New Roman"/>
          <w:lang w:val="en-US"/>
        </w:rPr>
        <w:t>files</w:t>
      </w:r>
      <w:r w:rsidRPr="004D2444">
        <w:rPr>
          <w:rFonts w:ascii="Times New Roman" w:hAnsi="Times New Roman"/>
          <w:lang w:val="en-US"/>
        </w:rPr>
        <w:t>/</w:t>
      </w:r>
      <w:r w:rsidRPr="000B5BF9">
        <w:rPr>
          <w:rFonts w:ascii="Times New Roman" w:hAnsi="Times New Roman"/>
          <w:lang w:val="en-US"/>
        </w:rPr>
        <w:t>Capital</w:t>
      </w:r>
      <w:r w:rsidRPr="004D2444">
        <w:rPr>
          <w:rFonts w:ascii="Times New Roman" w:hAnsi="Times New Roman"/>
          <w:lang w:val="en-US"/>
        </w:rPr>
        <w:t>/</w:t>
      </w:r>
      <w:r w:rsidRPr="000B5BF9">
        <w:rPr>
          <w:rFonts w:ascii="Times New Roman" w:hAnsi="Times New Roman"/>
          <w:lang w:val="en-US"/>
        </w:rPr>
        <w:t>Part</w:t>
      </w:r>
      <w:r w:rsidRPr="004D2444">
        <w:rPr>
          <w:rFonts w:ascii="Times New Roman" w:hAnsi="Times New Roman"/>
          <w:lang w:val="en-US"/>
        </w:rPr>
        <w:t>%202/</w:t>
      </w:r>
      <w:r w:rsidRPr="000B5BF9">
        <w:rPr>
          <w:rFonts w:ascii="Times New Roman" w:hAnsi="Times New Roman"/>
          <w:lang w:val="en-US"/>
        </w:rPr>
        <w:t>EMH</w:t>
      </w:r>
      <w:r w:rsidRPr="004D2444">
        <w:rPr>
          <w:rFonts w:ascii="Times New Roman" w:hAnsi="Times New Roman"/>
          <w:lang w:val="en-US"/>
        </w:rPr>
        <w:t>_</w:t>
      </w:r>
      <w:r w:rsidRPr="000B5BF9">
        <w:rPr>
          <w:rFonts w:ascii="Times New Roman" w:hAnsi="Times New Roman"/>
          <w:lang w:val="en-US"/>
        </w:rPr>
        <w:t>LO</w:t>
      </w:r>
      <w:r w:rsidRPr="004D2444">
        <w:rPr>
          <w:rFonts w:ascii="Times New Roman" w:hAnsi="Times New Roman"/>
          <w:lang w:val="en-US"/>
        </w:rPr>
        <w:t>_</w:t>
      </w:r>
      <w:r w:rsidRPr="000B5BF9">
        <w:rPr>
          <w:rFonts w:ascii="Times New Roman" w:hAnsi="Times New Roman"/>
          <w:lang w:val="en-US"/>
        </w:rPr>
        <w:t>palgrave</w:t>
      </w:r>
      <w:r w:rsidRPr="004D2444">
        <w:rPr>
          <w:rFonts w:ascii="Times New Roman" w:hAnsi="Times New Roman"/>
          <w:lang w:val="en-US"/>
        </w:rPr>
        <w:t>.</w:t>
      </w:r>
      <w:r w:rsidRPr="000B5BF9">
        <w:rPr>
          <w:rFonts w:ascii="Times New Roman" w:hAnsi="Times New Roman"/>
          <w:lang w:val="en-US"/>
        </w:rPr>
        <w:t>pdf</w:t>
      </w:r>
    </w:p>
  </w:footnote>
  <w:footnote w:id="7">
    <w:p w14:paraId="3F729F59" w14:textId="77777777" w:rsidR="0005235E" w:rsidRPr="00805D9F" w:rsidRDefault="0005235E" w:rsidP="000E0FE8">
      <w:pPr>
        <w:pStyle w:val="aff9"/>
        <w:shd w:val="clear" w:color="auto" w:fill="FFFFFF"/>
        <w:spacing w:after="0" w:line="240" w:lineRule="auto"/>
        <w:jc w:val="both"/>
        <w:rPr>
          <w:rFonts w:eastAsia="Times New Roman"/>
          <w:sz w:val="20"/>
          <w:szCs w:val="20"/>
        </w:rPr>
      </w:pPr>
      <w:r w:rsidRPr="00805D9F">
        <w:rPr>
          <w:rStyle w:val="af9"/>
          <w:sz w:val="20"/>
          <w:szCs w:val="20"/>
        </w:rPr>
        <w:footnoteRef/>
      </w:r>
      <w:r w:rsidRPr="00805D9F">
        <w:rPr>
          <w:sz w:val="20"/>
          <w:szCs w:val="20"/>
        </w:rPr>
        <w:t xml:space="preserve"> </w:t>
      </w:r>
      <w:r w:rsidRPr="00805D9F">
        <w:rPr>
          <w:rFonts w:eastAsia="Times New Roman"/>
          <w:bCs/>
          <w:sz w:val="20"/>
          <w:szCs w:val="20"/>
        </w:rPr>
        <w:t>Теорема</w:t>
      </w:r>
      <w:r w:rsidRPr="00805D9F">
        <w:rPr>
          <w:rFonts w:eastAsia="Times New Roman"/>
          <w:bCs/>
          <w:sz w:val="20"/>
          <w:szCs w:val="20"/>
          <w:lang w:val="en-US"/>
        </w:rPr>
        <w:t> CAP</w:t>
      </w:r>
      <w:r w:rsidRPr="00805D9F">
        <w:rPr>
          <w:rFonts w:eastAsia="Times New Roman"/>
          <w:bCs/>
          <w:sz w:val="20"/>
          <w:szCs w:val="20"/>
        </w:rPr>
        <w:t xml:space="preserve"> </w:t>
      </w:r>
      <w:r w:rsidRPr="00805D9F">
        <w:rPr>
          <w:rFonts w:eastAsia="Times New Roman"/>
          <w:sz w:val="20"/>
          <w:szCs w:val="20"/>
        </w:rPr>
        <w:t xml:space="preserve">— </w:t>
      </w:r>
      <w:hyperlink r:id="rId2" w:tgtFrame="Эвристика">
        <w:r w:rsidRPr="00805D9F">
          <w:rPr>
            <w:rFonts w:eastAsia="Times New Roman"/>
            <w:sz w:val="20"/>
            <w:szCs w:val="20"/>
          </w:rPr>
          <w:t>эвристическое</w:t>
        </w:r>
      </w:hyperlink>
      <w:r w:rsidRPr="00805D9F">
        <w:rPr>
          <w:rFonts w:eastAsia="Times New Roman"/>
          <w:sz w:val="20"/>
          <w:szCs w:val="20"/>
        </w:rPr>
        <w:t xml:space="preserve"> утверждение о том, что в любой реализации </w:t>
      </w:r>
      <w:hyperlink r:id="rId3" w:tgtFrame="Распределённые вычисления">
        <w:r w:rsidRPr="00805D9F">
          <w:rPr>
            <w:rFonts w:eastAsia="Times New Roman"/>
            <w:sz w:val="20"/>
            <w:szCs w:val="20"/>
          </w:rPr>
          <w:t>распределённых вычислений</w:t>
        </w:r>
      </w:hyperlink>
      <w:r w:rsidRPr="00805D9F">
        <w:rPr>
          <w:rFonts w:eastAsia="Times New Roman"/>
          <w:sz w:val="20"/>
          <w:szCs w:val="20"/>
        </w:rPr>
        <w:t xml:space="preserve"> возможно обеспечить не более двух из трёх следующих свойств: </w:t>
      </w:r>
      <w:hyperlink r:id="rId4" w:tgtFrame="Согласованность данных">
        <w:r w:rsidRPr="00805D9F">
          <w:rPr>
            <w:rFonts w:eastAsia="Times New Roman"/>
            <w:i/>
            <w:iCs/>
            <w:sz w:val="20"/>
            <w:szCs w:val="20"/>
          </w:rPr>
          <w:t>согласованность данных</w:t>
        </w:r>
      </w:hyperlink>
      <w:r w:rsidRPr="00805D9F">
        <w:rPr>
          <w:rFonts w:eastAsia="Times New Roman"/>
          <w:i/>
          <w:iCs/>
          <w:sz w:val="20"/>
          <w:szCs w:val="20"/>
        </w:rPr>
        <w:t xml:space="preserve"> </w:t>
      </w:r>
      <w:r w:rsidRPr="00805D9F">
        <w:rPr>
          <w:rFonts w:eastAsia="Times New Roman"/>
          <w:sz w:val="20"/>
          <w:szCs w:val="20"/>
        </w:rPr>
        <w:t>(</w:t>
      </w:r>
      <w:hyperlink r:id="rId5" w:tgtFrame="Английский язык">
        <w:r w:rsidRPr="00805D9F">
          <w:rPr>
            <w:rFonts w:eastAsia="Times New Roman"/>
            <w:sz w:val="20"/>
            <w:szCs w:val="20"/>
          </w:rPr>
          <w:t>англ.</w:t>
        </w:r>
      </w:hyperlink>
      <w:r w:rsidRPr="00805D9F">
        <w:rPr>
          <w:rFonts w:eastAsia="Times New Roman"/>
          <w:sz w:val="20"/>
          <w:szCs w:val="20"/>
        </w:rPr>
        <w:t xml:space="preserve"> </w:t>
      </w:r>
      <w:r w:rsidRPr="00805D9F">
        <w:rPr>
          <w:rFonts w:eastAsia="Times New Roman"/>
          <w:i/>
          <w:iCs/>
          <w:sz w:val="20"/>
          <w:szCs w:val="20"/>
          <w:lang w:val="en-US"/>
        </w:rPr>
        <w:t>consistency</w:t>
      </w:r>
      <w:r w:rsidRPr="00805D9F">
        <w:rPr>
          <w:rFonts w:eastAsia="Times New Roman"/>
          <w:i/>
          <w:iCs/>
          <w:sz w:val="20"/>
          <w:szCs w:val="20"/>
        </w:rPr>
        <w:t xml:space="preserve">)   </w:t>
      </w:r>
      <w:r w:rsidRPr="00805D9F">
        <w:rPr>
          <w:rFonts w:eastAsia="Times New Roman"/>
          <w:sz w:val="20"/>
          <w:szCs w:val="20"/>
        </w:rPr>
        <w:t xml:space="preserve">— во всех вычислительных узлах в один момент времени данные не противоречат друг другу; </w:t>
      </w:r>
      <w:hyperlink r:id="rId6" w:tgtFrame="Доступность (информатика) (страница отсутствует)">
        <w:r w:rsidRPr="00805D9F">
          <w:rPr>
            <w:rFonts w:eastAsia="Times New Roman"/>
            <w:i/>
            <w:iCs/>
            <w:sz w:val="20"/>
            <w:szCs w:val="20"/>
          </w:rPr>
          <w:t>доступность</w:t>
        </w:r>
      </w:hyperlink>
      <w:r w:rsidRPr="00805D9F">
        <w:rPr>
          <w:rFonts w:eastAsia="Times New Roman"/>
          <w:i/>
          <w:iCs/>
          <w:sz w:val="20"/>
          <w:szCs w:val="20"/>
        </w:rPr>
        <w:t xml:space="preserve"> </w:t>
      </w:r>
      <w:r w:rsidRPr="00805D9F">
        <w:rPr>
          <w:rFonts w:eastAsia="Times New Roman"/>
          <w:sz w:val="20"/>
          <w:szCs w:val="20"/>
        </w:rPr>
        <w:t>(</w:t>
      </w:r>
      <w:hyperlink r:id="rId7" w:tgtFrame="Английский язык">
        <w:r w:rsidRPr="00805D9F">
          <w:rPr>
            <w:rFonts w:eastAsia="Times New Roman"/>
            <w:sz w:val="20"/>
            <w:szCs w:val="20"/>
          </w:rPr>
          <w:t>англ.</w:t>
        </w:r>
      </w:hyperlink>
      <w:r w:rsidRPr="00805D9F">
        <w:rPr>
          <w:rFonts w:eastAsia="Times New Roman"/>
          <w:sz w:val="20"/>
          <w:szCs w:val="20"/>
        </w:rPr>
        <w:t xml:space="preserve"> </w:t>
      </w:r>
      <w:r w:rsidRPr="00805D9F">
        <w:rPr>
          <w:rFonts w:eastAsia="Times New Roman"/>
          <w:i/>
          <w:iCs/>
          <w:sz w:val="20"/>
          <w:szCs w:val="20"/>
          <w:lang w:val="en-US"/>
        </w:rPr>
        <w:t>availability</w:t>
      </w:r>
      <w:r w:rsidRPr="00805D9F">
        <w:rPr>
          <w:rFonts w:eastAsia="Times New Roman"/>
          <w:sz w:val="20"/>
          <w:szCs w:val="20"/>
        </w:rPr>
        <w:t xml:space="preserve">) — любой запрос к распределённой системе завершается корректным откликом; </w:t>
      </w:r>
      <w:r w:rsidRPr="00805D9F">
        <w:rPr>
          <w:rFonts w:eastAsia="Times New Roman"/>
          <w:i/>
          <w:iCs/>
          <w:sz w:val="20"/>
          <w:szCs w:val="20"/>
        </w:rPr>
        <w:t xml:space="preserve">устойчивость к разделению </w:t>
      </w:r>
      <w:r w:rsidRPr="00805D9F">
        <w:rPr>
          <w:rFonts w:eastAsia="Times New Roman"/>
          <w:sz w:val="20"/>
          <w:szCs w:val="20"/>
        </w:rPr>
        <w:t>(</w:t>
      </w:r>
      <w:hyperlink r:id="rId8" w:tgtFrame="Английский язык">
        <w:r w:rsidRPr="00805D9F">
          <w:rPr>
            <w:rFonts w:eastAsia="Times New Roman"/>
            <w:sz w:val="20"/>
            <w:szCs w:val="20"/>
          </w:rPr>
          <w:t>англ.</w:t>
        </w:r>
      </w:hyperlink>
      <w:r w:rsidRPr="00805D9F">
        <w:rPr>
          <w:rFonts w:eastAsia="Times New Roman"/>
          <w:sz w:val="20"/>
          <w:szCs w:val="20"/>
        </w:rPr>
        <w:t xml:space="preserve"> </w:t>
      </w:r>
      <w:r w:rsidRPr="00805D9F">
        <w:rPr>
          <w:rFonts w:eastAsia="Times New Roman"/>
          <w:i/>
          <w:iCs/>
          <w:sz w:val="20"/>
          <w:szCs w:val="20"/>
          <w:lang w:val="en-US"/>
        </w:rPr>
        <w:t>partition</w:t>
      </w:r>
      <w:r w:rsidRPr="00805D9F">
        <w:rPr>
          <w:rFonts w:eastAsia="Times New Roman"/>
          <w:i/>
          <w:iCs/>
          <w:sz w:val="20"/>
          <w:szCs w:val="20"/>
        </w:rPr>
        <w:t xml:space="preserve"> </w:t>
      </w:r>
      <w:r w:rsidRPr="00805D9F">
        <w:rPr>
          <w:rFonts w:eastAsia="Times New Roman"/>
          <w:i/>
          <w:iCs/>
          <w:sz w:val="20"/>
          <w:szCs w:val="20"/>
          <w:lang w:val="en-US"/>
        </w:rPr>
        <w:t>tolerance</w:t>
      </w:r>
      <w:r w:rsidRPr="00805D9F">
        <w:rPr>
          <w:rFonts w:eastAsia="Times New Roman"/>
          <w:sz w:val="20"/>
          <w:szCs w:val="20"/>
        </w:rPr>
        <w:t>) — расщепление распределённой системы на несколько изолированных секций не приводит к некорректности отклика от каждой из секций.</w:t>
      </w:r>
    </w:p>
    <w:p w14:paraId="2B57F186" w14:textId="77777777" w:rsidR="0005235E" w:rsidRDefault="0005235E" w:rsidP="000E0FE8">
      <w:pPr>
        <w:pStyle w:val="ab"/>
        <w:rPr>
          <w:rFonts w:ascii="Times New Roman" w:hAnsi="Times New Roman"/>
        </w:rPr>
      </w:pPr>
    </w:p>
  </w:footnote>
  <w:footnote w:id="8">
    <w:p w14:paraId="67D97380" w14:textId="77777777" w:rsidR="0005235E" w:rsidRDefault="0005235E" w:rsidP="000E0FE8">
      <w:pPr>
        <w:pStyle w:val="ab"/>
        <w:jc w:val="both"/>
        <w:rPr>
          <w:rFonts w:ascii="Times New Roman" w:hAnsi="Times New Roman"/>
        </w:rPr>
      </w:pPr>
      <w:r>
        <w:rPr>
          <w:rStyle w:val="af9"/>
        </w:rPr>
        <w:footnoteRef/>
      </w:r>
      <w:r>
        <w:rPr>
          <w:rFonts w:ascii="Times New Roman" w:hAnsi="Times New Roman"/>
        </w:rPr>
        <w:t xml:space="preserve"> ХBRL (</w:t>
      </w:r>
      <w:hyperlink r:id="rId9" w:tgtFrame="Английский язык">
        <w:r>
          <w:rPr>
            <w:rFonts w:ascii="Times New Roman" w:hAnsi="Times New Roman"/>
          </w:rPr>
          <w:t>англ.</w:t>
        </w:r>
      </w:hyperlink>
      <w:r>
        <w:rPr>
          <w:rFonts w:ascii="Times New Roman" w:hAnsi="Times New Roman"/>
        </w:rPr>
        <w:t xml:space="preserve"> eXtensible Business Reporting Language — «расширяемый язык деловой отчётности») — широко используемый в мире </w:t>
      </w:r>
      <w:hyperlink r:id="rId10" w:tgtFrame="Открытый стандарт">
        <w:r>
          <w:rPr>
            <w:rFonts w:ascii="Times New Roman" w:hAnsi="Times New Roman"/>
          </w:rPr>
          <w:t>открытый стандарт</w:t>
        </w:r>
      </w:hyperlink>
      <w:r>
        <w:rPr>
          <w:rFonts w:ascii="Times New Roman" w:hAnsi="Times New Roman"/>
        </w:rPr>
        <w:t xml:space="preserve"> обмена деловой информацией. ХBRL позволяет выражать с помощью </w:t>
      </w:r>
      <w:hyperlink r:id="rId11" w:tgtFrame="Семантика (программирование)">
        <w:r>
          <w:rPr>
            <w:rFonts w:ascii="Times New Roman" w:hAnsi="Times New Roman"/>
          </w:rPr>
          <w:t>семантических средств</w:t>
        </w:r>
      </w:hyperlink>
      <w:r>
        <w:rPr>
          <w:rFonts w:ascii="Times New Roman" w:hAnsi="Times New Roman"/>
        </w:rPr>
        <w:t xml:space="preserve"> общие для участников рынка и регулирующих органов требования к представлению </w:t>
      </w:r>
      <w:hyperlink r:id="rId12" w:tgtFrame="en:Business reporting">
        <w:r>
          <w:rPr>
            <w:rFonts w:ascii="Times New Roman" w:hAnsi="Times New Roman"/>
          </w:rPr>
          <w:t>бизнес-отчётности</w:t>
        </w:r>
      </w:hyperlink>
      <w:r>
        <w:rPr>
          <w:rFonts w:ascii="Times New Roman" w:hAnsi="Times New Roman"/>
        </w:rPr>
        <w:t>.</w:t>
      </w:r>
    </w:p>
  </w:footnote>
  <w:footnote w:id="9">
    <w:p w14:paraId="1C30DCD4" w14:textId="77777777" w:rsidR="0005235E" w:rsidRDefault="0005235E" w:rsidP="00651284">
      <w:pPr>
        <w:pStyle w:val="ab"/>
        <w:jc w:val="both"/>
        <w:rPr>
          <w:rFonts w:ascii="Times" w:hAnsi="Times" w:cs="Times"/>
        </w:rPr>
      </w:pPr>
      <w:r>
        <w:rPr>
          <w:rStyle w:val="af9"/>
        </w:rPr>
        <w:footnoteRef/>
      </w:r>
      <w:r>
        <w:rPr>
          <w:rFonts w:ascii="Times" w:hAnsi="Times" w:cs="Times"/>
        </w:rPr>
        <w:t xml:space="preserve">*Центральные банки развитых стран мира предлагали повышенный уровень ликвидности в национальных банковских системах. </w:t>
      </w:r>
      <w:r>
        <w:rPr>
          <w:rFonts w:ascii="Times" w:hAnsi="Times" w:cs="Times"/>
          <w:color w:val="202122"/>
          <w:shd w:val="clear" w:color="auto" w:fill="FFFFFF"/>
        </w:rPr>
        <w:t>Если номинальная </w:t>
      </w:r>
      <w:hyperlink r:id="rId13" w:tgtFrame="Ставка процента">
        <w:r>
          <w:rPr>
            <w:rFonts w:ascii="Times" w:hAnsi="Times" w:cs="Times"/>
            <w:color w:val="202122"/>
            <w:shd w:val="clear" w:color="auto" w:fill="FFFFFF"/>
          </w:rPr>
          <w:t>ставка процента</w:t>
        </w:r>
      </w:hyperlink>
      <w:r>
        <w:rPr>
          <w:rFonts w:ascii="Times" w:hAnsi="Times" w:cs="Times"/>
          <w:color w:val="202122"/>
          <w:shd w:val="clear" w:color="auto" w:fill="FFFFFF"/>
        </w:rPr>
        <w:t> очень близка к нулю, центробанк не может понижать ее дальше. В этом случае центробанк может проводить количественное смягчение, покупая определенное количество облигаций или других активов у финансовых организаций без ссылки на ставку процента. Цель данной монетарной политики — увеличить денежное предложение, а не снизить ставку процента, которая не может быть снижена дальше. Эта политика часто рассматривается как «последний оплот» для стимулирования экономики [159, 160].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9DA70A" w14:textId="77777777" w:rsidR="0005235E" w:rsidRPr="00671B66" w:rsidRDefault="0005235E">
    <w:pPr>
      <w:pStyle w:val="a3"/>
      <w:jc w:val="center"/>
      <w:rPr>
        <w:rFonts w:ascii="Times New Roman" w:hAnsi="Times New Roman"/>
        <w:sz w:val="24"/>
        <w:szCs w:val="24"/>
      </w:rPr>
    </w:pPr>
    <w:r w:rsidRPr="00671B66">
      <w:rPr>
        <w:rFonts w:ascii="Times New Roman" w:hAnsi="Times New Roman"/>
        <w:sz w:val="24"/>
        <w:szCs w:val="24"/>
      </w:rPr>
      <w:fldChar w:fldCharType="begin"/>
    </w:r>
    <w:r w:rsidRPr="00671B66">
      <w:rPr>
        <w:rFonts w:ascii="Times New Roman" w:hAnsi="Times New Roman"/>
        <w:sz w:val="24"/>
        <w:szCs w:val="24"/>
      </w:rPr>
      <w:instrText>PAGE   \* MERGEFORMAT</w:instrText>
    </w:r>
    <w:r w:rsidRPr="00671B66">
      <w:rPr>
        <w:rFonts w:ascii="Times New Roman" w:hAnsi="Times New Roman"/>
        <w:sz w:val="24"/>
        <w:szCs w:val="24"/>
      </w:rPr>
      <w:fldChar w:fldCharType="separate"/>
    </w:r>
    <w:r>
      <w:rPr>
        <w:rFonts w:ascii="Times New Roman" w:hAnsi="Times New Roman"/>
        <w:noProof/>
        <w:sz w:val="24"/>
        <w:szCs w:val="24"/>
      </w:rPr>
      <w:t>283</w:t>
    </w:r>
    <w:r w:rsidRPr="00671B66">
      <w:rPr>
        <w:rFonts w:ascii="Times New Roman" w:hAnsi="Times New Roman"/>
        <w:sz w:val="24"/>
        <w:szCs w:val="24"/>
      </w:rPr>
      <w:fldChar w:fldCharType="end"/>
    </w:r>
  </w:p>
  <w:p w14:paraId="7F1DE73F" w14:textId="77777777" w:rsidR="0005235E" w:rsidRDefault="0005235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11D84"/>
    <w:multiLevelType w:val="hybridMultilevel"/>
    <w:tmpl w:val="1AA80E82"/>
    <w:lvl w:ilvl="0" w:tplc="FCB68AD0">
      <w:start w:val="1"/>
      <w:numFmt w:val="upperLetter"/>
      <w:lvlText w:val="%1"/>
      <w:lvlJc w:val="left"/>
      <w:pPr>
        <w:ind w:left="595"/>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AFB2F32E">
      <w:start w:val="1"/>
      <w:numFmt w:val="lowerLetter"/>
      <w:lvlText w:val="%2"/>
      <w:lvlJc w:val="left"/>
      <w:pPr>
        <w:ind w:left="1665"/>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C7FECDB4">
      <w:start w:val="1"/>
      <w:numFmt w:val="lowerRoman"/>
      <w:lvlText w:val="%3"/>
      <w:lvlJc w:val="left"/>
      <w:pPr>
        <w:ind w:left="2385"/>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tplc="F2623490">
      <w:start w:val="1"/>
      <w:numFmt w:val="decimal"/>
      <w:lvlText w:val="%4"/>
      <w:lvlJc w:val="left"/>
      <w:pPr>
        <w:ind w:left="3105"/>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tplc="FB86EF12">
      <w:start w:val="1"/>
      <w:numFmt w:val="lowerLetter"/>
      <w:lvlText w:val="%5"/>
      <w:lvlJc w:val="left"/>
      <w:pPr>
        <w:ind w:left="3825"/>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tplc="13E81210">
      <w:start w:val="1"/>
      <w:numFmt w:val="lowerRoman"/>
      <w:lvlText w:val="%6"/>
      <w:lvlJc w:val="left"/>
      <w:pPr>
        <w:ind w:left="4545"/>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tplc="5D6096C8">
      <w:start w:val="1"/>
      <w:numFmt w:val="decimal"/>
      <w:lvlText w:val="%7"/>
      <w:lvlJc w:val="left"/>
      <w:pPr>
        <w:ind w:left="5265"/>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tplc="0986A4C6">
      <w:start w:val="1"/>
      <w:numFmt w:val="lowerLetter"/>
      <w:lvlText w:val="%8"/>
      <w:lvlJc w:val="left"/>
      <w:pPr>
        <w:ind w:left="5985"/>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tplc="C65C64EA">
      <w:start w:val="1"/>
      <w:numFmt w:val="lowerRoman"/>
      <w:lvlText w:val="%9"/>
      <w:lvlJc w:val="left"/>
      <w:pPr>
        <w:ind w:left="6705"/>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094E96"/>
    <w:multiLevelType w:val="hybridMultilevel"/>
    <w:tmpl w:val="39FA9514"/>
    <w:lvl w:ilvl="0" w:tplc="CB9831F4">
      <w:start w:val="1"/>
      <w:numFmt w:val="decimal"/>
      <w:lvlText w:val="%1."/>
      <w:lvlJc w:val="left"/>
      <w:pPr>
        <w:ind w:left="58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D9504A3E">
      <w:start w:val="1"/>
      <w:numFmt w:val="lowerLetter"/>
      <w:lvlText w:val="%2"/>
      <w:lvlJc w:val="left"/>
      <w:pPr>
        <w:ind w:left="13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806419FC">
      <w:start w:val="1"/>
      <w:numFmt w:val="lowerRoman"/>
      <w:lvlText w:val="%3"/>
      <w:lvlJc w:val="left"/>
      <w:pPr>
        <w:ind w:left="20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21261EBA">
      <w:start w:val="1"/>
      <w:numFmt w:val="decimal"/>
      <w:lvlText w:val="%4"/>
      <w:lvlJc w:val="left"/>
      <w:pPr>
        <w:ind w:left="28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411E6BA4">
      <w:start w:val="1"/>
      <w:numFmt w:val="lowerLetter"/>
      <w:lvlText w:val="%5"/>
      <w:lvlJc w:val="left"/>
      <w:pPr>
        <w:ind w:left="35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01F424BC">
      <w:start w:val="1"/>
      <w:numFmt w:val="lowerRoman"/>
      <w:lvlText w:val="%6"/>
      <w:lvlJc w:val="left"/>
      <w:pPr>
        <w:ind w:left="42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BAD4C66C">
      <w:start w:val="1"/>
      <w:numFmt w:val="decimal"/>
      <w:lvlText w:val="%7"/>
      <w:lvlJc w:val="left"/>
      <w:pPr>
        <w:ind w:left="49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BCDE1382">
      <w:start w:val="1"/>
      <w:numFmt w:val="lowerLetter"/>
      <w:lvlText w:val="%8"/>
      <w:lvlJc w:val="left"/>
      <w:pPr>
        <w:ind w:left="56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BFF0F560">
      <w:start w:val="1"/>
      <w:numFmt w:val="lowerRoman"/>
      <w:lvlText w:val="%9"/>
      <w:lvlJc w:val="left"/>
      <w:pPr>
        <w:ind w:left="64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4717FFE"/>
    <w:multiLevelType w:val="hybridMultilevel"/>
    <w:tmpl w:val="F61C23C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15:restartNumberingAfterBreak="0">
    <w:nsid w:val="0C693C50"/>
    <w:multiLevelType w:val="hybridMultilevel"/>
    <w:tmpl w:val="2E584988"/>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4" w15:restartNumberingAfterBreak="0">
    <w:nsid w:val="0E9D54BA"/>
    <w:multiLevelType w:val="multilevel"/>
    <w:tmpl w:val="70A4B4B0"/>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3."/>
      <w:lvlJc w:val="right"/>
      <w:pPr>
        <w:tabs>
          <w:tab w:val="num" w:pos="0"/>
        </w:tabs>
        <w:ind w:left="2868" w:hanging="180"/>
      </w:p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5" w15:restartNumberingAfterBreak="0">
    <w:nsid w:val="10757FF5"/>
    <w:multiLevelType w:val="hybridMultilevel"/>
    <w:tmpl w:val="1D00CE12"/>
    <w:lvl w:ilvl="0" w:tplc="30E884AE">
      <w:start w:val="1"/>
      <w:numFmt w:val="decimal"/>
      <w:lvlText w:val="%1."/>
      <w:lvlJc w:val="left"/>
      <w:pPr>
        <w:ind w:left="36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5FD493C"/>
    <w:multiLevelType w:val="hybridMultilevel"/>
    <w:tmpl w:val="841475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2BF39C0"/>
    <w:multiLevelType w:val="multilevel"/>
    <w:tmpl w:val="96B8802A"/>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3."/>
      <w:lvlJc w:val="right"/>
      <w:pPr>
        <w:tabs>
          <w:tab w:val="num" w:pos="0"/>
        </w:tabs>
        <w:ind w:left="2868" w:hanging="180"/>
      </w:p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8" w15:restartNumberingAfterBreak="0">
    <w:nsid w:val="2A105864"/>
    <w:multiLevelType w:val="multilevel"/>
    <w:tmpl w:val="7138D174"/>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9" w15:restartNumberingAfterBreak="0">
    <w:nsid w:val="32B63BD3"/>
    <w:multiLevelType w:val="multilevel"/>
    <w:tmpl w:val="85626C16"/>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10" w15:restartNumberingAfterBreak="0">
    <w:nsid w:val="3CE304D4"/>
    <w:multiLevelType w:val="multilevel"/>
    <w:tmpl w:val="B3D0ADBC"/>
    <w:lvl w:ilvl="0">
      <w:start w:val="1"/>
      <w:numFmt w:val="decimal"/>
      <w:lvlText w:val="%1."/>
      <w:lvlJc w:val="left"/>
      <w:pPr>
        <w:tabs>
          <w:tab w:val="num" w:pos="0"/>
        </w:tabs>
        <w:ind w:left="1571" w:hanging="360"/>
      </w:pPr>
    </w:lvl>
    <w:lvl w:ilvl="1">
      <w:start w:val="1"/>
      <w:numFmt w:val="lowerLetter"/>
      <w:lvlText w:val="%2."/>
      <w:lvlJc w:val="left"/>
      <w:pPr>
        <w:tabs>
          <w:tab w:val="num" w:pos="0"/>
        </w:tabs>
        <w:ind w:left="2291" w:hanging="360"/>
      </w:pPr>
    </w:lvl>
    <w:lvl w:ilvl="2">
      <w:start w:val="1"/>
      <w:numFmt w:val="lowerRoman"/>
      <w:lvlText w:val="%3."/>
      <w:lvlJc w:val="right"/>
      <w:pPr>
        <w:tabs>
          <w:tab w:val="num" w:pos="0"/>
        </w:tabs>
        <w:ind w:left="3011" w:hanging="180"/>
      </w:pPr>
    </w:lvl>
    <w:lvl w:ilvl="3">
      <w:start w:val="1"/>
      <w:numFmt w:val="decimal"/>
      <w:lvlText w:val="%4."/>
      <w:lvlJc w:val="left"/>
      <w:pPr>
        <w:tabs>
          <w:tab w:val="num" w:pos="0"/>
        </w:tabs>
        <w:ind w:left="3731" w:hanging="360"/>
      </w:pPr>
    </w:lvl>
    <w:lvl w:ilvl="4">
      <w:start w:val="1"/>
      <w:numFmt w:val="lowerLetter"/>
      <w:lvlText w:val="%5."/>
      <w:lvlJc w:val="left"/>
      <w:pPr>
        <w:tabs>
          <w:tab w:val="num" w:pos="0"/>
        </w:tabs>
        <w:ind w:left="4451" w:hanging="360"/>
      </w:pPr>
    </w:lvl>
    <w:lvl w:ilvl="5">
      <w:start w:val="1"/>
      <w:numFmt w:val="lowerRoman"/>
      <w:lvlText w:val="%6."/>
      <w:lvlJc w:val="right"/>
      <w:pPr>
        <w:tabs>
          <w:tab w:val="num" w:pos="0"/>
        </w:tabs>
        <w:ind w:left="5171" w:hanging="180"/>
      </w:pPr>
    </w:lvl>
    <w:lvl w:ilvl="6">
      <w:start w:val="1"/>
      <w:numFmt w:val="decimal"/>
      <w:lvlText w:val="%7."/>
      <w:lvlJc w:val="left"/>
      <w:pPr>
        <w:tabs>
          <w:tab w:val="num" w:pos="0"/>
        </w:tabs>
        <w:ind w:left="5891" w:hanging="360"/>
      </w:pPr>
    </w:lvl>
    <w:lvl w:ilvl="7">
      <w:start w:val="1"/>
      <w:numFmt w:val="lowerLetter"/>
      <w:lvlText w:val="%8."/>
      <w:lvlJc w:val="left"/>
      <w:pPr>
        <w:tabs>
          <w:tab w:val="num" w:pos="0"/>
        </w:tabs>
        <w:ind w:left="6611" w:hanging="360"/>
      </w:pPr>
    </w:lvl>
    <w:lvl w:ilvl="8">
      <w:start w:val="1"/>
      <w:numFmt w:val="lowerRoman"/>
      <w:lvlText w:val="%9."/>
      <w:lvlJc w:val="right"/>
      <w:pPr>
        <w:tabs>
          <w:tab w:val="num" w:pos="0"/>
        </w:tabs>
        <w:ind w:left="7331" w:hanging="180"/>
      </w:pPr>
    </w:lvl>
  </w:abstractNum>
  <w:abstractNum w:abstractNumId="11" w15:restartNumberingAfterBreak="0">
    <w:nsid w:val="3DB05C83"/>
    <w:multiLevelType w:val="hybridMultilevel"/>
    <w:tmpl w:val="EFCAB980"/>
    <w:lvl w:ilvl="0" w:tplc="E0ACAF78">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DC151E7"/>
    <w:multiLevelType w:val="hybridMultilevel"/>
    <w:tmpl w:val="81F2C8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8A94C60"/>
    <w:multiLevelType w:val="multilevel"/>
    <w:tmpl w:val="7584BBFC"/>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3."/>
      <w:lvlJc w:val="right"/>
      <w:pPr>
        <w:tabs>
          <w:tab w:val="num" w:pos="0"/>
        </w:tabs>
        <w:ind w:left="2868" w:hanging="180"/>
      </w:p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14" w15:restartNumberingAfterBreak="0">
    <w:nsid w:val="505E7CFB"/>
    <w:multiLevelType w:val="multilevel"/>
    <w:tmpl w:val="F4DC21F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56722DF5"/>
    <w:multiLevelType w:val="hybridMultilevel"/>
    <w:tmpl w:val="844A7A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79358FC"/>
    <w:multiLevelType w:val="hybridMultilevel"/>
    <w:tmpl w:val="0E704D3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7" w15:restartNumberingAfterBreak="0">
    <w:nsid w:val="615D775E"/>
    <w:multiLevelType w:val="multilevel"/>
    <w:tmpl w:val="52A05B4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62DB3D60"/>
    <w:multiLevelType w:val="hybridMultilevel"/>
    <w:tmpl w:val="ABB0FB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76719CE"/>
    <w:multiLevelType w:val="multilevel"/>
    <w:tmpl w:val="6EA4F62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0" w15:restartNumberingAfterBreak="0">
    <w:nsid w:val="6F334971"/>
    <w:multiLevelType w:val="multilevel"/>
    <w:tmpl w:val="7B18D784"/>
    <w:lvl w:ilvl="0">
      <w:start w:val="1"/>
      <w:numFmt w:val="decimal"/>
      <w:lvlText w:val="%1."/>
      <w:lvlJc w:val="left"/>
      <w:pPr>
        <w:tabs>
          <w:tab w:val="num" w:pos="0"/>
        </w:tabs>
        <w:ind w:left="1068" w:hanging="360"/>
      </w:pPr>
    </w:lvl>
    <w:lvl w:ilvl="1">
      <w:start w:val="1"/>
      <w:numFmt w:val="decimal"/>
      <w:lvlText w:val="%1.%2."/>
      <w:lvlJc w:val="left"/>
      <w:pPr>
        <w:tabs>
          <w:tab w:val="num" w:pos="0"/>
        </w:tabs>
        <w:ind w:left="1428" w:hanging="720"/>
      </w:pPr>
    </w:lvl>
    <w:lvl w:ilvl="2">
      <w:start w:val="1"/>
      <w:numFmt w:val="decimal"/>
      <w:lvlText w:val="%1.%2.%3."/>
      <w:lvlJc w:val="left"/>
      <w:pPr>
        <w:tabs>
          <w:tab w:val="num" w:pos="0"/>
        </w:tabs>
        <w:ind w:left="1428" w:hanging="720"/>
      </w:pPr>
    </w:lvl>
    <w:lvl w:ilvl="3">
      <w:start w:val="1"/>
      <w:numFmt w:val="decimal"/>
      <w:lvlText w:val="%1.%2.%3.%4."/>
      <w:lvlJc w:val="left"/>
      <w:pPr>
        <w:tabs>
          <w:tab w:val="num" w:pos="0"/>
        </w:tabs>
        <w:ind w:left="1788" w:hanging="1080"/>
      </w:pPr>
    </w:lvl>
    <w:lvl w:ilvl="4">
      <w:start w:val="1"/>
      <w:numFmt w:val="decimal"/>
      <w:lvlText w:val="%1.%2.%3.%4.%5."/>
      <w:lvlJc w:val="left"/>
      <w:pPr>
        <w:tabs>
          <w:tab w:val="num" w:pos="0"/>
        </w:tabs>
        <w:ind w:left="1788" w:hanging="1080"/>
      </w:pPr>
    </w:lvl>
    <w:lvl w:ilvl="5">
      <w:start w:val="1"/>
      <w:numFmt w:val="decimal"/>
      <w:lvlText w:val="%1.%2.%3.%4.%5.%6."/>
      <w:lvlJc w:val="left"/>
      <w:pPr>
        <w:tabs>
          <w:tab w:val="num" w:pos="0"/>
        </w:tabs>
        <w:ind w:left="2148" w:hanging="1440"/>
      </w:pPr>
    </w:lvl>
    <w:lvl w:ilvl="6">
      <w:start w:val="1"/>
      <w:numFmt w:val="decimal"/>
      <w:lvlText w:val="%1.%2.%3.%4.%5.%6.%7."/>
      <w:lvlJc w:val="left"/>
      <w:pPr>
        <w:tabs>
          <w:tab w:val="num" w:pos="0"/>
        </w:tabs>
        <w:ind w:left="2508" w:hanging="1800"/>
      </w:pPr>
    </w:lvl>
    <w:lvl w:ilvl="7">
      <w:start w:val="1"/>
      <w:numFmt w:val="decimal"/>
      <w:lvlText w:val="%1.%2.%3.%4.%5.%6.%7.%8."/>
      <w:lvlJc w:val="left"/>
      <w:pPr>
        <w:tabs>
          <w:tab w:val="num" w:pos="0"/>
        </w:tabs>
        <w:ind w:left="2508" w:hanging="1800"/>
      </w:pPr>
    </w:lvl>
    <w:lvl w:ilvl="8">
      <w:start w:val="1"/>
      <w:numFmt w:val="decimal"/>
      <w:lvlText w:val="%1.%2.%3.%4.%5.%6.%7.%8.%9."/>
      <w:lvlJc w:val="left"/>
      <w:pPr>
        <w:tabs>
          <w:tab w:val="num" w:pos="0"/>
        </w:tabs>
        <w:ind w:left="2868" w:hanging="2160"/>
      </w:pPr>
    </w:lvl>
  </w:abstractNum>
  <w:abstractNum w:abstractNumId="21" w15:restartNumberingAfterBreak="0">
    <w:nsid w:val="779572E6"/>
    <w:multiLevelType w:val="multilevel"/>
    <w:tmpl w:val="D81EA2E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32475012">
    <w:abstractNumId w:val="17"/>
  </w:num>
  <w:num w:numId="2" w16cid:durableId="1107501438">
    <w:abstractNumId w:val="13"/>
  </w:num>
  <w:num w:numId="3" w16cid:durableId="987830317">
    <w:abstractNumId w:val="9"/>
  </w:num>
  <w:num w:numId="4" w16cid:durableId="1382897293">
    <w:abstractNumId w:val="4"/>
  </w:num>
  <w:num w:numId="5" w16cid:durableId="1703361238">
    <w:abstractNumId w:val="7"/>
  </w:num>
  <w:num w:numId="6" w16cid:durableId="987897143">
    <w:abstractNumId w:val="8"/>
  </w:num>
  <w:num w:numId="7" w16cid:durableId="1572891433">
    <w:abstractNumId w:val="20"/>
  </w:num>
  <w:num w:numId="8" w16cid:durableId="1021708811">
    <w:abstractNumId w:val="10"/>
  </w:num>
  <w:num w:numId="9" w16cid:durableId="1282298967">
    <w:abstractNumId w:val="14"/>
  </w:num>
  <w:num w:numId="10" w16cid:durableId="1097561483">
    <w:abstractNumId w:val="19"/>
  </w:num>
  <w:num w:numId="11" w16cid:durableId="1627810312">
    <w:abstractNumId w:val="21"/>
  </w:num>
  <w:num w:numId="12" w16cid:durableId="943004513">
    <w:abstractNumId w:val="12"/>
  </w:num>
  <w:num w:numId="13" w16cid:durableId="221911977">
    <w:abstractNumId w:val="6"/>
  </w:num>
  <w:num w:numId="14" w16cid:durableId="1954480470">
    <w:abstractNumId w:val="15"/>
  </w:num>
  <w:num w:numId="15" w16cid:durableId="1974359835">
    <w:abstractNumId w:val="11"/>
  </w:num>
  <w:num w:numId="16" w16cid:durableId="1419399122">
    <w:abstractNumId w:val="3"/>
  </w:num>
  <w:num w:numId="17" w16cid:durableId="565340715">
    <w:abstractNumId w:val="5"/>
  </w:num>
  <w:num w:numId="18" w16cid:durableId="1422289807">
    <w:abstractNumId w:val="18"/>
  </w:num>
  <w:num w:numId="19" w16cid:durableId="234819855">
    <w:abstractNumId w:val="0"/>
  </w:num>
  <w:num w:numId="20" w16cid:durableId="2027514449">
    <w:abstractNumId w:val="1"/>
  </w:num>
  <w:num w:numId="21" w16cid:durableId="1603296915">
    <w:abstractNumId w:val="16"/>
  </w:num>
  <w:num w:numId="22" w16cid:durableId="12008946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40"/>
  <w:hideSpellingErrors/>
  <w:revisionView w:inkAnnotations="0"/>
  <w:defaultTabStop w:val="708"/>
  <w:characterSpacingControl w:val="doNotCompres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B66"/>
    <w:rsid w:val="00005F68"/>
    <w:rsid w:val="00010E0E"/>
    <w:rsid w:val="00015E16"/>
    <w:rsid w:val="00016904"/>
    <w:rsid w:val="0002497B"/>
    <w:rsid w:val="00033A9D"/>
    <w:rsid w:val="00034948"/>
    <w:rsid w:val="00044FE8"/>
    <w:rsid w:val="000457AB"/>
    <w:rsid w:val="000457AD"/>
    <w:rsid w:val="000459D1"/>
    <w:rsid w:val="0005235E"/>
    <w:rsid w:val="0006367D"/>
    <w:rsid w:val="00066B58"/>
    <w:rsid w:val="00066C9D"/>
    <w:rsid w:val="0007473C"/>
    <w:rsid w:val="00076174"/>
    <w:rsid w:val="00086C62"/>
    <w:rsid w:val="0009290D"/>
    <w:rsid w:val="0009429D"/>
    <w:rsid w:val="000B3383"/>
    <w:rsid w:val="000B4A15"/>
    <w:rsid w:val="000B5BF9"/>
    <w:rsid w:val="000C1C2C"/>
    <w:rsid w:val="000C4C2B"/>
    <w:rsid w:val="000D222C"/>
    <w:rsid w:val="000D6DF4"/>
    <w:rsid w:val="000E0FE8"/>
    <w:rsid w:val="000E15C5"/>
    <w:rsid w:val="000E41A5"/>
    <w:rsid w:val="000F007C"/>
    <w:rsid w:val="000F46ED"/>
    <w:rsid w:val="000F54A0"/>
    <w:rsid w:val="00102540"/>
    <w:rsid w:val="001120CC"/>
    <w:rsid w:val="00117B62"/>
    <w:rsid w:val="001208B4"/>
    <w:rsid w:val="001237C8"/>
    <w:rsid w:val="001273BC"/>
    <w:rsid w:val="00130CBF"/>
    <w:rsid w:val="00142E20"/>
    <w:rsid w:val="00143780"/>
    <w:rsid w:val="0015772C"/>
    <w:rsid w:val="00164D7C"/>
    <w:rsid w:val="001651A3"/>
    <w:rsid w:val="00170553"/>
    <w:rsid w:val="00177D27"/>
    <w:rsid w:val="00181929"/>
    <w:rsid w:val="00185924"/>
    <w:rsid w:val="00193CD4"/>
    <w:rsid w:val="001A0EE3"/>
    <w:rsid w:val="001A4562"/>
    <w:rsid w:val="001A4D34"/>
    <w:rsid w:val="001A737E"/>
    <w:rsid w:val="001B6E0F"/>
    <w:rsid w:val="001D1D36"/>
    <w:rsid w:val="001D3872"/>
    <w:rsid w:val="001E2094"/>
    <w:rsid w:val="001E22C2"/>
    <w:rsid w:val="001F38A6"/>
    <w:rsid w:val="001F3E90"/>
    <w:rsid w:val="001F4F2E"/>
    <w:rsid w:val="00206E15"/>
    <w:rsid w:val="00207D89"/>
    <w:rsid w:val="002140B5"/>
    <w:rsid w:val="0021499F"/>
    <w:rsid w:val="00217820"/>
    <w:rsid w:val="00230B94"/>
    <w:rsid w:val="00234E14"/>
    <w:rsid w:val="00243FAC"/>
    <w:rsid w:val="0026348C"/>
    <w:rsid w:val="002773F5"/>
    <w:rsid w:val="00283A9C"/>
    <w:rsid w:val="002877CD"/>
    <w:rsid w:val="00294A94"/>
    <w:rsid w:val="002A2D89"/>
    <w:rsid w:val="002A6782"/>
    <w:rsid w:val="002B4572"/>
    <w:rsid w:val="002B749F"/>
    <w:rsid w:val="002C3309"/>
    <w:rsid w:val="002C3A2F"/>
    <w:rsid w:val="002D341E"/>
    <w:rsid w:val="002D5748"/>
    <w:rsid w:val="002E7179"/>
    <w:rsid w:val="002F117F"/>
    <w:rsid w:val="002F2BBA"/>
    <w:rsid w:val="002F3F83"/>
    <w:rsid w:val="00300496"/>
    <w:rsid w:val="00302C2E"/>
    <w:rsid w:val="00311233"/>
    <w:rsid w:val="00312337"/>
    <w:rsid w:val="003225B4"/>
    <w:rsid w:val="003247CC"/>
    <w:rsid w:val="003311FD"/>
    <w:rsid w:val="00332049"/>
    <w:rsid w:val="0033384B"/>
    <w:rsid w:val="0033439F"/>
    <w:rsid w:val="00352434"/>
    <w:rsid w:val="00352CCF"/>
    <w:rsid w:val="00356F59"/>
    <w:rsid w:val="003577F4"/>
    <w:rsid w:val="00373C86"/>
    <w:rsid w:val="0037487E"/>
    <w:rsid w:val="00374CC8"/>
    <w:rsid w:val="003A0BD7"/>
    <w:rsid w:val="003A2BEA"/>
    <w:rsid w:val="003A5548"/>
    <w:rsid w:val="003A742F"/>
    <w:rsid w:val="003B0769"/>
    <w:rsid w:val="003B10E2"/>
    <w:rsid w:val="003C09E8"/>
    <w:rsid w:val="003D08A2"/>
    <w:rsid w:val="003D29CF"/>
    <w:rsid w:val="003D6795"/>
    <w:rsid w:val="003E48C5"/>
    <w:rsid w:val="003F0BB9"/>
    <w:rsid w:val="003F1ECF"/>
    <w:rsid w:val="003F231C"/>
    <w:rsid w:val="003F4DA2"/>
    <w:rsid w:val="003F4E80"/>
    <w:rsid w:val="003F5348"/>
    <w:rsid w:val="003F5A50"/>
    <w:rsid w:val="003F5FC5"/>
    <w:rsid w:val="0040151F"/>
    <w:rsid w:val="00402449"/>
    <w:rsid w:val="00416142"/>
    <w:rsid w:val="00426B81"/>
    <w:rsid w:val="00442C9C"/>
    <w:rsid w:val="00443B80"/>
    <w:rsid w:val="00455549"/>
    <w:rsid w:val="00462AAB"/>
    <w:rsid w:val="00465DE4"/>
    <w:rsid w:val="00465E2F"/>
    <w:rsid w:val="00467D23"/>
    <w:rsid w:val="00470CA4"/>
    <w:rsid w:val="0047505D"/>
    <w:rsid w:val="00481532"/>
    <w:rsid w:val="00484557"/>
    <w:rsid w:val="00490753"/>
    <w:rsid w:val="00493D61"/>
    <w:rsid w:val="004962D4"/>
    <w:rsid w:val="004A2074"/>
    <w:rsid w:val="004D2444"/>
    <w:rsid w:val="004D2D0A"/>
    <w:rsid w:val="004E1575"/>
    <w:rsid w:val="004F7E11"/>
    <w:rsid w:val="00517B17"/>
    <w:rsid w:val="00523AFD"/>
    <w:rsid w:val="00552820"/>
    <w:rsid w:val="00552836"/>
    <w:rsid w:val="0055577D"/>
    <w:rsid w:val="0055748D"/>
    <w:rsid w:val="00557997"/>
    <w:rsid w:val="00560D69"/>
    <w:rsid w:val="005654EE"/>
    <w:rsid w:val="00567A63"/>
    <w:rsid w:val="0057285F"/>
    <w:rsid w:val="00576DCD"/>
    <w:rsid w:val="00577618"/>
    <w:rsid w:val="00577F7E"/>
    <w:rsid w:val="00580F5C"/>
    <w:rsid w:val="005840BB"/>
    <w:rsid w:val="00584C53"/>
    <w:rsid w:val="00593B90"/>
    <w:rsid w:val="005A4F7F"/>
    <w:rsid w:val="005B09AA"/>
    <w:rsid w:val="005B14D4"/>
    <w:rsid w:val="005B3E8B"/>
    <w:rsid w:val="005B433D"/>
    <w:rsid w:val="005B66CE"/>
    <w:rsid w:val="005C0795"/>
    <w:rsid w:val="005C56F0"/>
    <w:rsid w:val="005C6FD6"/>
    <w:rsid w:val="005C7C17"/>
    <w:rsid w:val="005D28E0"/>
    <w:rsid w:val="005D427A"/>
    <w:rsid w:val="005D496C"/>
    <w:rsid w:val="005E4AF4"/>
    <w:rsid w:val="006035CA"/>
    <w:rsid w:val="00605AAD"/>
    <w:rsid w:val="006248AA"/>
    <w:rsid w:val="006278CD"/>
    <w:rsid w:val="00631BFA"/>
    <w:rsid w:val="00637762"/>
    <w:rsid w:val="00640E12"/>
    <w:rsid w:val="00641736"/>
    <w:rsid w:val="00645E91"/>
    <w:rsid w:val="00651284"/>
    <w:rsid w:val="00661B7A"/>
    <w:rsid w:val="0066380D"/>
    <w:rsid w:val="00665302"/>
    <w:rsid w:val="00671B66"/>
    <w:rsid w:val="00680B7E"/>
    <w:rsid w:val="00683F14"/>
    <w:rsid w:val="00690BF6"/>
    <w:rsid w:val="0069135D"/>
    <w:rsid w:val="006A0B42"/>
    <w:rsid w:val="006A215F"/>
    <w:rsid w:val="006B72C2"/>
    <w:rsid w:val="006C58A1"/>
    <w:rsid w:val="006D3906"/>
    <w:rsid w:val="006D4804"/>
    <w:rsid w:val="006E3123"/>
    <w:rsid w:val="006F09B4"/>
    <w:rsid w:val="006F5EFF"/>
    <w:rsid w:val="007065D2"/>
    <w:rsid w:val="0071020B"/>
    <w:rsid w:val="00723E9F"/>
    <w:rsid w:val="00745DC9"/>
    <w:rsid w:val="0074769C"/>
    <w:rsid w:val="007521E9"/>
    <w:rsid w:val="007531B7"/>
    <w:rsid w:val="00753EE6"/>
    <w:rsid w:val="00755FF9"/>
    <w:rsid w:val="00756A30"/>
    <w:rsid w:val="00761C4D"/>
    <w:rsid w:val="00784C08"/>
    <w:rsid w:val="00792071"/>
    <w:rsid w:val="00794AC5"/>
    <w:rsid w:val="00794B1A"/>
    <w:rsid w:val="007967A0"/>
    <w:rsid w:val="007B24F8"/>
    <w:rsid w:val="007B2AC8"/>
    <w:rsid w:val="007C35A6"/>
    <w:rsid w:val="007C437C"/>
    <w:rsid w:val="007D2DC3"/>
    <w:rsid w:val="007D3679"/>
    <w:rsid w:val="007D6D04"/>
    <w:rsid w:val="007D7536"/>
    <w:rsid w:val="007E121A"/>
    <w:rsid w:val="007E470A"/>
    <w:rsid w:val="007F0858"/>
    <w:rsid w:val="007F2781"/>
    <w:rsid w:val="007F62F2"/>
    <w:rsid w:val="00804CC5"/>
    <w:rsid w:val="00804ED6"/>
    <w:rsid w:val="00805D9F"/>
    <w:rsid w:val="00811FE7"/>
    <w:rsid w:val="00820407"/>
    <w:rsid w:val="0082133C"/>
    <w:rsid w:val="00823793"/>
    <w:rsid w:val="008334DC"/>
    <w:rsid w:val="00842183"/>
    <w:rsid w:val="00854C67"/>
    <w:rsid w:val="0085784C"/>
    <w:rsid w:val="008671C0"/>
    <w:rsid w:val="00871F7E"/>
    <w:rsid w:val="00872037"/>
    <w:rsid w:val="0088161E"/>
    <w:rsid w:val="00885330"/>
    <w:rsid w:val="00892364"/>
    <w:rsid w:val="008A3C6A"/>
    <w:rsid w:val="008A61B7"/>
    <w:rsid w:val="008A6DD3"/>
    <w:rsid w:val="008B0810"/>
    <w:rsid w:val="008B4C36"/>
    <w:rsid w:val="008B6285"/>
    <w:rsid w:val="008C0838"/>
    <w:rsid w:val="008D6817"/>
    <w:rsid w:val="008E453A"/>
    <w:rsid w:val="008F7122"/>
    <w:rsid w:val="009240D2"/>
    <w:rsid w:val="00930DE8"/>
    <w:rsid w:val="009409F4"/>
    <w:rsid w:val="00956F97"/>
    <w:rsid w:val="00964920"/>
    <w:rsid w:val="009671D0"/>
    <w:rsid w:val="009718FB"/>
    <w:rsid w:val="00974121"/>
    <w:rsid w:val="0097610E"/>
    <w:rsid w:val="00986881"/>
    <w:rsid w:val="00994798"/>
    <w:rsid w:val="009A162B"/>
    <w:rsid w:val="009A565E"/>
    <w:rsid w:val="009A7448"/>
    <w:rsid w:val="009A7A6A"/>
    <w:rsid w:val="009C0C09"/>
    <w:rsid w:val="009C0C92"/>
    <w:rsid w:val="009C5E46"/>
    <w:rsid w:val="009D1AE8"/>
    <w:rsid w:val="009D6E3C"/>
    <w:rsid w:val="009D70FB"/>
    <w:rsid w:val="009D7B82"/>
    <w:rsid w:val="009E6153"/>
    <w:rsid w:val="009F1A55"/>
    <w:rsid w:val="00A0105D"/>
    <w:rsid w:val="00A02EA2"/>
    <w:rsid w:val="00A0308E"/>
    <w:rsid w:val="00A17A58"/>
    <w:rsid w:val="00A22C51"/>
    <w:rsid w:val="00A22EAB"/>
    <w:rsid w:val="00A277B3"/>
    <w:rsid w:val="00A35F4A"/>
    <w:rsid w:val="00A4250A"/>
    <w:rsid w:val="00A43E29"/>
    <w:rsid w:val="00A727E2"/>
    <w:rsid w:val="00A8183E"/>
    <w:rsid w:val="00A903B6"/>
    <w:rsid w:val="00AA0F1C"/>
    <w:rsid w:val="00AA5F29"/>
    <w:rsid w:val="00AB167E"/>
    <w:rsid w:val="00AC1773"/>
    <w:rsid w:val="00AC6C3B"/>
    <w:rsid w:val="00AD26CF"/>
    <w:rsid w:val="00AF14E8"/>
    <w:rsid w:val="00AF51D8"/>
    <w:rsid w:val="00AF6675"/>
    <w:rsid w:val="00AF7C92"/>
    <w:rsid w:val="00B05051"/>
    <w:rsid w:val="00B06998"/>
    <w:rsid w:val="00B13217"/>
    <w:rsid w:val="00B13660"/>
    <w:rsid w:val="00B30C22"/>
    <w:rsid w:val="00B51A53"/>
    <w:rsid w:val="00B5228C"/>
    <w:rsid w:val="00B55A80"/>
    <w:rsid w:val="00B56C17"/>
    <w:rsid w:val="00B63385"/>
    <w:rsid w:val="00B72B40"/>
    <w:rsid w:val="00B751E4"/>
    <w:rsid w:val="00B81DAB"/>
    <w:rsid w:val="00B91E5C"/>
    <w:rsid w:val="00BA1F47"/>
    <w:rsid w:val="00BA3BCF"/>
    <w:rsid w:val="00BA6B54"/>
    <w:rsid w:val="00BB401C"/>
    <w:rsid w:val="00BB4738"/>
    <w:rsid w:val="00BC1DEC"/>
    <w:rsid w:val="00BC7EED"/>
    <w:rsid w:val="00BD068B"/>
    <w:rsid w:val="00BD245A"/>
    <w:rsid w:val="00BD4CB0"/>
    <w:rsid w:val="00BE5DB0"/>
    <w:rsid w:val="00BF366E"/>
    <w:rsid w:val="00C10F8D"/>
    <w:rsid w:val="00C11471"/>
    <w:rsid w:val="00C24A0E"/>
    <w:rsid w:val="00C3003C"/>
    <w:rsid w:val="00C3193F"/>
    <w:rsid w:val="00C60BA7"/>
    <w:rsid w:val="00C627F4"/>
    <w:rsid w:val="00C72198"/>
    <w:rsid w:val="00C767F8"/>
    <w:rsid w:val="00C77844"/>
    <w:rsid w:val="00C8369A"/>
    <w:rsid w:val="00C83D6A"/>
    <w:rsid w:val="00CA0710"/>
    <w:rsid w:val="00CA1706"/>
    <w:rsid w:val="00CC584F"/>
    <w:rsid w:val="00CE6182"/>
    <w:rsid w:val="00D003BD"/>
    <w:rsid w:val="00D04E8C"/>
    <w:rsid w:val="00D15D2E"/>
    <w:rsid w:val="00D1604E"/>
    <w:rsid w:val="00D17604"/>
    <w:rsid w:val="00D32EE3"/>
    <w:rsid w:val="00D34BBB"/>
    <w:rsid w:val="00D43D86"/>
    <w:rsid w:val="00D544C1"/>
    <w:rsid w:val="00D64A72"/>
    <w:rsid w:val="00D727AE"/>
    <w:rsid w:val="00D82238"/>
    <w:rsid w:val="00D937FD"/>
    <w:rsid w:val="00D96565"/>
    <w:rsid w:val="00DA711D"/>
    <w:rsid w:val="00DB1CBF"/>
    <w:rsid w:val="00DB2AD7"/>
    <w:rsid w:val="00DD170E"/>
    <w:rsid w:val="00DE402F"/>
    <w:rsid w:val="00DE6D37"/>
    <w:rsid w:val="00DF1FD4"/>
    <w:rsid w:val="00DF25DE"/>
    <w:rsid w:val="00E07EA1"/>
    <w:rsid w:val="00E1142C"/>
    <w:rsid w:val="00E23830"/>
    <w:rsid w:val="00E27AD2"/>
    <w:rsid w:val="00E40AC0"/>
    <w:rsid w:val="00E45A82"/>
    <w:rsid w:val="00E53899"/>
    <w:rsid w:val="00E55C52"/>
    <w:rsid w:val="00E83BB8"/>
    <w:rsid w:val="00E947C9"/>
    <w:rsid w:val="00E95F17"/>
    <w:rsid w:val="00E9749B"/>
    <w:rsid w:val="00EA41E0"/>
    <w:rsid w:val="00EA6951"/>
    <w:rsid w:val="00EB3292"/>
    <w:rsid w:val="00EC0D07"/>
    <w:rsid w:val="00EC65A3"/>
    <w:rsid w:val="00EC74C6"/>
    <w:rsid w:val="00ED3CC5"/>
    <w:rsid w:val="00ED41A9"/>
    <w:rsid w:val="00EF172B"/>
    <w:rsid w:val="00F00E72"/>
    <w:rsid w:val="00F1211E"/>
    <w:rsid w:val="00F16E04"/>
    <w:rsid w:val="00F21351"/>
    <w:rsid w:val="00F25DF5"/>
    <w:rsid w:val="00F276E9"/>
    <w:rsid w:val="00F34508"/>
    <w:rsid w:val="00F41473"/>
    <w:rsid w:val="00F51866"/>
    <w:rsid w:val="00F55523"/>
    <w:rsid w:val="00F60B17"/>
    <w:rsid w:val="00F65B72"/>
    <w:rsid w:val="00F769DA"/>
    <w:rsid w:val="00F77F9F"/>
    <w:rsid w:val="00F842B5"/>
    <w:rsid w:val="00F863CC"/>
    <w:rsid w:val="00FB33D3"/>
    <w:rsid w:val="00FB4094"/>
    <w:rsid w:val="00FB7B7B"/>
    <w:rsid w:val="00FC4DCE"/>
    <w:rsid w:val="00FC5FA5"/>
    <w:rsid w:val="00FD31EB"/>
    <w:rsid w:val="00FE25A5"/>
    <w:rsid w:val="00FE4110"/>
    <w:rsid w:val="00FF13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07"/>
    <o:shapelayout v:ext="edit">
      <o:idmap v:ext="edit" data="1"/>
    </o:shapelayout>
  </w:shapeDefaults>
  <w:decimalSymbol w:val=","/>
  <w:listSeparator w:val=";"/>
  <w14:docId w14:val="4F7AA4CC"/>
  <w15:docId w15:val="{734D7223-D2A6-1A45-8B9E-4619024C2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iPriority="0" w:unhideWhenUsed="1"/>
    <w:lsdException w:name="page number" w:semiHidden="1" w:unhideWhenUsed="1" w:qFormat="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40E12"/>
    <w:pPr>
      <w:suppressAutoHyphens/>
      <w:spacing w:after="160" w:line="259" w:lineRule="auto"/>
    </w:pPr>
    <w:rPr>
      <w:sz w:val="22"/>
      <w:szCs w:val="22"/>
    </w:rPr>
  </w:style>
  <w:style w:type="paragraph" w:styleId="1">
    <w:name w:val="heading 1"/>
    <w:basedOn w:val="a"/>
    <w:next w:val="a"/>
    <w:link w:val="10"/>
    <w:uiPriority w:val="9"/>
    <w:qFormat/>
    <w:rsid w:val="00671B66"/>
    <w:pPr>
      <w:keepNext/>
      <w:keepLines/>
      <w:spacing w:before="240" w:after="0"/>
      <w:outlineLvl w:val="0"/>
    </w:pPr>
    <w:rPr>
      <w:rFonts w:ascii="Calibri Light" w:eastAsia="Times New Roman" w:hAnsi="Calibri Light"/>
      <w:color w:val="2E74B5"/>
      <w:sz w:val="32"/>
      <w:szCs w:val="32"/>
    </w:rPr>
  </w:style>
  <w:style w:type="paragraph" w:styleId="2">
    <w:name w:val="heading 2"/>
    <w:basedOn w:val="a"/>
    <w:next w:val="a"/>
    <w:link w:val="20"/>
    <w:uiPriority w:val="9"/>
    <w:unhideWhenUsed/>
    <w:qFormat/>
    <w:rsid w:val="00BD245A"/>
    <w:pPr>
      <w:keepNext/>
      <w:keepLines/>
      <w:spacing w:before="40" w:after="0"/>
      <w:outlineLvl w:val="1"/>
    </w:pPr>
    <w:rPr>
      <w:rFonts w:ascii="Calibri Light" w:eastAsia="Times New Roman" w:hAnsi="Calibri Light"/>
      <w:color w:val="2E74B5"/>
      <w:sz w:val="26"/>
      <w:szCs w:val="26"/>
    </w:rPr>
  </w:style>
  <w:style w:type="paragraph" w:styleId="3">
    <w:name w:val="heading 3"/>
    <w:basedOn w:val="a"/>
    <w:next w:val="a"/>
    <w:link w:val="30"/>
    <w:uiPriority w:val="9"/>
    <w:unhideWhenUsed/>
    <w:qFormat/>
    <w:rsid w:val="00BD245A"/>
    <w:pPr>
      <w:keepNext/>
      <w:keepLines/>
      <w:spacing w:before="40" w:after="0"/>
      <w:outlineLvl w:val="2"/>
    </w:pPr>
    <w:rPr>
      <w:rFonts w:ascii="Calibri Light" w:eastAsia="Times New Roman" w:hAnsi="Calibri Light"/>
      <w:color w:val="1F4D78"/>
      <w:sz w:val="24"/>
      <w:szCs w:val="24"/>
    </w:rPr>
  </w:style>
  <w:style w:type="paragraph" w:styleId="4">
    <w:name w:val="heading 4"/>
    <w:basedOn w:val="a"/>
    <w:next w:val="a"/>
    <w:link w:val="40"/>
    <w:uiPriority w:val="9"/>
    <w:semiHidden/>
    <w:unhideWhenUsed/>
    <w:qFormat/>
    <w:rsid w:val="00BD245A"/>
    <w:pPr>
      <w:keepNext/>
      <w:keepLines/>
      <w:spacing w:before="40" w:after="0"/>
      <w:outlineLvl w:val="3"/>
    </w:pPr>
    <w:rPr>
      <w:rFonts w:ascii="Calibri Light" w:eastAsia="Times New Roman" w:hAnsi="Calibri Light"/>
      <w:i/>
      <w:iCs/>
      <w:color w:val="2E74B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71B66"/>
    <w:pPr>
      <w:tabs>
        <w:tab w:val="center" w:pos="4677"/>
        <w:tab w:val="right" w:pos="9355"/>
      </w:tabs>
      <w:spacing w:after="0" w:line="240" w:lineRule="auto"/>
    </w:pPr>
  </w:style>
  <w:style w:type="character" w:customStyle="1" w:styleId="a4">
    <w:name w:val="Верхний колонтитул Знак"/>
    <w:basedOn w:val="a0"/>
    <w:link w:val="a3"/>
    <w:uiPriority w:val="99"/>
    <w:qFormat/>
    <w:rsid w:val="00671B66"/>
  </w:style>
  <w:style w:type="paragraph" w:styleId="a5">
    <w:name w:val="footer"/>
    <w:basedOn w:val="a"/>
    <w:link w:val="a6"/>
    <w:uiPriority w:val="99"/>
    <w:unhideWhenUsed/>
    <w:rsid w:val="00671B66"/>
    <w:pPr>
      <w:tabs>
        <w:tab w:val="center" w:pos="4677"/>
        <w:tab w:val="right" w:pos="9355"/>
      </w:tabs>
      <w:spacing w:after="0" w:line="240" w:lineRule="auto"/>
    </w:pPr>
  </w:style>
  <w:style w:type="character" w:customStyle="1" w:styleId="a6">
    <w:name w:val="Нижний колонтитул Знак"/>
    <w:basedOn w:val="a0"/>
    <w:link w:val="a5"/>
    <w:uiPriority w:val="99"/>
    <w:qFormat/>
    <w:rsid w:val="00671B66"/>
  </w:style>
  <w:style w:type="character" w:customStyle="1" w:styleId="10">
    <w:name w:val="Заголовок 1 Знак"/>
    <w:link w:val="1"/>
    <w:uiPriority w:val="9"/>
    <w:qFormat/>
    <w:rsid w:val="00671B66"/>
    <w:rPr>
      <w:rFonts w:ascii="Calibri Light" w:eastAsia="Times New Roman" w:hAnsi="Calibri Light" w:cs="Times New Roman"/>
      <w:color w:val="2E74B5"/>
      <w:sz w:val="32"/>
      <w:szCs w:val="32"/>
      <w:lang w:eastAsia="ru-RU"/>
    </w:rPr>
  </w:style>
  <w:style w:type="paragraph" w:styleId="a7">
    <w:name w:val="TOC Heading"/>
    <w:basedOn w:val="1"/>
    <w:next w:val="a"/>
    <w:uiPriority w:val="39"/>
    <w:semiHidden/>
    <w:unhideWhenUsed/>
    <w:qFormat/>
    <w:rsid w:val="00671B66"/>
    <w:pPr>
      <w:outlineLvl w:val="9"/>
    </w:pPr>
    <w:rPr>
      <w:rFonts w:ascii="Times New Roman" w:hAnsi="Times New Roman"/>
      <w:b/>
      <w:color w:val="auto"/>
    </w:rPr>
  </w:style>
  <w:style w:type="character" w:customStyle="1" w:styleId="20">
    <w:name w:val="Заголовок 2 Знак"/>
    <w:link w:val="2"/>
    <w:uiPriority w:val="9"/>
    <w:qFormat/>
    <w:rsid w:val="00BD245A"/>
    <w:rPr>
      <w:rFonts w:ascii="Calibri Light" w:eastAsia="Times New Roman" w:hAnsi="Calibri Light" w:cs="Times New Roman"/>
      <w:color w:val="2E74B5"/>
      <w:sz w:val="26"/>
      <w:szCs w:val="26"/>
      <w:lang w:eastAsia="ru-RU"/>
    </w:rPr>
  </w:style>
  <w:style w:type="character" w:customStyle="1" w:styleId="30">
    <w:name w:val="Заголовок 3 Знак"/>
    <w:link w:val="3"/>
    <w:uiPriority w:val="9"/>
    <w:qFormat/>
    <w:rsid w:val="00BD245A"/>
    <w:rPr>
      <w:rFonts w:ascii="Calibri Light" w:eastAsia="Times New Roman" w:hAnsi="Calibri Light" w:cs="Times New Roman"/>
      <w:color w:val="1F4D78"/>
      <w:sz w:val="24"/>
      <w:szCs w:val="24"/>
      <w:lang w:eastAsia="ru-RU"/>
    </w:rPr>
  </w:style>
  <w:style w:type="character" w:customStyle="1" w:styleId="40">
    <w:name w:val="Заголовок 4 Знак"/>
    <w:link w:val="4"/>
    <w:uiPriority w:val="9"/>
    <w:semiHidden/>
    <w:qFormat/>
    <w:rsid w:val="00BD245A"/>
    <w:rPr>
      <w:rFonts w:ascii="Calibri Light" w:eastAsia="Times New Roman" w:hAnsi="Calibri Light" w:cs="Times New Roman"/>
      <w:i/>
      <w:iCs/>
      <w:color w:val="2E74B5"/>
      <w:lang w:eastAsia="ru-RU"/>
    </w:rPr>
  </w:style>
  <w:style w:type="character" w:customStyle="1" w:styleId="a8">
    <w:name w:val="Текст Знак"/>
    <w:link w:val="a9"/>
    <w:uiPriority w:val="99"/>
    <w:qFormat/>
    <w:rsid w:val="00BD245A"/>
    <w:rPr>
      <w:rFonts w:ascii="Consolas" w:hAnsi="Consolas"/>
      <w:sz w:val="21"/>
      <w:szCs w:val="21"/>
    </w:rPr>
  </w:style>
  <w:style w:type="character" w:customStyle="1" w:styleId="aa">
    <w:name w:val="Текст сноски Знак"/>
    <w:link w:val="ab"/>
    <w:uiPriority w:val="99"/>
    <w:semiHidden/>
    <w:qFormat/>
    <w:rsid w:val="00BD245A"/>
    <w:rPr>
      <w:sz w:val="20"/>
      <w:szCs w:val="20"/>
    </w:rPr>
  </w:style>
  <w:style w:type="character" w:styleId="ac">
    <w:name w:val="footnote reference"/>
    <w:rsid w:val="00BD245A"/>
    <w:rPr>
      <w:vertAlign w:val="superscript"/>
    </w:rPr>
  </w:style>
  <w:style w:type="character" w:customStyle="1" w:styleId="FootnoteCharacters">
    <w:name w:val="Footnote Characters"/>
    <w:uiPriority w:val="99"/>
    <w:semiHidden/>
    <w:unhideWhenUsed/>
    <w:qFormat/>
    <w:rsid w:val="00BD245A"/>
    <w:rPr>
      <w:vertAlign w:val="superscript"/>
    </w:rPr>
  </w:style>
  <w:style w:type="character" w:customStyle="1" w:styleId="translation-chunk">
    <w:name w:val="translation-chunk"/>
    <w:basedOn w:val="a0"/>
    <w:qFormat/>
    <w:rsid w:val="00BD245A"/>
  </w:style>
  <w:style w:type="character" w:customStyle="1" w:styleId="ad">
    <w:name w:val="Текст выноски Знак"/>
    <w:link w:val="ae"/>
    <w:uiPriority w:val="99"/>
    <w:semiHidden/>
    <w:qFormat/>
    <w:rsid w:val="00BD245A"/>
    <w:rPr>
      <w:rFonts w:ascii="Tahoma" w:hAnsi="Tahoma" w:cs="Tahoma"/>
      <w:sz w:val="16"/>
      <w:szCs w:val="16"/>
    </w:rPr>
  </w:style>
  <w:style w:type="character" w:styleId="af">
    <w:name w:val="Hyperlink"/>
    <w:uiPriority w:val="99"/>
    <w:unhideWhenUsed/>
    <w:rsid w:val="00BD245A"/>
    <w:rPr>
      <w:color w:val="0000FF"/>
      <w:u w:val="single"/>
    </w:rPr>
  </w:style>
  <w:style w:type="character" w:styleId="af0">
    <w:name w:val="Placeholder Text"/>
    <w:uiPriority w:val="99"/>
    <w:semiHidden/>
    <w:qFormat/>
    <w:rsid w:val="00BD245A"/>
    <w:rPr>
      <w:color w:val="808080"/>
    </w:rPr>
  </w:style>
  <w:style w:type="character" w:customStyle="1" w:styleId="af1">
    <w:name w:val="Текст примечания Знак"/>
    <w:link w:val="af2"/>
    <w:uiPriority w:val="99"/>
    <w:semiHidden/>
    <w:qFormat/>
    <w:rsid w:val="00BD245A"/>
    <w:rPr>
      <w:sz w:val="20"/>
      <w:szCs w:val="20"/>
    </w:rPr>
  </w:style>
  <w:style w:type="character" w:styleId="af3">
    <w:name w:val="annotation reference"/>
    <w:uiPriority w:val="99"/>
    <w:semiHidden/>
    <w:unhideWhenUsed/>
    <w:qFormat/>
    <w:rsid w:val="00BD245A"/>
    <w:rPr>
      <w:sz w:val="16"/>
      <w:szCs w:val="16"/>
    </w:rPr>
  </w:style>
  <w:style w:type="character" w:customStyle="1" w:styleId="af4">
    <w:name w:val="Текст концевой сноски Знак"/>
    <w:link w:val="af5"/>
    <w:uiPriority w:val="99"/>
    <w:semiHidden/>
    <w:qFormat/>
    <w:rsid w:val="00BD245A"/>
    <w:rPr>
      <w:sz w:val="20"/>
      <w:szCs w:val="20"/>
    </w:rPr>
  </w:style>
  <w:style w:type="character" w:styleId="af6">
    <w:name w:val="endnote reference"/>
    <w:rsid w:val="00BD245A"/>
    <w:rPr>
      <w:vertAlign w:val="superscript"/>
    </w:rPr>
  </w:style>
  <w:style w:type="character" w:customStyle="1" w:styleId="EndnoteCharacters">
    <w:name w:val="Endnote Characters"/>
    <w:uiPriority w:val="99"/>
    <w:semiHidden/>
    <w:unhideWhenUsed/>
    <w:qFormat/>
    <w:rsid w:val="00BD245A"/>
    <w:rPr>
      <w:vertAlign w:val="superscript"/>
    </w:rPr>
  </w:style>
  <w:style w:type="character" w:customStyle="1" w:styleId="af7">
    <w:name w:val="Тема примечания Знак"/>
    <w:link w:val="af8"/>
    <w:uiPriority w:val="99"/>
    <w:semiHidden/>
    <w:qFormat/>
    <w:rsid w:val="00BD245A"/>
    <w:rPr>
      <w:b/>
      <w:bCs/>
      <w:sz w:val="20"/>
      <w:szCs w:val="20"/>
    </w:rPr>
  </w:style>
  <w:style w:type="character" w:customStyle="1" w:styleId="af9">
    <w:name w:val="Символ сноски"/>
    <w:qFormat/>
    <w:rsid w:val="00BD245A"/>
    <w:rPr>
      <w:vertAlign w:val="superscript"/>
    </w:rPr>
  </w:style>
  <w:style w:type="character" w:styleId="afa">
    <w:name w:val="FollowedHyperlink"/>
    <w:uiPriority w:val="99"/>
    <w:semiHidden/>
    <w:unhideWhenUsed/>
    <w:rsid w:val="00BD245A"/>
    <w:rPr>
      <w:color w:val="954F72"/>
      <w:u w:val="single"/>
    </w:rPr>
  </w:style>
  <w:style w:type="character" w:styleId="afb">
    <w:name w:val="page number"/>
    <w:basedOn w:val="a0"/>
    <w:uiPriority w:val="99"/>
    <w:semiHidden/>
    <w:unhideWhenUsed/>
    <w:qFormat/>
    <w:rsid w:val="00BD245A"/>
  </w:style>
  <w:style w:type="character" w:customStyle="1" w:styleId="Bodytext265pt">
    <w:name w:val="Body text (2) + 6.5 pt"/>
    <w:qFormat/>
    <w:rsid w:val="00BD245A"/>
    <w:rPr>
      <w:rFonts w:ascii="Arial" w:eastAsia="Arial" w:hAnsi="Arial" w:cs="Arial"/>
      <w:b w:val="0"/>
      <w:bCs w:val="0"/>
      <w:i w:val="0"/>
      <w:iCs w:val="0"/>
      <w:caps w:val="0"/>
      <w:smallCaps w:val="0"/>
      <w:strike w:val="0"/>
      <w:dstrike w:val="0"/>
      <w:color w:val="000000"/>
      <w:spacing w:val="0"/>
      <w:w w:val="100"/>
      <w:sz w:val="13"/>
      <w:szCs w:val="13"/>
      <w:u w:val="none"/>
      <w:lang w:val="en-US" w:eastAsia="en-US" w:bidi="en-US"/>
    </w:rPr>
  </w:style>
  <w:style w:type="character" w:customStyle="1" w:styleId="Bodytext2">
    <w:name w:val="Body text (2)"/>
    <w:qFormat/>
    <w:rsid w:val="00BD245A"/>
    <w:rPr>
      <w:rFonts w:ascii="Arial" w:eastAsia="Arial" w:hAnsi="Arial" w:cs="Arial"/>
      <w:b w:val="0"/>
      <w:bCs w:val="0"/>
      <w:i w:val="0"/>
      <w:iCs w:val="0"/>
      <w:caps w:val="0"/>
      <w:smallCaps w:val="0"/>
      <w:strike w:val="0"/>
      <w:dstrike w:val="0"/>
      <w:color w:val="000000"/>
      <w:spacing w:val="0"/>
      <w:w w:val="100"/>
      <w:sz w:val="12"/>
      <w:szCs w:val="12"/>
      <w:u w:val="none"/>
      <w:lang w:val="en-US" w:eastAsia="en-US" w:bidi="en-US"/>
    </w:rPr>
  </w:style>
  <w:style w:type="character" w:customStyle="1" w:styleId="Bodytext24pt">
    <w:name w:val="Body text (2) + 4 pt"/>
    <w:qFormat/>
    <w:rsid w:val="00BD245A"/>
    <w:rPr>
      <w:rFonts w:ascii="Arial" w:eastAsia="Arial" w:hAnsi="Arial" w:cs="Arial"/>
      <w:b w:val="0"/>
      <w:bCs w:val="0"/>
      <w:i w:val="0"/>
      <w:iCs w:val="0"/>
      <w:caps w:val="0"/>
      <w:smallCaps w:val="0"/>
      <w:strike w:val="0"/>
      <w:dstrike w:val="0"/>
      <w:color w:val="000000"/>
      <w:spacing w:val="0"/>
      <w:w w:val="100"/>
      <w:sz w:val="8"/>
      <w:szCs w:val="8"/>
      <w:u w:val="none"/>
      <w:shd w:val="clear" w:color="auto" w:fill="FFFFFF"/>
      <w:lang w:val="en-US" w:eastAsia="en-US" w:bidi="en-US"/>
    </w:rPr>
  </w:style>
  <w:style w:type="character" w:customStyle="1" w:styleId="11">
    <w:name w:val="Неразрешенное упоминание1"/>
    <w:uiPriority w:val="99"/>
    <w:semiHidden/>
    <w:unhideWhenUsed/>
    <w:qFormat/>
    <w:rsid w:val="00BD245A"/>
    <w:rPr>
      <w:color w:val="605E5C"/>
      <w:shd w:val="clear" w:color="auto" w:fill="E1DFDD"/>
    </w:rPr>
  </w:style>
  <w:style w:type="character" w:customStyle="1" w:styleId="21">
    <w:name w:val="Неразрешенное упоминание2"/>
    <w:uiPriority w:val="99"/>
    <w:semiHidden/>
    <w:unhideWhenUsed/>
    <w:qFormat/>
    <w:rsid w:val="00BD245A"/>
    <w:rPr>
      <w:color w:val="605E5C"/>
      <w:shd w:val="clear" w:color="auto" w:fill="E1DFDD"/>
    </w:rPr>
  </w:style>
  <w:style w:type="character" w:customStyle="1" w:styleId="afc">
    <w:name w:val="Ссылка указателя"/>
    <w:qFormat/>
    <w:rsid w:val="00BD245A"/>
  </w:style>
  <w:style w:type="character" w:customStyle="1" w:styleId="afd">
    <w:name w:val="Символ концевой сноски"/>
    <w:qFormat/>
    <w:rsid w:val="00BD245A"/>
  </w:style>
  <w:style w:type="character" w:styleId="afe">
    <w:name w:val="line number"/>
    <w:rsid w:val="00BD245A"/>
  </w:style>
  <w:style w:type="character" w:customStyle="1" w:styleId="aff">
    <w:name w:val="Маркеры"/>
    <w:qFormat/>
    <w:rsid w:val="00BD245A"/>
    <w:rPr>
      <w:rFonts w:ascii="OpenSymbol" w:eastAsia="OpenSymbol" w:hAnsi="OpenSymbol" w:cs="OpenSymbol"/>
    </w:rPr>
  </w:style>
  <w:style w:type="paragraph" w:styleId="aff0">
    <w:name w:val="Title"/>
    <w:basedOn w:val="a"/>
    <w:next w:val="aff1"/>
    <w:link w:val="aff2"/>
    <w:qFormat/>
    <w:rsid w:val="00BD245A"/>
    <w:pPr>
      <w:keepNext/>
      <w:spacing w:before="240" w:after="120"/>
    </w:pPr>
    <w:rPr>
      <w:rFonts w:ascii="Liberation Sans" w:eastAsia="Microsoft YaHei" w:hAnsi="Liberation Sans" w:cs="Lucida Sans"/>
      <w:sz w:val="28"/>
      <w:szCs w:val="28"/>
    </w:rPr>
  </w:style>
  <w:style w:type="character" w:customStyle="1" w:styleId="aff2">
    <w:name w:val="Заголовок Знак"/>
    <w:link w:val="aff0"/>
    <w:rsid w:val="00BD245A"/>
    <w:rPr>
      <w:rFonts w:ascii="Liberation Sans" w:eastAsia="Microsoft YaHei" w:hAnsi="Liberation Sans" w:cs="Lucida Sans"/>
      <w:sz w:val="28"/>
      <w:szCs w:val="28"/>
      <w:lang w:eastAsia="ru-RU"/>
    </w:rPr>
  </w:style>
  <w:style w:type="paragraph" w:styleId="aff1">
    <w:name w:val="Body Text"/>
    <w:basedOn w:val="a"/>
    <w:link w:val="aff3"/>
    <w:rsid w:val="00BD245A"/>
    <w:pPr>
      <w:spacing w:after="140" w:line="276" w:lineRule="auto"/>
    </w:pPr>
  </w:style>
  <w:style w:type="character" w:customStyle="1" w:styleId="aff3">
    <w:name w:val="Основной текст Знак"/>
    <w:link w:val="aff1"/>
    <w:rsid w:val="00BD245A"/>
    <w:rPr>
      <w:rFonts w:ascii="Calibri" w:eastAsia="Calibri" w:hAnsi="Calibri" w:cs="Times New Roman"/>
      <w:lang w:eastAsia="ru-RU"/>
    </w:rPr>
  </w:style>
  <w:style w:type="paragraph" w:styleId="aff4">
    <w:name w:val="List"/>
    <w:basedOn w:val="aff1"/>
    <w:rsid w:val="00BD245A"/>
    <w:rPr>
      <w:rFonts w:cs="Lucida Sans"/>
    </w:rPr>
  </w:style>
  <w:style w:type="paragraph" w:styleId="aff5">
    <w:name w:val="caption"/>
    <w:basedOn w:val="a"/>
    <w:qFormat/>
    <w:rsid w:val="00BD245A"/>
    <w:pPr>
      <w:suppressLineNumbers/>
      <w:spacing w:before="120" w:after="120"/>
    </w:pPr>
    <w:rPr>
      <w:rFonts w:cs="Lucida Sans"/>
      <w:i/>
      <w:iCs/>
      <w:sz w:val="24"/>
      <w:szCs w:val="24"/>
    </w:rPr>
  </w:style>
  <w:style w:type="paragraph" w:styleId="12">
    <w:name w:val="index 1"/>
    <w:basedOn w:val="a"/>
    <w:next w:val="a"/>
    <w:autoRedefine/>
    <w:uiPriority w:val="99"/>
    <w:semiHidden/>
    <w:unhideWhenUsed/>
    <w:rsid w:val="00BD245A"/>
    <w:pPr>
      <w:spacing w:after="0" w:line="240" w:lineRule="auto"/>
      <w:ind w:left="220" w:hanging="220"/>
    </w:pPr>
  </w:style>
  <w:style w:type="paragraph" w:styleId="aff6">
    <w:name w:val="index heading"/>
    <w:basedOn w:val="aff0"/>
    <w:rsid w:val="00BD245A"/>
  </w:style>
  <w:style w:type="paragraph" w:styleId="a9">
    <w:name w:val="Plain Text"/>
    <w:basedOn w:val="a"/>
    <w:link w:val="a8"/>
    <w:uiPriority w:val="99"/>
    <w:unhideWhenUsed/>
    <w:qFormat/>
    <w:rsid w:val="00BD245A"/>
    <w:pPr>
      <w:spacing w:after="0" w:line="240" w:lineRule="auto"/>
    </w:pPr>
    <w:rPr>
      <w:rFonts w:ascii="Consolas" w:hAnsi="Consolas"/>
      <w:sz w:val="21"/>
      <w:szCs w:val="21"/>
      <w:lang w:eastAsia="en-US"/>
    </w:rPr>
  </w:style>
  <w:style w:type="character" w:customStyle="1" w:styleId="13">
    <w:name w:val="Текст Знак1"/>
    <w:uiPriority w:val="99"/>
    <w:semiHidden/>
    <w:rsid w:val="00BD245A"/>
    <w:rPr>
      <w:rFonts w:ascii="Consolas" w:eastAsia="Calibri" w:hAnsi="Consolas" w:cs="Consolas"/>
      <w:sz w:val="21"/>
      <w:szCs w:val="21"/>
      <w:lang w:eastAsia="ru-RU"/>
    </w:rPr>
  </w:style>
  <w:style w:type="paragraph" w:customStyle="1" w:styleId="aff7">
    <w:name w:val="Колонтитул"/>
    <w:basedOn w:val="a"/>
    <w:qFormat/>
    <w:rsid w:val="00BD245A"/>
  </w:style>
  <w:style w:type="paragraph" w:styleId="ab">
    <w:name w:val="footnote text"/>
    <w:basedOn w:val="a"/>
    <w:link w:val="aa"/>
    <w:uiPriority w:val="99"/>
    <w:semiHidden/>
    <w:unhideWhenUsed/>
    <w:rsid w:val="00BD245A"/>
    <w:pPr>
      <w:spacing w:after="0" w:line="240" w:lineRule="auto"/>
    </w:pPr>
    <w:rPr>
      <w:sz w:val="20"/>
      <w:szCs w:val="20"/>
      <w:lang w:eastAsia="en-US"/>
    </w:rPr>
  </w:style>
  <w:style w:type="character" w:customStyle="1" w:styleId="14">
    <w:name w:val="Текст сноски Знак1"/>
    <w:uiPriority w:val="99"/>
    <w:semiHidden/>
    <w:rsid w:val="00BD245A"/>
    <w:rPr>
      <w:rFonts w:ascii="Calibri" w:eastAsia="Calibri" w:hAnsi="Calibri" w:cs="Times New Roman"/>
      <w:sz w:val="20"/>
      <w:szCs w:val="20"/>
      <w:lang w:eastAsia="ru-RU"/>
    </w:rPr>
  </w:style>
  <w:style w:type="paragraph" w:styleId="aff8">
    <w:name w:val="List Paragraph"/>
    <w:basedOn w:val="a"/>
    <w:uiPriority w:val="34"/>
    <w:qFormat/>
    <w:rsid w:val="00BD245A"/>
    <w:pPr>
      <w:ind w:left="720"/>
      <w:contextualSpacing/>
    </w:pPr>
  </w:style>
  <w:style w:type="paragraph" w:styleId="ae">
    <w:name w:val="Balloon Text"/>
    <w:basedOn w:val="a"/>
    <w:link w:val="ad"/>
    <w:uiPriority w:val="99"/>
    <w:semiHidden/>
    <w:unhideWhenUsed/>
    <w:qFormat/>
    <w:rsid w:val="00BD245A"/>
    <w:pPr>
      <w:spacing w:after="0" w:line="240" w:lineRule="auto"/>
    </w:pPr>
    <w:rPr>
      <w:rFonts w:ascii="Tahoma" w:hAnsi="Tahoma" w:cs="Tahoma"/>
      <w:sz w:val="16"/>
      <w:szCs w:val="16"/>
      <w:lang w:eastAsia="en-US"/>
    </w:rPr>
  </w:style>
  <w:style w:type="character" w:customStyle="1" w:styleId="15">
    <w:name w:val="Текст выноски Знак1"/>
    <w:uiPriority w:val="99"/>
    <w:semiHidden/>
    <w:rsid w:val="00BD245A"/>
    <w:rPr>
      <w:rFonts w:ascii="Segoe UI" w:eastAsia="Calibri" w:hAnsi="Segoe UI" w:cs="Segoe UI"/>
      <w:sz w:val="18"/>
      <w:szCs w:val="18"/>
      <w:lang w:eastAsia="ru-RU"/>
    </w:rPr>
  </w:style>
  <w:style w:type="paragraph" w:styleId="aff9">
    <w:name w:val="Normal (Web)"/>
    <w:basedOn w:val="a"/>
    <w:uiPriority w:val="99"/>
    <w:unhideWhenUsed/>
    <w:qFormat/>
    <w:rsid w:val="00BD245A"/>
    <w:rPr>
      <w:rFonts w:ascii="Times New Roman" w:hAnsi="Times New Roman"/>
      <w:sz w:val="24"/>
      <w:szCs w:val="24"/>
    </w:rPr>
  </w:style>
  <w:style w:type="paragraph" w:customStyle="1" w:styleId="Default">
    <w:name w:val="Default"/>
    <w:uiPriority w:val="99"/>
    <w:qFormat/>
    <w:rsid w:val="00BD245A"/>
    <w:pPr>
      <w:suppressAutoHyphens/>
      <w:spacing w:after="160" w:line="259" w:lineRule="auto"/>
    </w:pPr>
    <w:rPr>
      <w:rFonts w:ascii="Times New Roman" w:hAnsi="Times New Roman"/>
      <w:color w:val="000000"/>
      <w:sz w:val="24"/>
      <w:szCs w:val="24"/>
      <w:lang w:eastAsia="en-US"/>
    </w:rPr>
  </w:style>
  <w:style w:type="paragraph" w:styleId="af2">
    <w:name w:val="annotation text"/>
    <w:basedOn w:val="a"/>
    <w:link w:val="af1"/>
    <w:uiPriority w:val="99"/>
    <w:semiHidden/>
    <w:unhideWhenUsed/>
    <w:qFormat/>
    <w:rsid w:val="00BD245A"/>
    <w:pPr>
      <w:spacing w:line="240" w:lineRule="auto"/>
    </w:pPr>
    <w:rPr>
      <w:sz w:val="20"/>
      <w:szCs w:val="20"/>
      <w:lang w:eastAsia="en-US"/>
    </w:rPr>
  </w:style>
  <w:style w:type="character" w:customStyle="1" w:styleId="16">
    <w:name w:val="Текст примечания Знак1"/>
    <w:uiPriority w:val="99"/>
    <w:semiHidden/>
    <w:rsid w:val="00BD245A"/>
    <w:rPr>
      <w:rFonts w:ascii="Calibri" w:eastAsia="Calibri" w:hAnsi="Calibri" w:cs="Times New Roman"/>
      <w:sz w:val="20"/>
      <w:szCs w:val="20"/>
      <w:lang w:eastAsia="ru-RU"/>
    </w:rPr>
  </w:style>
  <w:style w:type="paragraph" w:styleId="af5">
    <w:name w:val="endnote text"/>
    <w:basedOn w:val="a"/>
    <w:link w:val="af4"/>
    <w:uiPriority w:val="99"/>
    <w:semiHidden/>
    <w:unhideWhenUsed/>
    <w:rsid w:val="00BD245A"/>
    <w:pPr>
      <w:spacing w:after="0" w:line="240" w:lineRule="auto"/>
    </w:pPr>
    <w:rPr>
      <w:sz w:val="20"/>
      <w:szCs w:val="20"/>
      <w:lang w:eastAsia="en-US"/>
    </w:rPr>
  </w:style>
  <w:style w:type="character" w:customStyle="1" w:styleId="17">
    <w:name w:val="Текст концевой сноски Знак1"/>
    <w:uiPriority w:val="99"/>
    <w:semiHidden/>
    <w:rsid w:val="00BD245A"/>
    <w:rPr>
      <w:rFonts w:ascii="Calibri" w:eastAsia="Calibri" w:hAnsi="Calibri" w:cs="Times New Roman"/>
      <w:sz w:val="20"/>
      <w:szCs w:val="20"/>
      <w:lang w:eastAsia="ru-RU"/>
    </w:rPr>
  </w:style>
  <w:style w:type="paragraph" w:styleId="af8">
    <w:name w:val="annotation subject"/>
    <w:basedOn w:val="af2"/>
    <w:next w:val="af2"/>
    <w:link w:val="af7"/>
    <w:uiPriority w:val="99"/>
    <w:semiHidden/>
    <w:unhideWhenUsed/>
    <w:qFormat/>
    <w:rsid w:val="00BD245A"/>
    <w:pPr>
      <w:spacing w:line="276" w:lineRule="auto"/>
    </w:pPr>
    <w:rPr>
      <w:b/>
      <w:bCs/>
    </w:rPr>
  </w:style>
  <w:style w:type="character" w:customStyle="1" w:styleId="18">
    <w:name w:val="Тема примечания Знак1"/>
    <w:uiPriority w:val="99"/>
    <w:semiHidden/>
    <w:rsid w:val="00BD245A"/>
    <w:rPr>
      <w:rFonts w:ascii="Calibri" w:eastAsia="Calibri" w:hAnsi="Calibri" w:cs="Times New Roman"/>
      <w:b/>
      <w:bCs/>
      <w:sz w:val="20"/>
      <w:szCs w:val="20"/>
      <w:lang w:eastAsia="ru-RU"/>
    </w:rPr>
  </w:style>
  <w:style w:type="paragraph" w:styleId="22">
    <w:name w:val="toc 2"/>
    <w:basedOn w:val="a"/>
    <w:next w:val="a"/>
    <w:autoRedefine/>
    <w:uiPriority w:val="39"/>
    <w:unhideWhenUsed/>
    <w:rsid w:val="00BD245A"/>
    <w:pPr>
      <w:tabs>
        <w:tab w:val="right" w:leader="dot" w:pos="9911"/>
      </w:tabs>
      <w:spacing w:after="0"/>
      <w:ind w:left="220"/>
    </w:pPr>
    <w:rPr>
      <w:rFonts w:cs="Calibri"/>
      <w:smallCaps/>
      <w:lang w:eastAsia="ar-SA"/>
    </w:rPr>
  </w:style>
  <w:style w:type="paragraph" w:styleId="19">
    <w:name w:val="toc 1"/>
    <w:basedOn w:val="a"/>
    <w:next w:val="a"/>
    <w:autoRedefine/>
    <w:uiPriority w:val="39"/>
    <w:unhideWhenUsed/>
    <w:rsid w:val="00BD245A"/>
    <w:pPr>
      <w:spacing w:before="120" w:after="120"/>
    </w:pPr>
    <w:rPr>
      <w:rFonts w:cs="Calibri"/>
      <w:b/>
      <w:bCs/>
      <w:caps/>
    </w:rPr>
  </w:style>
  <w:style w:type="paragraph" w:styleId="31">
    <w:name w:val="toc 3"/>
    <w:basedOn w:val="a"/>
    <w:next w:val="a"/>
    <w:autoRedefine/>
    <w:uiPriority w:val="39"/>
    <w:unhideWhenUsed/>
    <w:rsid w:val="00BD245A"/>
    <w:pPr>
      <w:spacing w:after="0"/>
      <w:ind w:left="440"/>
    </w:pPr>
    <w:rPr>
      <w:rFonts w:cs="Calibri"/>
      <w:i/>
      <w:iCs/>
    </w:rPr>
  </w:style>
  <w:style w:type="paragraph" w:styleId="41">
    <w:name w:val="toc 4"/>
    <w:basedOn w:val="a"/>
    <w:next w:val="a"/>
    <w:autoRedefine/>
    <w:uiPriority w:val="39"/>
    <w:unhideWhenUsed/>
    <w:rsid w:val="00BD245A"/>
    <w:pPr>
      <w:spacing w:after="0"/>
      <w:ind w:left="660"/>
    </w:pPr>
    <w:rPr>
      <w:rFonts w:cs="Calibri"/>
      <w:sz w:val="18"/>
      <w:szCs w:val="18"/>
    </w:rPr>
  </w:style>
  <w:style w:type="paragraph" w:styleId="5">
    <w:name w:val="toc 5"/>
    <w:basedOn w:val="a"/>
    <w:next w:val="a"/>
    <w:autoRedefine/>
    <w:uiPriority w:val="39"/>
    <w:unhideWhenUsed/>
    <w:rsid w:val="00BD245A"/>
    <w:pPr>
      <w:spacing w:after="0"/>
      <w:ind w:left="880"/>
    </w:pPr>
    <w:rPr>
      <w:rFonts w:cs="Calibri"/>
      <w:sz w:val="18"/>
      <w:szCs w:val="18"/>
    </w:rPr>
  </w:style>
  <w:style w:type="paragraph" w:styleId="6">
    <w:name w:val="toc 6"/>
    <w:basedOn w:val="a"/>
    <w:next w:val="a"/>
    <w:autoRedefine/>
    <w:uiPriority w:val="39"/>
    <w:unhideWhenUsed/>
    <w:rsid w:val="00BD245A"/>
    <w:pPr>
      <w:spacing w:after="0"/>
      <w:ind w:left="1100"/>
    </w:pPr>
    <w:rPr>
      <w:rFonts w:cs="Calibri"/>
      <w:sz w:val="18"/>
      <w:szCs w:val="18"/>
    </w:rPr>
  </w:style>
  <w:style w:type="paragraph" w:styleId="7">
    <w:name w:val="toc 7"/>
    <w:basedOn w:val="a"/>
    <w:next w:val="a"/>
    <w:autoRedefine/>
    <w:uiPriority w:val="39"/>
    <w:unhideWhenUsed/>
    <w:rsid w:val="00BD245A"/>
    <w:pPr>
      <w:spacing w:after="0"/>
      <w:ind w:left="1320"/>
    </w:pPr>
    <w:rPr>
      <w:rFonts w:cs="Calibri"/>
      <w:sz w:val="18"/>
      <w:szCs w:val="18"/>
    </w:rPr>
  </w:style>
  <w:style w:type="paragraph" w:styleId="8">
    <w:name w:val="toc 8"/>
    <w:basedOn w:val="a"/>
    <w:next w:val="a"/>
    <w:autoRedefine/>
    <w:uiPriority w:val="39"/>
    <w:unhideWhenUsed/>
    <w:rsid w:val="00BD245A"/>
    <w:pPr>
      <w:spacing w:after="0"/>
      <w:ind w:left="1540"/>
    </w:pPr>
    <w:rPr>
      <w:rFonts w:cs="Calibri"/>
      <w:sz w:val="18"/>
      <w:szCs w:val="18"/>
    </w:rPr>
  </w:style>
  <w:style w:type="paragraph" w:styleId="9">
    <w:name w:val="toc 9"/>
    <w:basedOn w:val="a"/>
    <w:next w:val="a"/>
    <w:autoRedefine/>
    <w:uiPriority w:val="39"/>
    <w:unhideWhenUsed/>
    <w:rsid w:val="00BD245A"/>
    <w:pPr>
      <w:spacing w:after="0"/>
      <w:ind w:left="1760"/>
    </w:pPr>
    <w:rPr>
      <w:rFonts w:cs="Calibri"/>
      <w:sz w:val="18"/>
      <w:szCs w:val="18"/>
    </w:rPr>
  </w:style>
  <w:style w:type="paragraph" w:styleId="affa">
    <w:name w:val="Revision"/>
    <w:uiPriority w:val="99"/>
    <w:semiHidden/>
    <w:qFormat/>
    <w:rsid w:val="00BD245A"/>
    <w:pPr>
      <w:suppressAutoHyphens/>
      <w:spacing w:after="160" w:line="259" w:lineRule="auto"/>
    </w:pPr>
    <w:rPr>
      <w:i/>
      <w:iCs/>
      <w:color w:val="0000FF"/>
      <w:sz w:val="22"/>
      <w:szCs w:val="22"/>
      <w:u w:val="single"/>
    </w:rPr>
  </w:style>
  <w:style w:type="paragraph" w:customStyle="1" w:styleId="xl65">
    <w:name w:val="xl65"/>
    <w:basedOn w:val="a"/>
    <w:qFormat/>
    <w:rsid w:val="00BD245A"/>
    <w:pPr>
      <w:pBdr>
        <w:top w:val="single" w:sz="4" w:space="0" w:color="000000"/>
        <w:left w:val="single" w:sz="4" w:space="0" w:color="000000"/>
        <w:bottom w:val="single" w:sz="4" w:space="0" w:color="000000"/>
        <w:right w:val="single" w:sz="4" w:space="0" w:color="000000"/>
      </w:pBdr>
      <w:shd w:val="clear" w:color="000000" w:fill="D7DFEF"/>
      <w:spacing w:beforeAutospacing="1" w:afterAutospacing="1" w:line="240" w:lineRule="auto"/>
      <w:textAlignment w:val="center"/>
    </w:pPr>
    <w:rPr>
      <w:rFonts w:ascii="Tahoma" w:eastAsia="Times New Roman" w:hAnsi="Tahoma" w:cs="Tahoma"/>
      <w:b/>
      <w:bCs/>
      <w:sz w:val="16"/>
      <w:szCs w:val="16"/>
    </w:rPr>
  </w:style>
  <w:style w:type="paragraph" w:customStyle="1" w:styleId="xl66">
    <w:name w:val="xl66"/>
    <w:basedOn w:val="a"/>
    <w:qFormat/>
    <w:rsid w:val="00BD245A"/>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pPr>
    <w:rPr>
      <w:rFonts w:ascii="Times New Roman" w:eastAsia="Times New Roman" w:hAnsi="Times New Roman"/>
    </w:rPr>
  </w:style>
  <w:style w:type="paragraph" w:customStyle="1" w:styleId="xl67">
    <w:name w:val="xl67"/>
    <w:basedOn w:val="a"/>
    <w:qFormat/>
    <w:rsid w:val="00BD245A"/>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right"/>
    </w:pPr>
    <w:rPr>
      <w:rFonts w:ascii="Times New Roman" w:eastAsia="Times New Roman" w:hAnsi="Times New Roman"/>
    </w:rPr>
  </w:style>
  <w:style w:type="paragraph" w:customStyle="1" w:styleId="xl68">
    <w:name w:val="xl68"/>
    <w:basedOn w:val="a"/>
    <w:qFormat/>
    <w:rsid w:val="00BD245A"/>
    <w:pPr>
      <w:pBdr>
        <w:top w:val="single" w:sz="4" w:space="0" w:color="000000"/>
        <w:left w:val="single" w:sz="4" w:space="0" w:color="000000"/>
        <w:bottom w:val="single" w:sz="4" w:space="0" w:color="000000"/>
        <w:right w:val="single" w:sz="4" w:space="0" w:color="000000"/>
      </w:pBdr>
      <w:shd w:val="clear" w:color="000000" w:fill="DDDDDD"/>
      <w:spacing w:beforeAutospacing="1" w:afterAutospacing="1" w:line="240" w:lineRule="auto"/>
    </w:pPr>
    <w:rPr>
      <w:rFonts w:ascii="Times New Roman" w:eastAsia="Times New Roman" w:hAnsi="Times New Roman"/>
    </w:rPr>
  </w:style>
  <w:style w:type="paragraph" w:customStyle="1" w:styleId="xl69">
    <w:name w:val="xl69"/>
    <w:basedOn w:val="a"/>
    <w:qFormat/>
    <w:rsid w:val="00BD245A"/>
    <w:pPr>
      <w:pBdr>
        <w:top w:val="single" w:sz="4" w:space="0" w:color="000000"/>
        <w:left w:val="single" w:sz="4" w:space="0" w:color="000000"/>
        <w:bottom w:val="single" w:sz="4" w:space="0" w:color="000000"/>
        <w:right w:val="single" w:sz="4" w:space="0" w:color="000000"/>
      </w:pBdr>
      <w:shd w:val="clear" w:color="000000" w:fill="DDDDDD"/>
      <w:spacing w:beforeAutospacing="1" w:afterAutospacing="1" w:line="240" w:lineRule="auto"/>
      <w:jc w:val="right"/>
    </w:pPr>
    <w:rPr>
      <w:rFonts w:ascii="Times New Roman" w:eastAsia="Times New Roman" w:hAnsi="Times New Roman"/>
    </w:rPr>
  </w:style>
  <w:style w:type="paragraph" w:customStyle="1" w:styleId="xl70">
    <w:name w:val="xl70"/>
    <w:basedOn w:val="a"/>
    <w:qFormat/>
    <w:rsid w:val="00BD245A"/>
    <w:pPr>
      <w:pBdr>
        <w:top w:val="single" w:sz="4" w:space="0" w:color="000000"/>
        <w:left w:val="single" w:sz="4" w:space="0" w:color="000000"/>
        <w:bottom w:val="single" w:sz="4" w:space="0" w:color="000000"/>
        <w:right w:val="single" w:sz="4" w:space="0" w:color="000000"/>
      </w:pBdr>
      <w:spacing w:beforeAutospacing="1" w:afterAutospacing="1" w:line="240" w:lineRule="auto"/>
    </w:pPr>
    <w:rPr>
      <w:rFonts w:ascii="Times New Roman" w:eastAsia="Times New Roman" w:hAnsi="Times New Roman"/>
      <w:sz w:val="24"/>
      <w:szCs w:val="24"/>
    </w:rPr>
  </w:style>
  <w:style w:type="paragraph" w:customStyle="1" w:styleId="xl71">
    <w:name w:val="xl71"/>
    <w:basedOn w:val="a"/>
    <w:qFormat/>
    <w:rsid w:val="00BD245A"/>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right"/>
    </w:pPr>
    <w:rPr>
      <w:rFonts w:ascii="Times New Roman" w:eastAsia="Times New Roman" w:hAnsi="Times New Roman"/>
    </w:rPr>
  </w:style>
  <w:style w:type="paragraph" w:customStyle="1" w:styleId="xl72">
    <w:name w:val="xl72"/>
    <w:basedOn w:val="a"/>
    <w:qFormat/>
    <w:rsid w:val="00BD245A"/>
    <w:pPr>
      <w:pBdr>
        <w:top w:val="single" w:sz="4" w:space="0" w:color="000000"/>
        <w:left w:val="single" w:sz="4" w:space="0" w:color="000000"/>
        <w:bottom w:val="single" w:sz="4" w:space="0" w:color="000000"/>
        <w:right w:val="single" w:sz="4" w:space="0" w:color="000000"/>
      </w:pBdr>
      <w:spacing w:beforeAutospacing="1" w:afterAutospacing="1" w:line="240" w:lineRule="auto"/>
    </w:pPr>
    <w:rPr>
      <w:rFonts w:ascii="Times New Roman" w:eastAsia="Times New Roman" w:hAnsi="Times New Roman"/>
      <w:sz w:val="24"/>
      <w:szCs w:val="24"/>
    </w:rPr>
  </w:style>
  <w:style w:type="paragraph" w:customStyle="1" w:styleId="xl73">
    <w:name w:val="xl73"/>
    <w:basedOn w:val="a"/>
    <w:uiPriority w:val="99"/>
    <w:qFormat/>
    <w:rsid w:val="00BD245A"/>
    <w:pPr>
      <w:pBdr>
        <w:top w:val="single" w:sz="4" w:space="0" w:color="000000"/>
        <w:left w:val="single" w:sz="4" w:space="0" w:color="000000"/>
        <w:bottom w:val="single" w:sz="4" w:space="0" w:color="000000"/>
        <w:right w:val="single" w:sz="4" w:space="0" w:color="000000"/>
      </w:pBdr>
      <w:shd w:val="clear" w:color="000000" w:fill="B4C6E7"/>
      <w:spacing w:beforeAutospacing="1" w:afterAutospacing="1" w:line="240" w:lineRule="auto"/>
    </w:pPr>
    <w:rPr>
      <w:rFonts w:ascii="Times New Roman" w:eastAsia="Times New Roman" w:hAnsi="Times New Roman"/>
    </w:rPr>
  </w:style>
  <w:style w:type="paragraph" w:customStyle="1" w:styleId="xl74">
    <w:name w:val="xl74"/>
    <w:basedOn w:val="a"/>
    <w:uiPriority w:val="99"/>
    <w:qFormat/>
    <w:rsid w:val="00BD245A"/>
    <w:pPr>
      <w:pBdr>
        <w:top w:val="single" w:sz="4" w:space="0" w:color="000000"/>
        <w:left w:val="single" w:sz="4" w:space="0" w:color="000000"/>
        <w:bottom w:val="single" w:sz="4" w:space="0" w:color="000000"/>
        <w:right w:val="single" w:sz="4" w:space="0" w:color="000000"/>
      </w:pBdr>
      <w:shd w:val="clear" w:color="000000" w:fill="B4C6E7"/>
      <w:spacing w:beforeAutospacing="1" w:afterAutospacing="1" w:line="240" w:lineRule="auto"/>
      <w:jc w:val="right"/>
    </w:pPr>
    <w:rPr>
      <w:rFonts w:ascii="Times New Roman" w:eastAsia="Times New Roman" w:hAnsi="Times New Roman"/>
    </w:rPr>
  </w:style>
  <w:style w:type="paragraph" w:customStyle="1" w:styleId="xl75">
    <w:name w:val="xl75"/>
    <w:basedOn w:val="a"/>
    <w:uiPriority w:val="99"/>
    <w:qFormat/>
    <w:rsid w:val="00BD245A"/>
    <w:pPr>
      <w:pBdr>
        <w:top w:val="single" w:sz="4" w:space="0" w:color="000000"/>
        <w:left w:val="single" w:sz="4" w:space="0" w:color="000000"/>
        <w:bottom w:val="single" w:sz="4" w:space="0" w:color="000000"/>
        <w:right w:val="single" w:sz="4" w:space="0" w:color="000000"/>
      </w:pBdr>
      <w:shd w:val="clear" w:color="000000" w:fill="B4C6E7"/>
      <w:spacing w:beforeAutospacing="1" w:afterAutospacing="1" w:line="240" w:lineRule="auto"/>
      <w:jc w:val="right"/>
    </w:pPr>
    <w:rPr>
      <w:rFonts w:ascii="Times New Roman" w:eastAsia="Times New Roman" w:hAnsi="Times New Roman"/>
    </w:rPr>
  </w:style>
  <w:style w:type="paragraph" w:customStyle="1" w:styleId="xl76">
    <w:name w:val="xl76"/>
    <w:basedOn w:val="a"/>
    <w:uiPriority w:val="99"/>
    <w:qFormat/>
    <w:rsid w:val="00BD245A"/>
    <w:pPr>
      <w:pBdr>
        <w:top w:val="single" w:sz="4" w:space="0" w:color="000000"/>
        <w:left w:val="single" w:sz="4" w:space="0" w:color="000000"/>
        <w:bottom w:val="single" w:sz="4" w:space="0" w:color="000000"/>
        <w:right w:val="single" w:sz="4" w:space="0" w:color="000000"/>
      </w:pBdr>
      <w:shd w:val="clear" w:color="000000" w:fill="2F75B5"/>
      <w:spacing w:beforeAutospacing="1" w:afterAutospacing="1" w:line="240" w:lineRule="auto"/>
    </w:pPr>
    <w:rPr>
      <w:rFonts w:ascii="Times New Roman" w:eastAsia="Times New Roman" w:hAnsi="Times New Roman"/>
    </w:rPr>
  </w:style>
  <w:style w:type="paragraph" w:customStyle="1" w:styleId="xl77">
    <w:name w:val="xl77"/>
    <w:basedOn w:val="a"/>
    <w:uiPriority w:val="99"/>
    <w:qFormat/>
    <w:rsid w:val="00BD245A"/>
    <w:pPr>
      <w:pBdr>
        <w:top w:val="single" w:sz="4" w:space="0" w:color="000000"/>
        <w:left w:val="single" w:sz="4" w:space="0" w:color="000000"/>
        <w:bottom w:val="single" w:sz="4" w:space="0" w:color="000000"/>
        <w:right w:val="single" w:sz="4" w:space="0" w:color="000000"/>
      </w:pBdr>
      <w:shd w:val="clear" w:color="000000" w:fill="2F75B5"/>
      <w:spacing w:beforeAutospacing="1" w:afterAutospacing="1" w:line="240" w:lineRule="auto"/>
      <w:jc w:val="right"/>
    </w:pPr>
    <w:rPr>
      <w:rFonts w:ascii="Times New Roman" w:eastAsia="Times New Roman" w:hAnsi="Times New Roman"/>
    </w:rPr>
  </w:style>
  <w:style w:type="paragraph" w:customStyle="1" w:styleId="xl78">
    <w:name w:val="xl78"/>
    <w:basedOn w:val="a"/>
    <w:uiPriority w:val="99"/>
    <w:qFormat/>
    <w:rsid w:val="00BD245A"/>
    <w:pPr>
      <w:pBdr>
        <w:top w:val="single" w:sz="4" w:space="0" w:color="000000"/>
        <w:left w:val="single" w:sz="4" w:space="0" w:color="000000"/>
        <w:bottom w:val="single" w:sz="4" w:space="0" w:color="000000"/>
        <w:right w:val="single" w:sz="4" w:space="0" w:color="000000"/>
      </w:pBdr>
      <w:shd w:val="clear" w:color="000000" w:fill="2F75B5"/>
      <w:spacing w:beforeAutospacing="1" w:afterAutospacing="1" w:line="240" w:lineRule="auto"/>
      <w:jc w:val="right"/>
    </w:pPr>
    <w:rPr>
      <w:rFonts w:ascii="Times New Roman" w:eastAsia="Times New Roman" w:hAnsi="Times New Roman"/>
    </w:rPr>
  </w:style>
  <w:style w:type="paragraph" w:customStyle="1" w:styleId="xl79">
    <w:name w:val="xl79"/>
    <w:basedOn w:val="a"/>
    <w:uiPriority w:val="99"/>
    <w:qFormat/>
    <w:rsid w:val="00BD245A"/>
    <w:pPr>
      <w:pBdr>
        <w:top w:val="single" w:sz="4" w:space="0" w:color="000000"/>
        <w:left w:val="single" w:sz="4" w:space="0" w:color="000000"/>
        <w:bottom w:val="single" w:sz="4" w:space="0" w:color="000000"/>
        <w:right w:val="single" w:sz="4" w:space="0" w:color="000000"/>
      </w:pBdr>
      <w:shd w:val="clear" w:color="000000" w:fill="2F75B5"/>
      <w:spacing w:beforeAutospacing="1" w:afterAutospacing="1" w:line="240" w:lineRule="auto"/>
    </w:pPr>
    <w:rPr>
      <w:rFonts w:ascii="Times New Roman" w:eastAsia="Times New Roman" w:hAnsi="Times New Roman"/>
      <w:sz w:val="24"/>
      <w:szCs w:val="24"/>
    </w:rPr>
  </w:style>
  <w:style w:type="paragraph" w:customStyle="1" w:styleId="xl80">
    <w:name w:val="xl80"/>
    <w:basedOn w:val="a"/>
    <w:uiPriority w:val="99"/>
    <w:qFormat/>
    <w:rsid w:val="00BD245A"/>
    <w:pPr>
      <w:shd w:val="clear" w:color="000000" w:fill="2F75B5"/>
      <w:spacing w:beforeAutospacing="1" w:afterAutospacing="1" w:line="240" w:lineRule="auto"/>
    </w:pPr>
    <w:rPr>
      <w:rFonts w:ascii="Times New Roman" w:eastAsia="Times New Roman" w:hAnsi="Times New Roman"/>
      <w:sz w:val="24"/>
      <w:szCs w:val="24"/>
    </w:rPr>
  </w:style>
  <w:style w:type="paragraph" w:customStyle="1" w:styleId="xl81">
    <w:name w:val="xl81"/>
    <w:basedOn w:val="a"/>
    <w:uiPriority w:val="99"/>
    <w:qFormat/>
    <w:rsid w:val="00BD245A"/>
    <w:pPr>
      <w:pBdr>
        <w:top w:val="single" w:sz="4" w:space="0" w:color="000000"/>
        <w:left w:val="single" w:sz="4" w:space="0" w:color="000000"/>
        <w:bottom w:val="single" w:sz="4" w:space="0" w:color="000000"/>
        <w:right w:val="single" w:sz="4" w:space="0" w:color="000000"/>
      </w:pBdr>
      <w:shd w:val="clear" w:color="000000" w:fill="B4C6E7"/>
      <w:spacing w:beforeAutospacing="1" w:afterAutospacing="1" w:line="240" w:lineRule="auto"/>
    </w:pPr>
    <w:rPr>
      <w:rFonts w:ascii="Times New Roman" w:eastAsia="Times New Roman" w:hAnsi="Times New Roman"/>
      <w:sz w:val="24"/>
      <w:szCs w:val="24"/>
    </w:rPr>
  </w:style>
  <w:style w:type="paragraph" w:customStyle="1" w:styleId="xl82">
    <w:name w:val="xl82"/>
    <w:basedOn w:val="a"/>
    <w:uiPriority w:val="99"/>
    <w:qFormat/>
    <w:rsid w:val="00BD245A"/>
    <w:pPr>
      <w:shd w:val="clear" w:color="000000" w:fill="B4C6E7"/>
      <w:spacing w:beforeAutospacing="1" w:afterAutospacing="1" w:line="240" w:lineRule="auto"/>
    </w:pPr>
    <w:rPr>
      <w:rFonts w:ascii="Times New Roman" w:eastAsia="Times New Roman" w:hAnsi="Times New Roman"/>
      <w:sz w:val="24"/>
      <w:szCs w:val="24"/>
    </w:rPr>
  </w:style>
  <w:style w:type="paragraph" w:customStyle="1" w:styleId="xl83">
    <w:name w:val="xl83"/>
    <w:basedOn w:val="a"/>
    <w:uiPriority w:val="99"/>
    <w:qFormat/>
    <w:rsid w:val="00BD245A"/>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pPr>
    <w:rPr>
      <w:rFonts w:ascii="Times New Roman" w:eastAsia="Times New Roman" w:hAnsi="Times New Roman"/>
    </w:rPr>
  </w:style>
  <w:style w:type="paragraph" w:customStyle="1" w:styleId="xl84">
    <w:name w:val="xl84"/>
    <w:basedOn w:val="a"/>
    <w:uiPriority w:val="99"/>
    <w:qFormat/>
    <w:rsid w:val="00BD245A"/>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right"/>
    </w:pPr>
    <w:rPr>
      <w:rFonts w:ascii="Times New Roman" w:eastAsia="Times New Roman" w:hAnsi="Times New Roman"/>
    </w:rPr>
  </w:style>
  <w:style w:type="paragraph" w:customStyle="1" w:styleId="xl85">
    <w:name w:val="xl85"/>
    <w:basedOn w:val="a"/>
    <w:uiPriority w:val="99"/>
    <w:qFormat/>
    <w:rsid w:val="00BD245A"/>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right"/>
    </w:pPr>
    <w:rPr>
      <w:rFonts w:ascii="Times New Roman" w:eastAsia="Times New Roman" w:hAnsi="Times New Roman"/>
    </w:rPr>
  </w:style>
  <w:style w:type="paragraph" w:customStyle="1" w:styleId="xl86">
    <w:name w:val="xl86"/>
    <w:basedOn w:val="a"/>
    <w:uiPriority w:val="99"/>
    <w:qFormat/>
    <w:rsid w:val="00BD245A"/>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pPr>
    <w:rPr>
      <w:rFonts w:ascii="Times New Roman" w:eastAsia="Times New Roman" w:hAnsi="Times New Roman"/>
      <w:sz w:val="24"/>
      <w:szCs w:val="24"/>
    </w:rPr>
  </w:style>
  <w:style w:type="paragraph" w:customStyle="1" w:styleId="xl87">
    <w:name w:val="xl87"/>
    <w:basedOn w:val="a"/>
    <w:uiPriority w:val="99"/>
    <w:qFormat/>
    <w:rsid w:val="00BD245A"/>
    <w:pPr>
      <w:shd w:val="clear" w:color="000000" w:fill="FFFFFF"/>
      <w:spacing w:beforeAutospacing="1" w:afterAutospacing="1" w:line="240" w:lineRule="auto"/>
    </w:pPr>
    <w:rPr>
      <w:rFonts w:ascii="Times New Roman" w:eastAsia="Times New Roman" w:hAnsi="Times New Roman"/>
      <w:sz w:val="24"/>
      <w:szCs w:val="24"/>
    </w:rPr>
  </w:style>
  <w:style w:type="paragraph" w:customStyle="1" w:styleId="xl88">
    <w:name w:val="xl88"/>
    <w:basedOn w:val="a"/>
    <w:uiPriority w:val="99"/>
    <w:qFormat/>
    <w:rsid w:val="00BD245A"/>
    <w:pPr>
      <w:pBdr>
        <w:top w:val="single" w:sz="4" w:space="0" w:color="000000"/>
        <w:left w:val="single" w:sz="4" w:space="0" w:color="000000"/>
        <w:bottom w:val="single" w:sz="4" w:space="0" w:color="000000"/>
        <w:right w:val="single" w:sz="4" w:space="0" w:color="000000"/>
      </w:pBdr>
      <w:shd w:val="clear" w:color="000000" w:fill="FF0000"/>
      <w:spacing w:beforeAutospacing="1" w:afterAutospacing="1" w:line="240" w:lineRule="auto"/>
    </w:pPr>
    <w:rPr>
      <w:rFonts w:ascii="Times New Roman" w:eastAsia="Times New Roman" w:hAnsi="Times New Roman"/>
    </w:rPr>
  </w:style>
  <w:style w:type="paragraph" w:customStyle="1" w:styleId="xl89">
    <w:name w:val="xl89"/>
    <w:basedOn w:val="a"/>
    <w:uiPriority w:val="99"/>
    <w:qFormat/>
    <w:rsid w:val="00BD245A"/>
    <w:pPr>
      <w:pBdr>
        <w:top w:val="single" w:sz="4" w:space="0" w:color="000000"/>
        <w:left w:val="single" w:sz="4" w:space="0" w:color="000000"/>
        <w:bottom w:val="single" w:sz="4" w:space="0" w:color="000000"/>
        <w:right w:val="single" w:sz="4" w:space="0" w:color="000000"/>
      </w:pBdr>
      <w:shd w:val="clear" w:color="000000" w:fill="FF0000"/>
      <w:spacing w:beforeAutospacing="1" w:afterAutospacing="1" w:line="240" w:lineRule="auto"/>
      <w:jc w:val="right"/>
    </w:pPr>
    <w:rPr>
      <w:rFonts w:ascii="Times New Roman" w:eastAsia="Times New Roman" w:hAnsi="Times New Roman"/>
    </w:rPr>
  </w:style>
  <w:style w:type="paragraph" w:customStyle="1" w:styleId="xl90">
    <w:name w:val="xl90"/>
    <w:basedOn w:val="a"/>
    <w:uiPriority w:val="99"/>
    <w:qFormat/>
    <w:rsid w:val="00BD245A"/>
    <w:pPr>
      <w:pBdr>
        <w:top w:val="single" w:sz="4" w:space="0" w:color="000000"/>
        <w:left w:val="single" w:sz="4" w:space="0" w:color="000000"/>
        <w:bottom w:val="single" w:sz="4" w:space="0" w:color="000000"/>
        <w:right w:val="single" w:sz="4" w:space="0" w:color="000000"/>
      </w:pBdr>
      <w:shd w:val="clear" w:color="000000" w:fill="FF0000"/>
      <w:spacing w:beforeAutospacing="1" w:afterAutospacing="1" w:line="240" w:lineRule="auto"/>
      <w:jc w:val="right"/>
    </w:pPr>
    <w:rPr>
      <w:rFonts w:ascii="Times New Roman" w:eastAsia="Times New Roman" w:hAnsi="Times New Roman"/>
    </w:rPr>
  </w:style>
  <w:style w:type="paragraph" w:customStyle="1" w:styleId="xl91">
    <w:name w:val="xl91"/>
    <w:basedOn w:val="a"/>
    <w:uiPriority w:val="99"/>
    <w:qFormat/>
    <w:rsid w:val="00BD245A"/>
    <w:pPr>
      <w:pBdr>
        <w:top w:val="single" w:sz="4" w:space="0" w:color="000000"/>
        <w:left w:val="single" w:sz="4" w:space="0" w:color="000000"/>
        <w:bottom w:val="single" w:sz="4" w:space="0" w:color="000000"/>
        <w:right w:val="single" w:sz="4" w:space="0" w:color="000000"/>
      </w:pBdr>
      <w:shd w:val="clear" w:color="000000" w:fill="FF0000"/>
      <w:spacing w:beforeAutospacing="1" w:afterAutospacing="1" w:line="240" w:lineRule="auto"/>
    </w:pPr>
    <w:rPr>
      <w:rFonts w:ascii="Times New Roman" w:eastAsia="Times New Roman" w:hAnsi="Times New Roman"/>
      <w:sz w:val="24"/>
      <w:szCs w:val="24"/>
    </w:rPr>
  </w:style>
  <w:style w:type="paragraph" w:customStyle="1" w:styleId="xl92">
    <w:name w:val="xl92"/>
    <w:basedOn w:val="a"/>
    <w:uiPriority w:val="99"/>
    <w:qFormat/>
    <w:rsid w:val="00BD245A"/>
    <w:pPr>
      <w:shd w:val="clear" w:color="000000" w:fill="FF0000"/>
      <w:spacing w:beforeAutospacing="1" w:afterAutospacing="1" w:line="240" w:lineRule="auto"/>
    </w:pPr>
    <w:rPr>
      <w:rFonts w:ascii="Times New Roman" w:eastAsia="Times New Roman" w:hAnsi="Times New Roman"/>
      <w:sz w:val="24"/>
      <w:szCs w:val="24"/>
    </w:rPr>
  </w:style>
  <w:style w:type="paragraph" w:customStyle="1" w:styleId="msonormal0">
    <w:name w:val="msonormal"/>
    <w:basedOn w:val="a"/>
    <w:qFormat/>
    <w:rsid w:val="00BD245A"/>
    <w:rPr>
      <w:rFonts w:ascii="Times New Roman" w:hAnsi="Times New Roman"/>
      <w:sz w:val="24"/>
      <w:szCs w:val="24"/>
    </w:rPr>
  </w:style>
  <w:style w:type="paragraph" w:customStyle="1" w:styleId="affb">
    <w:name w:val="Содержимое врезки"/>
    <w:basedOn w:val="a"/>
    <w:qFormat/>
    <w:rsid w:val="00BD245A"/>
  </w:style>
  <w:style w:type="numbering" w:customStyle="1" w:styleId="1a">
    <w:name w:val="Нет списка1"/>
    <w:uiPriority w:val="99"/>
    <w:semiHidden/>
    <w:unhideWhenUsed/>
    <w:qFormat/>
    <w:rsid w:val="00BD245A"/>
  </w:style>
  <w:style w:type="numbering" w:customStyle="1" w:styleId="1b">
    <w:name w:val="Стиль1"/>
    <w:uiPriority w:val="99"/>
    <w:qFormat/>
    <w:rsid w:val="00BD245A"/>
  </w:style>
  <w:style w:type="numbering" w:customStyle="1" w:styleId="23">
    <w:name w:val="Нет списка2"/>
    <w:uiPriority w:val="99"/>
    <w:semiHidden/>
    <w:unhideWhenUsed/>
    <w:qFormat/>
    <w:rsid w:val="00BD245A"/>
  </w:style>
  <w:style w:type="numbering" w:customStyle="1" w:styleId="32">
    <w:name w:val="Нет списка3"/>
    <w:uiPriority w:val="99"/>
    <w:semiHidden/>
    <w:unhideWhenUsed/>
    <w:qFormat/>
    <w:rsid w:val="00BD245A"/>
  </w:style>
  <w:style w:type="numbering" w:customStyle="1" w:styleId="110">
    <w:name w:val="Нет списка11"/>
    <w:uiPriority w:val="99"/>
    <w:semiHidden/>
    <w:unhideWhenUsed/>
    <w:qFormat/>
    <w:rsid w:val="00BD245A"/>
  </w:style>
  <w:style w:type="numbering" w:customStyle="1" w:styleId="210">
    <w:name w:val="Нет списка21"/>
    <w:uiPriority w:val="99"/>
    <w:semiHidden/>
    <w:unhideWhenUsed/>
    <w:qFormat/>
    <w:rsid w:val="00BD245A"/>
  </w:style>
  <w:style w:type="table" w:styleId="affc">
    <w:name w:val="Table Grid"/>
    <w:basedOn w:val="a1"/>
    <w:uiPriority w:val="59"/>
    <w:rsid w:val="00BD245A"/>
    <w:pPr>
      <w:suppressAutoHyphens/>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c">
    <w:name w:val="Сетка таблицы1"/>
    <w:basedOn w:val="a1"/>
    <w:uiPriority w:val="39"/>
    <w:rsid w:val="00BD245A"/>
    <w:pPr>
      <w:suppressAutoHyphens/>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BD245A"/>
    <w:pPr>
      <w:suppressAutoHyphens/>
    </w:pPr>
    <w:rPr>
      <w:sz w:val="22"/>
      <w:szCs w:val="22"/>
      <w:lang w:val="en-US" w:eastAsia="en-US"/>
    </w:rPr>
    <w:tblPr>
      <w:tblCellMar>
        <w:top w:w="0" w:type="dxa"/>
        <w:left w:w="0" w:type="dxa"/>
        <w:bottom w:w="0" w:type="dxa"/>
        <w:right w:w="0" w:type="dxa"/>
      </w:tblCellMar>
    </w:tblPr>
  </w:style>
  <w:style w:type="table" w:customStyle="1" w:styleId="24">
    <w:name w:val="Сетка таблицы2"/>
    <w:basedOn w:val="a1"/>
    <w:uiPriority w:val="59"/>
    <w:rsid w:val="00BD245A"/>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uiPriority w:val="39"/>
    <w:rsid w:val="00BD245A"/>
    <w:pPr>
      <w:suppressAutoHyphens/>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BD245A"/>
    <w:pPr>
      <w:suppressAutoHyphens/>
    </w:pPr>
    <w:rPr>
      <w:rFonts w:eastAsia="Times New Roman"/>
      <w:sz w:val="22"/>
      <w:szCs w:val="22"/>
      <w:lang w:val="en-US" w:eastAsia="en-US"/>
    </w:rPr>
    <w:tblPr>
      <w:tblCellMar>
        <w:top w:w="0" w:type="dxa"/>
        <w:left w:w="0" w:type="dxa"/>
        <w:bottom w:w="0" w:type="dxa"/>
        <w:right w:w="0" w:type="dxa"/>
      </w:tblCellMar>
    </w:tblPr>
  </w:style>
  <w:style w:type="table" w:customStyle="1" w:styleId="TableGrid2">
    <w:name w:val="TableGrid2"/>
    <w:rsid w:val="00F00E72"/>
    <w:rPr>
      <w:rFonts w:eastAsia="Times New Roman"/>
      <w:sz w:val="22"/>
      <w:szCs w:val="22"/>
    </w:rPr>
    <w:tblPr>
      <w:tblCellMar>
        <w:top w:w="0" w:type="dxa"/>
        <w:left w:w="0" w:type="dxa"/>
        <w:bottom w:w="0" w:type="dxa"/>
        <w:right w:w="0" w:type="dxa"/>
      </w:tblCellMar>
    </w:tblPr>
  </w:style>
  <w:style w:type="character" w:styleId="affd">
    <w:name w:val="Unresolved Mention"/>
    <w:uiPriority w:val="99"/>
    <w:semiHidden/>
    <w:unhideWhenUsed/>
    <w:rsid w:val="00F842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6383487">
      <w:bodyDiv w:val="1"/>
      <w:marLeft w:val="0"/>
      <w:marRight w:val="0"/>
      <w:marTop w:val="0"/>
      <w:marBottom w:val="0"/>
      <w:divBdr>
        <w:top w:val="none" w:sz="0" w:space="0" w:color="auto"/>
        <w:left w:val="none" w:sz="0" w:space="0" w:color="auto"/>
        <w:bottom w:val="none" w:sz="0" w:space="0" w:color="auto"/>
        <w:right w:val="none" w:sz="0" w:space="0" w:color="auto"/>
      </w:divBdr>
    </w:div>
    <w:div w:id="561058496">
      <w:bodyDiv w:val="1"/>
      <w:marLeft w:val="0"/>
      <w:marRight w:val="0"/>
      <w:marTop w:val="0"/>
      <w:marBottom w:val="0"/>
      <w:divBdr>
        <w:top w:val="none" w:sz="0" w:space="0" w:color="auto"/>
        <w:left w:val="none" w:sz="0" w:space="0" w:color="auto"/>
        <w:bottom w:val="none" w:sz="0" w:space="0" w:color="auto"/>
        <w:right w:val="none" w:sz="0" w:space="0" w:color="auto"/>
      </w:divBdr>
    </w:div>
    <w:div w:id="1530101147">
      <w:bodyDiv w:val="1"/>
      <w:marLeft w:val="0"/>
      <w:marRight w:val="0"/>
      <w:marTop w:val="0"/>
      <w:marBottom w:val="0"/>
      <w:divBdr>
        <w:top w:val="none" w:sz="0" w:space="0" w:color="auto"/>
        <w:left w:val="none" w:sz="0" w:space="0" w:color="auto"/>
        <w:bottom w:val="none" w:sz="0" w:space="0" w:color="auto"/>
        <w:right w:val="none" w:sz="0" w:space="0" w:color="auto"/>
      </w:divBdr>
    </w:div>
    <w:div w:id="20880717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 /><Relationship Id="rId117" Type="http://schemas.openxmlformats.org/officeDocument/2006/relationships/hyperlink" Target="http://english.eximbank.gov.cn/News/WhitePOGF/201807/P020180718416279996548.pdf" TargetMode="External" /><Relationship Id="rId21" Type="http://schemas.openxmlformats.org/officeDocument/2006/relationships/image" Target="media/image13.png" /><Relationship Id="rId42" Type="http://schemas.openxmlformats.org/officeDocument/2006/relationships/image" Target="media/image30.png" /><Relationship Id="rId47" Type="http://schemas.openxmlformats.org/officeDocument/2006/relationships/image" Target="media/image34.png" /><Relationship Id="rId63" Type="http://schemas.openxmlformats.org/officeDocument/2006/relationships/oleObject" Target="embeddings/Microsoft_Excel_97-2003_Worksheet2.xls" /><Relationship Id="rId68" Type="http://schemas.openxmlformats.org/officeDocument/2006/relationships/chart" Target="charts/chart6.xml" /><Relationship Id="rId84" Type="http://schemas.openxmlformats.org/officeDocument/2006/relationships/chart" Target="charts/chart11.xml" /><Relationship Id="rId89" Type="http://schemas.openxmlformats.org/officeDocument/2006/relationships/image" Target="media/image62.png" /><Relationship Id="rId112" Type="http://schemas.openxmlformats.org/officeDocument/2006/relationships/image" Target="media/image81.jpeg" /><Relationship Id="rId133" Type="http://schemas.openxmlformats.org/officeDocument/2006/relationships/hyperlink" Target="http://www.gov.cn/gzdt/2012-03/19/content_2094524.htm" TargetMode="External" /><Relationship Id="rId138" Type="http://schemas.openxmlformats.org/officeDocument/2006/relationships/hyperlink" Target="https://moscow.icbc.com.cn/ICBC/&#28023;&#22806;&#20998;&#34892;/&#33707;&#26031;&#31185;&#32593;&#31449;/ru/&#20449;&#24687;&#25259;&#38706;2/&#25253;&#34920;&#25259;&#38706;/" TargetMode="External" /><Relationship Id="rId154" Type="http://schemas.openxmlformats.org/officeDocument/2006/relationships/image" Target="media/image92.png" /><Relationship Id="rId159" Type="http://schemas.openxmlformats.org/officeDocument/2006/relationships/image" Target="media/image97.png" /><Relationship Id="rId170" Type="http://schemas.openxmlformats.org/officeDocument/2006/relationships/header" Target="header1.xml" /><Relationship Id="rId16" Type="http://schemas.openxmlformats.org/officeDocument/2006/relationships/image" Target="media/image8.png" /><Relationship Id="rId107" Type="http://schemas.openxmlformats.org/officeDocument/2006/relationships/image" Target="media/image79.png" /><Relationship Id="rId11" Type="http://schemas.openxmlformats.org/officeDocument/2006/relationships/image" Target="media/image3.png" /><Relationship Id="rId32" Type="http://schemas.openxmlformats.org/officeDocument/2006/relationships/image" Target="media/image24.png" /><Relationship Id="rId37" Type="http://schemas.openxmlformats.org/officeDocument/2006/relationships/chart" Target="charts/chart1.xml" /><Relationship Id="rId53" Type="http://schemas.openxmlformats.org/officeDocument/2006/relationships/image" Target="media/image40.png" /><Relationship Id="rId58" Type="http://schemas.openxmlformats.org/officeDocument/2006/relationships/image" Target="media/image44.png" /><Relationship Id="rId74" Type="http://schemas.openxmlformats.org/officeDocument/2006/relationships/image" Target="media/image53.wmf" /><Relationship Id="rId79" Type="http://schemas.openxmlformats.org/officeDocument/2006/relationships/chart" Target="charts/chart9.xml" /><Relationship Id="rId102" Type="http://schemas.openxmlformats.org/officeDocument/2006/relationships/image" Target="media/image74.png" /><Relationship Id="rId123" Type="http://schemas.openxmlformats.org/officeDocument/2006/relationships/hyperlink" Target="https://pdf.dfcfw.com/pdf/H2_AN201807301171528996_1.pdf?1647693902000.pdf" TargetMode="External" /><Relationship Id="rId128" Type="http://schemas.openxmlformats.org/officeDocument/2006/relationships/hyperlink" Target="http://www.adbc.com.cn/pdfToJpg/2018shzrbg/2018shzrbg/mobile/index.html" TargetMode="External" /><Relationship Id="rId144" Type="http://schemas.openxmlformats.org/officeDocument/2006/relationships/image" Target="media/image82.png" /><Relationship Id="rId149" Type="http://schemas.openxmlformats.org/officeDocument/2006/relationships/image" Target="media/image87.png" /><Relationship Id="rId5" Type="http://schemas.openxmlformats.org/officeDocument/2006/relationships/webSettings" Target="webSettings.xml" /><Relationship Id="rId90" Type="http://schemas.openxmlformats.org/officeDocument/2006/relationships/image" Target="media/image63.png" /><Relationship Id="rId95" Type="http://schemas.openxmlformats.org/officeDocument/2006/relationships/image" Target="media/image68.png" /><Relationship Id="rId160" Type="http://schemas.openxmlformats.org/officeDocument/2006/relationships/image" Target="media/image98.png" /><Relationship Id="rId165" Type="http://schemas.openxmlformats.org/officeDocument/2006/relationships/image" Target="media/image103.png" /><Relationship Id="rId22" Type="http://schemas.openxmlformats.org/officeDocument/2006/relationships/image" Target="media/image14.png" /><Relationship Id="rId27" Type="http://schemas.openxmlformats.org/officeDocument/2006/relationships/image" Target="media/image19.png" /><Relationship Id="rId43" Type="http://schemas.openxmlformats.org/officeDocument/2006/relationships/image" Target="media/image31.png" /><Relationship Id="rId48" Type="http://schemas.openxmlformats.org/officeDocument/2006/relationships/image" Target="media/image35.png" /><Relationship Id="rId64" Type="http://schemas.openxmlformats.org/officeDocument/2006/relationships/image" Target="media/image47.png" /><Relationship Id="rId69" Type="http://schemas.openxmlformats.org/officeDocument/2006/relationships/image" Target="media/image48.jpeg" /><Relationship Id="rId113" Type="http://schemas.openxmlformats.org/officeDocument/2006/relationships/hyperlink" Target="http://www.mirkin.ru/_docs/metodika3.pdf" TargetMode="External" /><Relationship Id="rId118" Type="http://schemas.openxmlformats.org/officeDocument/2006/relationships/hyperlink" Target="http://www.eximbank.gov.cn/info/WhitePOGF/202001/P020200115377992690034.pdf" TargetMode="External" /><Relationship Id="rId134" Type="http://schemas.openxmlformats.org/officeDocument/2006/relationships/hyperlink" Target="http://www.cbirc.gov.cn/cn/view/pages/ItemDetail.html?docId=171047&amp;itemId=954&amp;generaltype=0" TargetMode="External" /><Relationship Id="rId139" Type="http://schemas.openxmlformats.org/officeDocument/2006/relationships/hyperlink" Target="https://www.boc.ru/about_bank/financial_performance/" TargetMode="External" /><Relationship Id="rId80" Type="http://schemas.openxmlformats.org/officeDocument/2006/relationships/chart" Target="charts/chart10.xml" /><Relationship Id="rId85" Type="http://schemas.openxmlformats.org/officeDocument/2006/relationships/image" Target="media/image59.png" /><Relationship Id="rId150" Type="http://schemas.openxmlformats.org/officeDocument/2006/relationships/image" Target="media/image88.png" /><Relationship Id="rId155" Type="http://schemas.openxmlformats.org/officeDocument/2006/relationships/image" Target="media/image93.png" /><Relationship Id="rId171" Type="http://schemas.openxmlformats.org/officeDocument/2006/relationships/fontTable" Target="fontTable.xml" /><Relationship Id="rId12" Type="http://schemas.openxmlformats.org/officeDocument/2006/relationships/image" Target="media/image4.jpeg" /><Relationship Id="rId17" Type="http://schemas.openxmlformats.org/officeDocument/2006/relationships/image" Target="media/image9.png" /><Relationship Id="rId33" Type="http://schemas.openxmlformats.org/officeDocument/2006/relationships/image" Target="media/image25.png" /><Relationship Id="rId38" Type="http://schemas.openxmlformats.org/officeDocument/2006/relationships/chart" Target="charts/chart2.xml" /><Relationship Id="rId59" Type="http://schemas.openxmlformats.org/officeDocument/2006/relationships/oleObject" Target="embeddings/Microsoft_Excel_97-2003_Worksheet.xls" /><Relationship Id="rId103" Type="http://schemas.openxmlformats.org/officeDocument/2006/relationships/image" Target="media/image75.png" /><Relationship Id="rId108" Type="http://schemas.openxmlformats.org/officeDocument/2006/relationships/image" Target="media/image80.png" /><Relationship Id="rId124" Type="http://schemas.openxmlformats.org/officeDocument/2006/relationships/hyperlink" Target="http://www.cbrc.gov.cn/chinese/home/docViewPage/110007.html" TargetMode="External" /><Relationship Id="rId129" Type="http://schemas.openxmlformats.org/officeDocument/2006/relationships/hyperlink" Target="http://www.cdb.com.cn/bgxz/kcxfzbg1/kcx2019/" TargetMode="External" /><Relationship Id="rId54" Type="http://schemas.openxmlformats.org/officeDocument/2006/relationships/image" Target="media/image41.png" /><Relationship Id="rId70" Type="http://schemas.openxmlformats.org/officeDocument/2006/relationships/image" Target="media/image49.wmf" /><Relationship Id="rId75" Type="http://schemas.openxmlformats.org/officeDocument/2006/relationships/image" Target="media/image54.wmf" /><Relationship Id="rId91" Type="http://schemas.openxmlformats.org/officeDocument/2006/relationships/image" Target="media/image64.png" /><Relationship Id="rId96" Type="http://schemas.openxmlformats.org/officeDocument/2006/relationships/oleObject" Target="embeddings/Microsoft_Excel_97-2003_Worksheet5.xls" /><Relationship Id="rId140" Type="http://schemas.openxmlformats.org/officeDocument/2006/relationships/hyperlink" Target="http://ru.ccb.com/russia/lng/index.html" TargetMode="External" /><Relationship Id="rId145" Type="http://schemas.openxmlformats.org/officeDocument/2006/relationships/image" Target="media/image83.png" /><Relationship Id="rId161" Type="http://schemas.openxmlformats.org/officeDocument/2006/relationships/image" Target="media/image99.png" /><Relationship Id="rId166" Type="http://schemas.openxmlformats.org/officeDocument/2006/relationships/image" Target="media/image104.png"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image" Target="media/image7.png" /><Relationship Id="rId23" Type="http://schemas.openxmlformats.org/officeDocument/2006/relationships/image" Target="media/image15.png" /><Relationship Id="rId28" Type="http://schemas.openxmlformats.org/officeDocument/2006/relationships/image" Target="media/image20.png" /><Relationship Id="rId36" Type="http://schemas.openxmlformats.org/officeDocument/2006/relationships/image" Target="media/image28.png" /><Relationship Id="rId49" Type="http://schemas.openxmlformats.org/officeDocument/2006/relationships/image" Target="media/image36.png" /><Relationship Id="rId57" Type="http://schemas.openxmlformats.org/officeDocument/2006/relationships/chart" Target="charts/chart3.xml" /><Relationship Id="rId106" Type="http://schemas.openxmlformats.org/officeDocument/2006/relationships/image" Target="media/image78.png" /><Relationship Id="rId114" Type="http://schemas.openxmlformats.org/officeDocument/2006/relationships/hyperlink" Target="https://gufo.me/dict/bes" TargetMode="External" /><Relationship Id="rId119" Type="http://schemas.openxmlformats.org/officeDocument/2006/relationships/hyperlink" Target="https://pdf.dfcfw.com/pdf/H2_AN201305030003228792_1.pdf?1646486692000.pdf" TargetMode="External" /><Relationship Id="rId127" Type="http://schemas.openxmlformats.org/officeDocument/2006/relationships/hyperlink" Target="http://www.eximbank.gov.cn/aboutExim/annals/2020/" TargetMode="External" /><Relationship Id="rId10" Type="http://schemas.openxmlformats.org/officeDocument/2006/relationships/image" Target="media/image2.jpeg" /><Relationship Id="rId31" Type="http://schemas.openxmlformats.org/officeDocument/2006/relationships/image" Target="media/image23.png" /><Relationship Id="rId44" Type="http://schemas.openxmlformats.org/officeDocument/2006/relationships/image" Target="media/image32.jpeg" /><Relationship Id="rId52" Type="http://schemas.openxmlformats.org/officeDocument/2006/relationships/image" Target="media/image39.png" /><Relationship Id="rId60" Type="http://schemas.openxmlformats.org/officeDocument/2006/relationships/image" Target="media/image45.png" /><Relationship Id="rId65" Type="http://schemas.openxmlformats.org/officeDocument/2006/relationships/oleObject" Target="embeddings/Microsoft_Excel_97-2003_Worksheet3.xls" /><Relationship Id="rId73" Type="http://schemas.openxmlformats.org/officeDocument/2006/relationships/image" Target="media/image52.wmf" /><Relationship Id="rId78" Type="http://schemas.openxmlformats.org/officeDocument/2006/relationships/chart" Target="charts/chart8.xml" /><Relationship Id="rId81" Type="http://schemas.openxmlformats.org/officeDocument/2006/relationships/image" Target="media/image56.png" /><Relationship Id="rId86" Type="http://schemas.openxmlformats.org/officeDocument/2006/relationships/image" Target="media/image60.png" /><Relationship Id="rId94" Type="http://schemas.openxmlformats.org/officeDocument/2006/relationships/image" Target="media/image67.png" /><Relationship Id="rId99" Type="http://schemas.openxmlformats.org/officeDocument/2006/relationships/image" Target="media/image71.png" /><Relationship Id="rId101" Type="http://schemas.openxmlformats.org/officeDocument/2006/relationships/image" Target="media/image73.png" /><Relationship Id="rId122" Type="http://schemas.openxmlformats.org/officeDocument/2006/relationships/hyperlink" Target="https://pdf.dfcfw.com/pdf/H2_AN201704120497526207_1.pdf?1647100895000.pdf" TargetMode="External" /><Relationship Id="rId130" Type="http://schemas.openxmlformats.org/officeDocument/2006/relationships/hyperlink" Target="http://www.stats.gov.cn/tjsj/ndsj/" TargetMode="External" /><Relationship Id="rId135" Type="http://schemas.openxmlformats.org/officeDocument/2006/relationships/hyperlink" Target="http://yzs.mofcom.gov.cn/article/date/202103/20210303041594.shtml" TargetMode="External" /><Relationship Id="rId143" Type="http://schemas.openxmlformats.org/officeDocument/2006/relationships/hyperlink" Target="https://www.oxfordeconomics.com/data-sets" TargetMode="External" /><Relationship Id="rId148" Type="http://schemas.openxmlformats.org/officeDocument/2006/relationships/image" Target="media/image86.png" /><Relationship Id="rId151" Type="http://schemas.openxmlformats.org/officeDocument/2006/relationships/image" Target="media/image89.png" /><Relationship Id="rId156" Type="http://schemas.openxmlformats.org/officeDocument/2006/relationships/image" Target="media/image94.png" /><Relationship Id="rId164" Type="http://schemas.openxmlformats.org/officeDocument/2006/relationships/image" Target="media/image102.png" /><Relationship Id="rId169" Type="http://schemas.openxmlformats.org/officeDocument/2006/relationships/image" Target="media/image106.png" /><Relationship Id="rId4" Type="http://schemas.openxmlformats.org/officeDocument/2006/relationships/settings" Target="settings.xml" /><Relationship Id="rId9" Type="http://schemas.openxmlformats.org/officeDocument/2006/relationships/hyperlink" Target="https://ru.wikipedia.org/wiki/&#1057;&#1090;&#1088;&#1091;&#1082;&#1090;&#1091;&#1088;&#1072;_(&#1092;&#1080;&#1083;&#1086;&#1089;&#1086;&#1092;&#1080;&#1103;)" TargetMode="External" /><Relationship Id="rId172" Type="http://schemas.openxmlformats.org/officeDocument/2006/relationships/theme" Target="theme/theme1.xml" /><Relationship Id="rId13" Type="http://schemas.openxmlformats.org/officeDocument/2006/relationships/image" Target="media/image5.png" /><Relationship Id="rId18" Type="http://schemas.openxmlformats.org/officeDocument/2006/relationships/image" Target="media/image10.png" /><Relationship Id="rId39" Type="http://schemas.openxmlformats.org/officeDocument/2006/relationships/image" Target="media/image29.jpeg" /><Relationship Id="rId109" Type="http://schemas.openxmlformats.org/officeDocument/2006/relationships/chart" Target="charts/chart12.xml" /><Relationship Id="rId34" Type="http://schemas.openxmlformats.org/officeDocument/2006/relationships/image" Target="media/image26.png" /><Relationship Id="rId50" Type="http://schemas.openxmlformats.org/officeDocument/2006/relationships/image" Target="media/image37.png" /><Relationship Id="rId55" Type="http://schemas.openxmlformats.org/officeDocument/2006/relationships/image" Target="media/image42.jpeg" /><Relationship Id="rId76" Type="http://schemas.openxmlformats.org/officeDocument/2006/relationships/image" Target="media/image55.wmf" /><Relationship Id="rId97" Type="http://schemas.openxmlformats.org/officeDocument/2006/relationships/image" Target="media/image69.png" /><Relationship Id="rId104" Type="http://schemas.openxmlformats.org/officeDocument/2006/relationships/image" Target="media/image76.png" /><Relationship Id="rId120" Type="http://schemas.openxmlformats.org/officeDocument/2006/relationships/hyperlink" Target="https://pdf.dfcfw.com/pdf/H2_AN201710120947054345_1.pdf?1647110709000.pdf" TargetMode="External" /><Relationship Id="rId125" Type="http://schemas.openxmlformats.org/officeDocument/2006/relationships/hyperlink" Target="http://www.adbc.com.cn/en/n1064/n1071/index.html" TargetMode="External" /><Relationship Id="rId141" Type="http://schemas.openxmlformats.org/officeDocument/2006/relationships/hyperlink" Target="http://www.pbc.gov.cn/diaochatongjisi/116219/116225/11871/index1.html" TargetMode="External" /><Relationship Id="rId146" Type="http://schemas.openxmlformats.org/officeDocument/2006/relationships/image" Target="media/image84.png" /><Relationship Id="rId167" Type="http://schemas.openxmlformats.org/officeDocument/2006/relationships/image" Target="media/image105.png" /><Relationship Id="rId7" Type="http://schemas.openxmlformats.org/officeDocument/2006/relationships/endnotes" Target="endnotes.xml" /><Relationship Id="rId71" Type="http://schemas.openxmlformats.org/officeDocument/2006/relationships/image" Target="media/image50.jpeg" /><Relationship Id="rId92" Type="http://schemas.openxmlformats.org/officeDocument/2006/relationships/image" Target="media/image65.png" /><Relationship Id="rId162" Type="http://schemas.openxmlformats.org/officeDocument/2006/relationships/image" Target="media/image100.png" /><Relationship Id="rId2" Type="http://schemas.openxmlformats.org/officeDocument/2006/relationships/numbering" Target="numbering.xml" /><Relationship Id="rId29" Type="http://schemas.openxmlformats.org/officeDocument/2006/relationships/image" Target="media/image21.png" /><Relationship Id="rId24" Type="http://schemas.openxmlformats.org/officeDocument/2006/relationships/image" Target="media/image16.png" /><Relationship Id="rId40" Type="http://schemas.openxmlformats.org/officeDocument/2006/relationships/hyperlink" Target="http://translate.googleusercontent.com/translate_c?hl=ru&amp;sl=en&amp;u=http://en.wikipedia.org/wiki/Investment&amp;prev=/search%3Fq%3Dinsurance%2Bcompanies%2Bassets%2Bunder%2Bmanagement%26hl%3Dru%26newwindow%3D1%26prmd%3Divns&amp;rurl=translate.google.ru&amp;usg=ALkJrhj1XX3WGPyMYoye8LifUnQ65Kfkjg" TargetMode="External" /><Relationship Id="rId45" Type="http://schemas.openxmlformats.org/officeDocument/2006/relationships/image" Target="media/image33.png" /><Relationship Id="rId66" Type="http://schemas.openxmlformats.org/officeDocument/2006/relationships/chart" Target="charts/chart4.xml" /><Relationship Id="rId87" Type="http://schemas.openxmlformats.org/officeDocument/2006/relationships/image" Target="media/image61.png" /><Relationship Id="rId110" Type="http://schemas.openxmlformats.org/officeDocument/2006/relationships/chart" Target="charts/chart13.xml" /><Relationship Id="rId115" Type="http://schemas.openxmlformats.org/officeDocument/2006/relationships/hyperlink" Target="https://gufo.me/dict/dal/&#1089;&#1090;&#1088;&#1091;&#1082;&#1090;&#1091;&#1088;&#1072;" TargetMode="External" /><Relationship Id="rId131" Type="http://schemas.openxmlformats.org/officeDocument/2006/relationships/hyperlink" Target="http://www.stats.gov.cn/ztjc/zthd/sjtjr/d10j/70cj/201909/t20190906_1696331.html" TargetMode="External" /><Relationship Id="rId136" Type="http://schemas.openxmlformats.org/officeDocument/2006/relationships/hyperlink" Target="http://xyf.mofcom.gov.cn/article/tj/zh/" TargetMode="External" /><Relationship Id="rId157" Type="http://schemas.openxmlformats.org/officeDocument/2006/relationships/image" Target="media/image95.png" /><Relationship Id="rId61" Type="http://schemas.openxmlformats.org/officeDocument/2006/relationships/oleObject" Target="embeddings/Microsoft_Excel_97-2003_Worksheet1.xls" /><Relationship Id="rId82" Type="http://schemas.openxmlformats.org/officeDocument/2006/relationships/image" Target="media/image57.wmf" /><Relationship Id="rId152" Type="http://schemas.openxmlformats.org/officeDocument/2006/relationships/image" Target="media/image90.png" /><Relationship Id="rId19" Type="http://schemas.openxmlformats.org/officeDocument/2006/relationships/image" Target="media/image11.png" /><Relationship Id="rId14" Type="http://schemas.openxmlformats.org/officeDocument/2006/relationships/image" Target="media/image6.png" /><Relationship Id="rId30" Type="http://schemas.openxmlformats.org/officeDocument/2006/relationships/image" Target="media/image22.png" /><Relationship Id="rId35" Type="http://schemas.openxmlformats.org/officeDocument/2006/relationships/image" Target="media/image27.png" /><Relationship Id="rId56" Type="http://schemas.openxmlformats.org/officeDocument/2006/relationships/image" Target="media/image43.png" /><Relationship Id="rId77" Type="http://schemas.openxmlformats.org/officeDocument/2006/relationships/chart" Target="charts/chart7.xml" /><Relationship Id="rId100" Type="http://schemas.openxmlformats.org/officeDocument/2006/relationships/image" Target="media/image72.png" /><Relationship Id="rId105" Type="http://schemas.openxmlformats.org/officeDocument/2006/relationships/image" Target="media/image77.png" /><Relationship Id="rId126" Type="http://schemas.openxmlformats.org/officeDocument/2006/relationships/hyperlink" Target="http://www.cdb.com.cn/bgxz/ndbg/ndbg2021/" TargetMode="External" /><Relationship Id="rId147" Type="http://schemas.openxmlformats.org/officeDocument/2006/relationships/image" Target="media/image85.png" /><Relationship Id="rId168" Type="http://schemas.openxmlformats.org/officeDocument/2006/relationships/oleObject" Target="embeddings/Microsoft_Excel_97-2003_Worksheet6.xls" /><Relationship Id="rId8" Type="http://schemas.openxmlformats.org/officeDocument/2006/relationships/image" Target="media/image1.jpeg" /><Relationship Id="rId51" Type="http://schemas.openxmlformats.org/officeDocument/2006/relationships/image" Target="media/image38.png" /><Relationship Id="rId72" Type="http://schemas.openxmlformats.org/officeDocument/2006/relationships/image" Target="media/image51.wmf" /><Relationship Id="rId93" Type="http://schemas.openxmlformats.org/officeDocument/2006/relationships/image" Target="media/image66.png" /><Relationship Id="rId98" Type="http://schemas.openxmlformats.org/officeDocument/2006/relationships/image" Target="media/image70.png" /><Relationship Id="rId121" Type="http://schemas.openxmlformats.org/officeDocument/2006/relationships/hyperlink" Target="https://pdf.dfcfw.com/pdf/H2_AN201703300452013354_1.pdf" TargetMode="External" /><Relationship Id="rId142" Type="http://schemas.openxmlformats.org/officeDocument/2006/relationships/hyperlink" Target="https://bankunderground.co.uk/2017/03/02/low-for-long-whatdoes-this-mean-for-defined-benefit-pensions-in-the-uk/" TargetMode="External" /><Relationship Id="rId163" Type="http://schemas.openxmlformats.org/officeDocument/2006/relationships/image" Target="media/image101.png" /><Relationship Id="rId3" Type="http://schemas.openxmlformats.org/officeDocument/2006/relationships/styles" Target="styles.xml" /><Relationship Id="rId25" Type="http://schemas.openxmlformats.org/officeDocument/2006/relationships/image" Target="media/image17.png" /><Relationship Id="rId46" Type="http://schemas.openxmlformats.org/officeDocument/2006/relationships/hyperlink" Target="http://www.nbim.no/en/" TargetMode="External" /><Relationship Id="rId67" Type="http://schemas.openxmlformats.org/officeDocument/2006/relationships/chart" Target="charts/chart5.xml" /><Relationship Id="rId116" Type="http://schemas.openxmlformats.org/officeDocument/2006/relationships/hyperlink" Target="http://www.gov.cn/xinwen/2021-01/10/content_5578615.htm" TargetMode="External" /><Relationship Id="rId137" Type="http://schemas.openxmlformats.org/officeDocument/2006/relationships/hyperlink" Target="http://www.ru.abchina.com/ru/default.html" TargetMode="External" /><Relationship Id="rId158" Type="http://schemas.openxmlformats.org/officeDocument/2006/relationships/image" Target="media/image96.png" /><Relationship Id="rId20" Type="http://schemas.openxmlformats.org/officeDocument/2006/relationships/image" Target="media/image12.png" /><Relationship Id="rId41" Type="http://schemas.openxmlformats.org/officeDocument/2006/relationships/hyperlink" Target="http://translate.googleusercontent.com/translate_c?hl=ru&amp;sl=en&amp;u=http://en.wikipedia.org/wiki/Dollar&amp;prev=/search%3Fq%3Dinsurance%2Bcompanies%2Bassets%2Bunder%2Bmanagement%26hl%3Dru%26newwindow%3D1%26prmd%3Divns&amp;rurl=translate.google.ru&amp;usg=ALkJrhjEsws0hyRGJWDqdRzg_xTWWwhaug" TargetMode="External" /><Relationship Id="rId62" Type="http://schemas.openxmlformats.org/officeDocument/2006/relationships/image" Target="media/image46.png" /><Relationship Id="rId83" Type="http://schemas.openxmlformats.org/officeDocument/2006/relationships/image" Target="media/image58.wmf" /><Relationship Id="rId88" Type="http://schemas.openxmlformats.org/officeDocument/2006/relationships/oleObject" Target="embeddings/Microsoft_Excel_97-2003_Worksheet4.xls" /><Relationship Id="rId111" Type="http://schemas.openxmlformats.org/officeDocument/2006/relationships/chart" Target="charts/chart14.xml" /><Relationship Id="rId132" Type="http://schemas.openxmlformats.org/officeDocument/2006/relationships/hyperlink" Target="http://www.pbc.gov.cn/jinrongwendingju/146766/146772/146776/index.html" TargetMode="External" /><Relationship Id="rId153" Type="http://schemas.openxmlformats.org/officeDocument/2006/relationships/image" Target="media/image91.png" /></Relationships>
</file>

<file path=word/_rels/footnotes.xml.rels><?xml version="1.0" encoding="UTF-8" standalone="yes"?>
<Relationships xmlns="http://schemas.openxmlformats.org/package/2006/relationships"><Relationship Id="rId8" Type="http://schemas.openxmlformats.org/officeDocument/2006/relationships/hyperlink" Target="https://ru.wikipedia.org/wiki/&#1040;&#1085;&#1075;&#1083;&#1080;&#1081;&#1089;&#1082;&#1080;&#1081;_&#1103;&#1079;&#1099;&#1082;" TargetMode="External" /><Relationship Id="rId13" Type="http://schemas.openxmlformats.org/officeDocument/2006/relationships/hyperlink" Target="https://ru.wikipedia.org/wiki/&#1057;&#1090;&#1072;&#1074;&#1082;&#1072;_&#1087;&#1088;&#1086;&#1094;&#1077;&#1085;&#1090;&#1072;" TargetMode="External" /><Relationship Id="rId3" Type="http://schemas.openxmlformats.org/officeDocument/2006/relationships/hyperlink" Target="https://ru.wikipedia.org/wiki/&#1056;&#1072;&#1089;&#1087;&#1088;&#1077;&#1076;&#1077;&#1083;&#1105;&#1085;&#1085;&#1099;&#1077;_&#1074;&#1099;&#1095;&#1080;&#1089;&#1083;&#1077;&#1085;&#1080;&#1103;" TargetMode="External" /><Relationship Id="rId7" Type="http://schemas.openxmlformats.org/officeDocument/2006/relationships/hyperlink" Target="https://ru.wikipedia.org/wiki/&#1040;&#1085;&#1075;&#1083;&#1080;&#1081;&#1089;&#1082;&#1080;&#1081;_&#1103;&#1079;&#1099;&#1082;" TargetMode="External" /><Relationship Id="rId12" Type="http://schemas.openxmlformats.org/officeDocument/2006/relationships/hyperlink" Target="https://en.wikipedia.org/wiki/Business_reporting" TargetMode="External" /><Relationship Id="rId2" Type="http://schemas.openxmlformats.org/officeDocument/2006/relationships/hyperlink" Target="https://ru.wikipedia.org/wiki/&#1069;&#1074;&#1088;&#1080;&#1089;&#1090;&#1080;&#1082;&#1072;" TargetMode="External" /><Relationship Id="rId1" Type="http://schemas.openxmlformats.org/officeDocument/2006/relationships/hyperlink" Target="https://cyberleninka.ru/journal/n/uchenye-zapiski-tambovskogo-otdeleniya-rosmu" TargetMode="External" /><Relationship Id="rId6" Type="http://schemas.openxmlformats.org/officeDocument/2006/relationships/hyperlink" Target="https://ru.wikipedia.org/w/index.php?title=&#1044;&#1086;&#1089;&#1090;&#1091;&#1087;&#1085;&#1086;&#1089;&#1090;&#1100;_(&#1080;&#1085;&#1092;&#1086;&#1088;&#1084;&#1072;&#1090;&#1080;&#1082;&#1072;)&amp;action=edit&amp;redlink=1" TargetMode="External" /><Relationship Id="rId11" Type="http://schemas.openxmlformats.org/officeDocument/2006/relationships/hyperlink" Target="https://ru.wikipedia.org/wiki/&#1057;&#1077;&#1084;&#1072;&#1085;&#1090;&#1080;&#1082;&#1072;_(&#1087;&#1088;&#1086;&#1075;&#1088;&#1072;&#1084;&#1084;&#1080;&#1088;&#1086;&#1074;&#1072;&#1085;&#1080;&#1077;)" TargetMode="External" /><Relationship Id="rId5" Type="http://schemas.openxmlformats.org/officeDocument/2006/relationships/hyperlink" Target="https://ru.wikipedia.org/wiki/&#1040;&#1085;&#1075;&#1083;&#1080;&#1081;&#1089;&#1082;&#1080;&#1081;_&#1103;&#1079;&#1099;&#1082;" TargetMode="External" /><Relationship Id="rId10" Type="http://schemas.openxmlformats.org/officeDocument/2006/relationships/hyperlink" Target="https://ru.wikipedia.org/wiki/&#1054;&#1090;&#1082;&#1088;&#1099;&#1090;&#1099;&#1081;_&#1089;&#1090;&#1072;&#1085;&#1076;&#1072;&#1088;&#1090;" TargetMode="External" /><Relationship Id="rId4" Type="http://schemas.openxmlformats.org/officeDocument/2006/relationships/hyperlink" Target="https://ru.wikipedia.org/wiki/&#1057;&#1086;&#1075;&#1083;&#1072;&#1089;&#1086;&#1074;&#1072;&#1085;&#1085;&#1086;&#1089;&#1090;&#1100;_&#1076;&#1072;&#1085;&#1085;&#1099;&#1093;" TargetMode="External" /><Relationship Id="rId9" Type="http://schemas.openxmlformats.org/officeDocument/2006/relationships/hyperlink" Target="https://ru.wikipedia.org/wiki/&#1040;&#1085;&#1075;&#1083;&#1080;&#1081;&#1089;&#1082;&#1080;&#1081;_&#1103;&#1079;&#1099;&#1082;" TargetMode="External" /></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 /><Relationship Id="rId2" Type="http://schemas.microsoft.com/office/2011/relationships/chartColorStyle" Target="colors1.xml" /><Relationship Id="rId1" Type="http://schemas.microsoft.com/office/2011/relationships/chartStyle" Target="style1.xml" /><Relationship Id="rId4" Type="http://schemas.openxmlformats.org/officeDocument/2006/relationships/oleObject" Target="file:///F:\&#1044;&#1086;&#1082;&#1090;&#1086;&#1088;\&#1050;&#1080;&#1090;&#1072;&#1081;\stocksearch.xlsx" TargetMode="External" /></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 /><Relationship Id="rId2" Type="http://schemas.microsoft.com/office/2011/relationships/chartColorStyle" Target="colors10.xml" /><Relationship Id="rId1" Type="http://schemas.microsoft.com/office/2011/relationships/chartStyle" Target="style10.xml" /><Relationship Id="rId4" Type="http://schemas.openxmlformats.org/officeDocument/2006/relationships/oleObject" Target="file:///C:\Users\AYUMihajlov\Downloads\stocksearch.xlsx" TargetMode="External" /></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 /><Relationship Id="rId2" Type="http://schemas.microsoft.com/office/2011/relationships/chartColorStyle" Target="colors11.xml" /><Relationship Id="rId1" Type="http://schemas.microsoft.com/office/2011/relationships/chartStyle" Target="style11.xml" /><Relationship Id="rId4" Type="http://schemas.openxmlformats.org/officeDocument/2006/relationships/oleObject" Target="file:///C:\Users\AYUMihajlov\Downloads\stocksearch.xlsx" TargetMode="External" /></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 /><Relationship Id="rId2" Type="http://schemas.microsoft.com/office/2011/relationships/chartColorStyle" Target="colors12.xml" /><Relationship Id="rId1" Type="http://schemas.microsoft.com/office/2011/relationships/chartStyle" Target="style12.xml" /><Relationship Id="rId4" Type="http://schemas.openxmlformats.org/officeDocument/2006/relationships/oleObject" Target="file:///C:\Users\AYUMihajlov\Downloads\stocksearch.xlsx" TargetMode="External" /></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 /><Relationship Id="rId2" Type="http://schemas.microsoft.com/office/2011/relationships/chartColorStyle" Target="colors13.xml" /><Relationship Id="rId1" Type="http://schemas.microsoft.com/office/2011/relationships/chartStyle" Target="style13.xml" /><Relationship Id="rId4" Type="http://schemas.openxmlformats.org/officeDocument/2006/relationships/oleObject" Target="file:///C:\Users\AYUMihajlov\Downloads\stocksearch.xlsx" TargetMode="External" /></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 /><Relationship Id="rId2" Type="http://schemas.microsoft.com/office/2011/relationships/chartColorStyle" Target="colors14.xml" /><Relationship Id="rId1" Type="http://schemas.microsoft.com/office/2011/relationships/chartStyle" Target="style14.xml" /><Relationship Id="rId4" Type="http://schemas.openxmlformats.org/officeDocument/2006/relationships/oleObject" Target="file:///C:\Users\AYUMihajlov\Downloads\stocksearch.xlsx" TargetMode="External" /></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 /><Relationship Id="rId2" Type="http://schemas.microsoft.com/office/2011/relationships/chartColorStyle" Target="colors2.xml" /><Relationship Id="rId1" Type="http://schemas.microsoft.com/office/2011/relationships/chartStyle" Target="style2.xml" /><Relationship Id="rId4" Type="http://schemas.openxmlformats.org/officeDocument/2006/relationships/oleObject" Target="file:///F:\&#1044;&#1086;&#1082;&#1090;&#1086;&#1088;\&#1050;&#1080;&#1090;&#1072;&#1081;\stocksearch.xlsx" TargetMode="External" /></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 /><Relationship Id="rId2" Type="http://schemas.microsoft.com/office/2011/relationships/chartColorStyle" Target="colors3.xml" /><Relationship Id="rId1" Type="http://schemas.microsoft.com/office/2011/relationships/chartStyle" Target="style3.xml" /><Relationship Id="rId4" Type="http://schemas.openxmlformats.org/officeDocument/2006/relationships/oleObject" Target="../embeddings/oleObject1.bin" /></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 /><Relationship Id="rId2" Type="http://schemas.microsoft.com/office/2011/relationships/chartColorStyle" Target="colors4.xml" /><Relationship Id="rId1" Type="http://schemas.microsoft.com/office/2011/relationships/chartStyle" Target="style4.xml" /><Relationship Id="rId4" Type="http://schemas.openxmlformats.org/officeDocument/2006/relationships/oleObject" Target="file:///C:\Users\AYUMihajlov\Downloads\stocksearch.xlsx" TargetMode="External" /></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 /><Relationship Id="rId2" Type="http://schemas.microsoft.com/office/2011/relationships/chartColorStyle" Target="colors5.xml" /><Relationship Id="rId1" Type="http://schemas.microsoft.com/office/2011/relationships/chartStyle" Target="style5.xml" /><Relationship Id="rId4" Type="http://schemas.openxmlformats.org/officeDocument/2006/relationships/oleObject" Target="file:///C:\Users\AYUMihajlov\Downloads\stocksearch.xlsx" TargetMode="External" /></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 /><Relationship Id="rId2" Type="http://schemas.microsoft.com/office/2011/relationships/chartColorStyle" Target="colors6.xml" /><Relationship Id="rId1" Type="http://schemas.microsoft.com/office/2011/relationships/chartStyle" Target="style6.xml" /><Relationship Id="rId4" Type="http://schemas.openxmlformats.org/officeDocument/2006/relationships/oleObject" Target="file:///C:\Users\AYUMihajlov\Downloads\stocksearch.xlsx" TargetMode="External" /></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 /><Relationship Id="rId2" Type="http://schemas.microsoft.com/office/2011/relationships/chartColorStyle" Target="colors7.xml" /><Relationship Id="rId1" Type="http://schemas.microsoft.com/office/2011/relationships/chartStyle" Target="style7.xml" /><Relationship Id="rId4" Type="http://schemas.openxmlformats.org/officeDocument/2006/relationships/oleObject" Target="file:///C:\Users\AYUMihajlov\Downloads\stocksearch.xlsx" TargetMode="External" /></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 /><Relationship Id="rId2" Type="http://schemas.microsoft.com/office/2011/relationships/chartColorStyle" Target="colors8.xml" /><Relationship Id="rId1" Type="http://schemas.microsoft.com/office/2011/relationships/chartStyle" Target="style8.xml" /><Relationship Id="rId4" Type="http://schemas.openxmlformats.org/officeDocument/2006/relationships/oleObject" Target="file:///C:\Users\AYUMihajlov\Downloads\stocksearch.xlsx" TargetMode="External" /></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 /><Relationship Id="rId2" Type="http://schemas.microsoft.com/office/2011/relationships/chartColorStyle" Target="colors9.xml" /><Relationship Id="rId1" Type="http://schemas.microsoft.com/office/2011/relationships/chartStyle" Target="style9.xml" /><Relationship Id="rId4" Type="http://schemas.openxmlformats.org/officeDocument/2006/relationships/oleObject" Target="file:///C:\Users\AYUMihajlov\Downloads\stocksearch.xlsx" TargetMode="External"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Рынок!$A$12</c:f>
              <c:strCache>
                <c:ptCount val="1"/>
                <c:pt idx="0">
                  <c:v>ВВП, трлн. юаней</c:v>
                </c:pt>
              </c:strCache>
            </c:strRef>
          </c:tx>
          <c:spPr>
            <a:solidFill>
              <a:schemeClr val="bg2">
                <a:lumMod val="25000"/>
              </a:schemeClr>
            </a:solidFill>
            <a:ln>
              <a:noFill/>
            </a:ln>
            <a:effectLst/>
          </c:spPr>
          <c:invertIfNegative val="0"/>
          <c:cat>
            <c:numRef>
              <c:f>Рынок!$B$1:$P$1</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Рынок!$B$12:$P$12</c:f>
              <c:numCache>
                <c:formatCode>General</c:formatCode>
                <c:ptCount val="15"/>
                <c:pt idx="0">
                  <c:v>30.07</c:v>
                </c:pt>
                <c:pt idx="1">
                  <c:v>34.090000000000003</c:v>
                </c:pt>
                <c:pt idx="2">
                  <c:v>40.15</c:v>
                </c:pt>
                <c:pt idx="3">
                  <c:v>47.31</c:v>
                </c:pt>
                <c:pt idx="4">
                  <c:v>51.93</c:v>
                </c:pt>
                <c:pt idx="5">
                  <c:v>59.52</c:v>
                </c:pt>
                <c:pt idx="6">
                  <c:v>64.400000000000006</c:v>
                </c:pt>
                <c:pt idx="7">
                  <c:v>67.91</c:v>
                </c:pt>
                <c:pt idx="8">
                  <c:v>74.41</c:v>
                </c:pt>
                <c:pt idx="9">
                  <c:v>83.2</c:v>
                </c:pt>
                <c:pt idx="10">
                  <c:v>91.93</c:v>
                </c:pt>
                <c:pt idx="11">
                  <c:v>98.65</c:v>
                </c:pt>
                <c:pt idx="12">
                  <c:v>101.6</c:v>
                </c:pt>
                <c:pt idx="13">
                  <c:v>114.4</c:v>
                </c:pt>
                <c:pt idx="14">
                  <c:v>121.02</c:v>
                </c:pt>
              </c:numCache>
            </c:numRef>
          </c:val>
          <c:extLst>
            <c:ext xmlns:c16="http://schemas.microsoft.com/office/drawing/2014/chart" uri="{C3380CC4-5D6E-409C-BE32-E72D297353CC}">
              <c16:uniqueId val="{00000000-E39C-47BF-BA48-E52FD1132EFD}"/>
            </c:ext>
          </c:extLst>
        </c:ser>
        <c:dLbls>
          <c:showLegendKey val="0"/>
          <c:showVal val="0"/>
          <c:showCatName val="0"/>
          <c:showSerName val="0"/>
          <c:showPercent val="0"/>
          <c:showBubbleSize val="0"/>
        </c:dLbls>
        <c:gapWidth val="219"/>
        <c:overlap val="-27"/>
        <c:axId val="170197839"/>
        <c:axId val="14935999"/>
      </c:barChart>
      <c:catAx>
        <c:axId val="170197839"/>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35999"/>
        <c:crosses val="autoZero"/>
        <c:auto val="1"/>
        <c:lblAlgn val="ctr"/>
        <c:lblOffset val="100"/>
        <c:noMultiLvlLbl val="0"/>
      </c:catAx>
      <c:valAx>
        <c:axId val="149359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1978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Рынок!$A$15</c:f>
              <c:strCache>
                <c:ptCount val="1"/>
                <c:pt idx="0">
                  <c:v>Оборот рынка акций, млрд долл</c:v>
                </c:pt>
              </c:strCache>
            </c:strRef>
          </c:tx>
          <c:spPr>
            <a:solidFill>
              <a:schemeClr val="bg2">
                <a:lumMod val="25000"/>
              </a:schemeClr>
            </a:solidFill>
            <a:ln>
              <a:noFill/>
            </a:ln>
            <a:effectLst/>
          </c:spPr>
          <c:invertIfNegative val="0"/>
          <c:cat>
            <c:numRef>
              <c:f>Рынок!$B$1:$P$1</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Рынок!$B$15:$P$15</c:f>
              <c:numCache>
                <c:formatCode>General</c:formatCode>
                <c:ptCount val="15"/>
                <c:pt idx="0">
                  <c:v>12.89422647328983</c:v>
                </c:pt>
                <c:pt idx="1">
                  <c:v>12.816732034259958</c:v>
                </c:pt>
                <c:pt idx="2">
                  <c:v>11.508988729729589</c:v>
                </c:pt>
                <c:pt idx="3">
                  <c:v>10.342900681793889</c:v>
                </c:pt>
                <c:pt idx="4">
                  <c:v>6.5424651502560449</c:v>
                </c:pt>
                <c:pt idx="5">
                  <c:v>9.4290621496591136</c:v>
                </c:pt>
                <c:pt idx="6">
                  <c:v>9.4918935089891932</c:v>
                </c:pt>
                <c:pt idx="7">
                  <c:v>28.090256310183221</c:v>
                </c:pt>
                <c:pt idx="8">
                  <c:v>11.704854072588097</c:v>
                </c:pt>
                <c:pt idx="9">
                  <c:v>10.344676882444336</c:v>
                </c:pt>
                <c:pt idx="10">
                  <c:v>9.8733214036331152</c:v>
                </c:pt>
                <c:pt idx="11">
                  <c:v>10.555037080152843</c:v>
                </c:pt>
                <c:pt idx="12">
                  <c:v>12.198676868433719</c:v>
                </c:pt>
                <c:pt idx="13">
                  <c:v>16.934895595676991</c:v>
                </c:pt>
                <c:pt idx="14">
                  <c:v>21.012149458416733</c:v>
                </c:pt>
              </c:numCache>
            </c:numRef>
          </c:val>
          <c:extLst>
            <c:ext xmlns:c16="http://schemas.microsoft.com/office/drawing/2014/chart" uri="{C3380CC4-5D6E-409C-BE32-E72D297353CC}">
              <c16:uniqueId val="{00000000-B29B-4936-A214-41B10947AB69}"/>
            </c:ext>
          </c:extLst>
        </c:ser>
        <c:dLbls>
          <c:showLegendKey val="0"/>
          <c:showVal val="0"/>
          <c:showCatName val="0"/>
          <c:showSerName val="0"/>
          <c:showPercent val="0"/>
          <c:showBubbleSize val="0"/>
        </c:dLbls>
        <c:gapWidth val="219"/>
        <c:overlap val="-27"/>
        <c:axId val="170197839"/>
        <c:axId val="14935999"/>
      </c:barChart>
      <c:catAx>
        <c:axId val="170197839"/>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35999"/>
        <c:crosses val="autoZero"/>
        <c:auto val="1"/>
        <c:lblAlgn val="ctr"/>
        <c:lblOffset val="100"/>
        <c:noMultiLvlLbl val="0"/>
      </c:catAx>
      <c:valAx>
        <c:axId val="149359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1978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Рынок!$A$11</c:f>
              <c:strCache>
                <c:ptCount val="1"/>
                <c:pt idx="0">
                  <c:v>Оборот рынка облигаций, 100 млн юаней</c:v>
                </c:pt>
              </c:strCache>
            </c:strRef>
          </c:tx>
          <c:spPr>
            <a:solidFill>
              <a:schemeClr val="bg2">
                <a:lumMod val="25000"/>
              </a:schemeClr>
            </a:solidFill>
            <a:ln>
              <a:noFill/>
            </a:ln>
            <a:effectLst/>
          </c:spPr>
          <c:invertIfNegative val="0"/>
          <c:cat>
            <c:numRef>
              <c:f>Рынок!$B$1:$P$1</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Рынок!$B$11:$P$11</c:f>
              <c:numCache>
                <c:formatCode>General</c:formatCode>
                <c:ptCount val="15"/>
                <c:pt idx="0">
                  <c:v>28090.63</c:v>
                </c:pt>
                <c:pt idx="1">
                  <c:v>39806.339999999997</c:v>
                </c:pt>
                <c:pt idx="2">
                  <c:v>74914.429999999993</c:v>
                </c:pt>
                <c:pt idx="3">
                  <c:v>210714.87</c:v>
                </c:pt>
                <c:pt idx="4">
                  <c:v>379818.85</c:v>
                </c:pt>
                <c:pt idx="5">
                  <c:v>625839.41</c:v>
                </c:pt>
                <c:pt idx="6">
                  <c:v>866848.59</c:v>
                </c:pt>
                <c:pt idx="7">
                  <c:v>1228533.7080000001</c:v>
                </c:pt>
                <c:pt idx="8">
                  <c:v>2247175.21</c:v>
                </c:pt>
                <c:pt idx="9">
                  <c:v>44431.199999999997</c:v>
                </c:pt>
                <c:pt idx="10">
                  <c:v>51252.14</c:v>
                </c:pt>
                <c:pt idx="11">
                  <c:v>64086.85</c:v>
                </c:pt>
                <c:pt idx="12">
                  <c:v>83520</c:v>
                </c:pt>
                <c:pt idx="13">
                  <c:v>164976</c:v>
                </c:pt>
                <c:pt idx="14">
                  <c:v>226464</c:v>
                </c:pt>
              </c:numCache>
            </c:numRef>
          </c:val>
          <c:extLst>
            <c:ext xmlns:c16="http://schemas.microsoft.com/office/drawing/2014/chart" uri="{C3380CC4-5D6E-409C-BE32-E72D297353CC}">
              <c16:uniqueId val="{00000000-E891-48FE-83C0-0831CDE16C1F}"/>
            </c:ext>
          </c:extLst>
        </c:ser>
        <c:dLbls>
          <c:showLegendKey val="0"/>
          <c:showVal val="0"/>
          <c:showCatName val="0"/>
          <c:showSerName val="0"/>
          <c:showPercent val="0"/>
          <c:showBubbleSize val="0"/>
        </c:dLbls>
        <c:gapWidth val="219"/>
        <c:overlap val="-27"/>
        <c:axId val="170197839"/>
        <c:axId val="14935999"/>
      </c:barChart>
      <c:catAx>
        <c:axId val="170197839"/>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35999"/>
        <c:crosses val="autoZero"/>
        <c:auto val="1"/>
        <c:lblAlgn val="ctr"/>
        <c:lblOffset val="100"/>
        <c:noMultiLvlLbl val="0"/>
      </c:catAx>
      <c:valAx>
        <c:axId val="149359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1978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Рынок!$A$2</c:f>
              <c:strCache>
                <c:ptCount val="1"/>
                <c:pt idx="0">
                  <c:v>Число ценных бумаг</c:v>
                </c:pt>
              </c:strCache>
            </c:strRef>
          </c:tx>
          <c:spPr>
            <a:solidFill>
              <a:schemeClr val="bg2">
                <a:lumMod val="25000"/>
              </a:schemeClr>
            </a:solidFill>
            <a:ln>
              <a:noFill/>
            </a:ln>
            <a:effectLst/>
          </c:spPr>
          <c:invertIfNegative val="0"/>
          <c:cat>
            <c:numRef>
              <c:f>Рынок!$B$1:$P$1</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Рынок!$B$2:$P$2</c:f>
              <c:numCache>
                <c:formatCode>General</c:formatCode>
                <c:ptCount val="15"/>
                <c:pt idx="0">
                  <c:v>1184</c:v>
                </c:pt>
                <c:pt idx="1">
                  <c:v>1351</c:v>
                </c:pt>
                <c:pt idx="2">
                  <c:v>1500</c:v>
                </c:pt>
                <c:pt idx="3">
                  <c:v>1691</c:v>
                </c:pt>
                <c:pt idx="4">
                  <c:v>2098</c:v>
                </c:pt>
                <c:pt idx="5">
                  <c:v>2786</c:v>
                </c:pt>
                <c:pt idx="6">
                  <c:v>3758</c:v>
                </c:pt>
                <c:pt idx="7">
                  <c:v>5914</c:v>
                </c:pt>
                <c:pt idx="8">
                  <c:v>9647</c:v>
                </c:pt>
                <c:pt idx="9">
                  <c:v>12219</c:v>
                </c:pt>
                <c:pt idx="10">
                  <c:v>14069</c:v>
                </c:pt>
                <c:pt idx="11">
                  <c:v>17623</c:v>
                </c:pt>
                <c:pt idx="12">
                  <c:v>17623</c:v>
                </c:pt>
                <c:pt idx="13">
                  <c:v>22922</c:v>
                </c:pt>
                <c:pt idx="14">
                  <c:v>26530</c:v>
                </c:pt>
              </c:numCache>
            </c:numRef>
          </c:val>
          <c:extLst>
            <c:ext xmlns:c16="http://schemas.microsoft.com/office/drawing/2014/chart" uri="{C3380CC4-5D6E-409C-BE32-E72D297353CC}">
              <c16:uniqueId val="{00000000-BFCC-4A77-ACBE-BD65935742D1}"/>
            </c:ext>
          </c:extLst>
        </c:ser>
        <c:dLbls>
          <c:showLegendKey val="0"/>
          <c:showVal val="0"/>
          <c:showCatName val="0"/>
          <c:showSerName val="0"/>
          <c:showPercent val="0"/>
          <c:showBubbleSize val="0"/>
        </c:dLbls>
        <c:gapWidth val="219"/>
        <c:overlap val="-27"/>
        <c:axId val="170197839"/>
        <c:axId val="14935999"/>
      </c:barChart>
      <c:catAx>
        <c:axId val="170197839"/>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35999"/>
        <c:crosses val="autoZero"/>
        <c:auto val="1"/>
        <c:lblAlgn val="ctr"/>
        <c:lblOffset val="100"/>
        <c:noMultiLvlLbl val="0"/>
      </c:catAx>
      <c:valAx>
        <c:axId val="149359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1978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Рынок!$A$3</c:f>
              <c:strCache>
                <c:ptCount val="1"/>
                <c:pt idx="0">
                  <c:v>Число акций</c:v>
                </c:pt>
              </c:strCache>
            </c:strRef>
          </c:tx>
          <c:spPr>
            <a:solidFill>
              <a:schemeClr val="bg2">
                <a:lumMod val="25000"/>
              </a:schemeClr>
            </a:solidFill>
            <a:ln>
              <a:noFill/>
            </a:ln>
            <a:effectLst/>
          </c:spPr>
          <c:invertIfNegative val="0"/>
          <c:cat>
            <c:numRef>
              <c:f>Рынок!$B$1:$P$1</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Рынок!$B$3:$P$3</c:f>
              <c:numCache>
                <c:formatCode>General</c:formatCode>
                <c:ptCount val="15"/>
                <c:pt idx="0">
                  <c:v>864</c:v>
                </c:pt>
                <c:pt idx="1">
                  <c:v>870</c:v>
                </c:pt>
                <c:pt idx="2">
                  <c:v>894</c:v>
                </c:pt>
                <c:pt idx="3">
                  <c:v>931</c:v>
                </c:pt>
                <c:pt idx="4">
                  <c:v>954</c:v>
                </c:pt>
                <c:pt idx="5">
                  <c:v>953</c:v>
                </c:pt>
                <c:pt idx="6">
                  <c:v>995</c:v>
                </c:pt>
                <c:pt idx="7">
                  <c:v>1081</c:v>
                </c:pt>
                <c:pt idx="8">
                  <c:v>1182</c:v>
                </c:pt>
                <c:pt idx="9">
                  <c:v>1440</c:v>
                </c:pt>
                <c:pt idx="10">
                  <c:v>1494</c:v>
                </c:pt>
                <c:pt idx="11">
                  <c:v>1615</c:v>
                </c:pt>
                <c:pt idx="12">
                  <c:v>1572</c:v>
                </c:pt>
                <c:pt idx="13">
                  <c:v>1800</c:v>
                </c:pt>
                <c:pt idx="14">
                  <c:v>2059</c:v>
                </c:pt>
              </c:numCache>
            </c:numRef>
          </c:val>
          <c:extLst>
            <c:ext xmlns:c16="http://schemas.microsoft.com/office/drawing/2014/chart" uri="{C3380CC4-5D6E-409C-BE32-E72D297353CC}">
              <c16:uniqueId val="{00000000-B211-4014-8212-E6BE8602B08F}"/>
            </c:ext>
          </c:extLst>
        </c:ser>
        <c:dLbls>
          <c:showLegendKey val="0"/>
          <c:showVal val="0"/>
          <c:showCatName val="0"/>
          <c:showSerName val="0"/>
          <c:showPercent val="0"/>
          <c:showBubbleSize val="0"/>
        </c:dLbls>
        <c:gapWidth val="219"/>
        <c:overlap val="-27"/>
        <c:axId val="170197839"/>
        <c:axId val="14935999"/>
      </c:barChart>
      <c:catAx>
        <c:axId val="170197839"/>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35999"/>
        <c:crosses val="autoZero"/>
        <c:auto val="1"/>
        <c:lblAlgn val="ctr"/>
        <c:lblOffset val="100"/>
        <c:noMultiLvlLbl val="0"/>
      </c:catAx>
      <c:valAx>
        <c:axId val="149359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1978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Рынок!$A$4</c:f>
              <c:strCache>
                <c:ptCount val="1"/>
                <c:pt idx="0">
                  <c:v>Число компаний</c:v>
                </c:pt>
              </c:strCache>
            </c:strRef>
          </c:tx>
          <c:spPr>
            <a:solidFill>
              <a:schemeClr val="bg2">
                <a:lumMod val="25000"/>
              </a:schemeClr>
            </a:solidFill>
            <a:ln>
              <a:noFill/>
            </a:ln>
            <a:effectLst/>
          </c:spPr>
          <c:invertIfNegative val="0"/>
          <c:cat>
            <c:numRef>
              <c:f>Рынок!$B$1:$P$1</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Рынок!$B$4:$P$4</c:f>
              <c:numCache>
                <c:formatCode>General</c:formatCode>
                <c:ptCount val="15"/>
                <c:pt idx="0">
                  <c:v>908</c:v>
                </c:pt>
                <c:pt idx="1">
                  <c:v>914</c:v>
                </c:pt>
                <c:pt idx="2">
                  <c:v>938</c:v>
                </c:pt>
                <c:pt idx="3">
                  <c:v>975</c:v>
                </c:pt>
                <c:pt idx="4">
                  <c:v>998</c:v>
                </c:pt>
                <c:pt idx="5">
                  <c:v>997</c:v>
                </c:pt>
                <c:pt idx="6">
                  <c:v>1039</c:v>
                </c:pt>
                <c:pt idx="7">
                  <c:v>1125</c:v>
                </c:pt>
                <c:pt idx="8">
                  <c:v>1226</c:v>
                </c:pt>
                <c:pt idx="9">
                  <c:v>1396</c:v>
                </c:pt>
                <c:pt idx="10">
                  <c:v>1450</c:v>
                </c:pt>
                <c:pt idx="11">
                  <c:v>1572</c:v>
                </c:pt>
                <c:pt idx="12">
                  <c:v>1615</c:v>
                </c:pt>
                <c:pt idx="13">
                  <c:v>1843</c:v>
                </c:pt>
                <c:pt idx="14">
                  <c:v>2017</c:v>
                </c:pt>
              </c:numCache>
            </c:numRef>
          </c:val>
          <c:extLst>
            <c:ext xmlns:c16="http://schemas.microsoft.com/office/drawing/2014/chart" uri="{C3380CC4-5D6E-409C-BE32-E72D297353CC}">
              <c16:uniqueId val="{00000000-5D25-4688-8D07-242C5026049A}"/>
            </c:ext>
          </c:extLst>
        </c:ser>
        <c:dLbls>
          <c:showLegendKey val="0"/>
          <c:showVal val="0"/>
          <c:showCatName val="0"/>
          <c:showSerName val="0"/>
          <c:showPercent val="0"/>
          <c:showBubbleSize val="0"/>
        </c:dLbls>
        <c:gapWidth val="219"/>
        <c:overlap val="-27"/>
        <c:axId val="170197839"/>
        <c:axId val="14935999"/>
      </c:barChart>
      <c:catAx>
        <c:axId val="170197839"/>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35999"/>
        <c:crosses val="autoZero"/>
        <c:auto val="1"/>
        <c:lblAlgn val="ctr"/>
        <c:lblOffset val="100"/>
        <c:noMultiLvlLbl val="0"/>
      </c:catAx>
      <c:valAx>
        <c:axId val="149359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1978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Рынок!$A$13</c:f>
              <c:strCache>
                <c:ptCount val="1"/>
                <c:pt idx="0">
                  <c:v>Курс юаня к доллару</c:v>
                </c:pt>
              </c:strCache>
            </c:strRef>
          </c:tx>
          <c:spPr>
            <a:solidFill>
              <a:schemeClr val="bg2">
                <a:lumMod val="25000"/>
              </a:schemeClr>
            </a:solidFill>
            <a:ln>
              <a:noFill/>
            </a:ln>
            <a:effectLst/>
          </c:spPr>
          <c:invertIfNegative val="0"/>
          <c:cat>
            <c:numRef>
              <c:f>Рынок!$B$1:$P$1</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Рынок!$B$13:$P$13</c:f>
              <c:numCache>
                <c:formatCode>General</c:formatCode>
                <c:ptCount val="15"/>
                <c:pt idx="0">
                  <c:v>6.95</c:v>
                </c:pt>
                <c:pt idx="1">
                  <c:v>6.83</c:v>
                </c:pt>
                <c:pt idx="2">
                  <c:v>6.77</c:v>
                </c:pt>
                <c:pt idx="3">
                  <c:v>6.46</c:v>
                </c:pt>
                <c:pt idx="4">
                  <c:v>6.31</c:v>
                </c:pt>
                <c:pt idx="5">
                  <c:v>6.19</c:v>
                </c:pt>
                <c:pt idx="6">
                  <c:v>6.14</c:v>
                </c:pt>
                <c:pt idx="7">
                  <c:v>6.23</c:v>
                </c:pt>
                <c:pt idx="8">
                  <c:v>6.64</c:v>
                </c:pt>
                <c:pt idx="9">
                  <c:v>6.75</c:v>
                </c:pt>
                <c:pt idx="10">
                  <c:v>6.62</c:v>
                </c:pt>
                <c:pt idx="11">
                  <c:v>6.9</c:v>
                </c:pt>
                <c:pt idx="12">
                  <c:v>6.9</c:v>
                </c:pt>
                <c:pt idx="13">
                  <c:v>6.38</c:v>
                </c:pt>
                <c:pt idx="14">
                  <c:v>7.11</c:v>
                </c:pt>
              </c:numCache>
            </c:numRef>
          </c:val>
          <c:extLst>
            <c:ext xmlns:c16="http://schemas.microsoft.com/office/drawing/2014/chart" uri="{C3380CC4-5D6E-409C-BE32-E72D297353CC}">
              <c16:uniqueId val="{00000000-B9BE-4226-A546-0BF7D1C1CA08}"/>
            </c:ext>
          </c:extLst>
        </c:ser>
        <c:dLbls>
          <c:showLegendKey val="0"/>
          <c:showVal val="0"/>
          <c:showCatName val="0"/>
          <c:showSerName val="0"/>
          <c:showPercent val="0"/>
          <c:showBubbleSize val="0"/>
        </c:dLbls>
        <c:gapWidth val="219"/>
        <c:overlap val="-27"/>
        <c:axId val="170197839"/>
        <c:axId val="14935999"/>
      </c:barChart>
      <c:catAx>
        <c:axId val="170197839"/>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35999"/>
        <c:crosses val="autoZero"/>
        <c:auto val="1"/>
        <c:lblAlgn val="ctr"/>
        <c:lblOffset val="100"/>
        <c:noMultiLvlLbl val="0"/>
      </c:catAx>
      <c:valAx>
        <c:axId val="149359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1978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13648293963254"/>
          <c:y val="0.18560185185185185"/>
          <c:w val="0.86486351706036746"/>
          <c:h val="0.72088764946048411"/>
        </c:manualLayout>
      </c:layout>
      <c:barChart>
        <c:barDir val="col"/>
        <c:grouping val="clustered"/>
        <c:varyColors val="0"/>
        <c:ser>
          <c:idx val="0"/>
          <c:order val="0"/>
          <c:spPr>
            <a:solidFill>
              <a:srgbClr val="E7E6E6">
                <a:lumMod val="50000"/>
              </a:srgbClr>
            </a:solidFill>
            <a:ln w="12700" cap="flat" cmpd="sng" algn="ctr">
              <a:noFill/>
              <a:prstDash val="solid"/>
              <a:miter lim="800000"/>
            </a:ln>
            <a:effectLst/>
          </c:spPr>
          <c:invertIfNegative val="0"/>
          <c:cat>
            <c:numRef>
              <c:f>'[Диаграмма в Microsoft Word]Данные'!$C$1:$R$1</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'[Диаграмма в Microsoft Word]Данные'!$C$9:$R$9</c:f>
              <c:numCache>
                <c:formatCode>0.00%</c:formatCode>
                <c:ptCount val="16"/>
                <c:pt idx="0">
                  <c:v>0.46034830210244537</c:v>
                </c:pt>
                <c:pt idx="1">
                  <c:v>0.37774003798744082</c:v>
                </c:pt>
                <c:pt idx="2">
                  <c:v>0.44730359314766333</c:v>
                </c:pt>
                <c:pt idx="3">
                  <c:v>0.36250364403943119</c:v>
                </c:pt>
                <c:pt idx="4">
                  <c:v>0.32734471171440926</c:v>
                </c:pt>
                <c:pt idx="5">
                  <c:v>0.17101936173524376</c:v>
                </c:pt>
                <c:pt idx="6">
                  <c:v>0.12078678572865353</c:v>
                </c:pt>
                <c:pt idx="7">
                  <c:v>0.13011514614703276</c:v>
                </c:pt>
                <c:pt idx="8">
                  <c:v>0.11310980967029899</c:v>
                </c:pt>
                <c:pt idx="9">
                  <c:v>0.10835578822207505</c:v>
                </c:pt>
                <c:pt idx="10">
                  <c:v>0.10000740392320825</c:v>
                </c:pt>
                <c:pt idx="11">
                  <c:v>0.10350799391376818</c:v>
                </c:pt>
                <c:pt idx="12">
                  <c:v>0.11307079487596561</c:v>
                </c:pt>
                <c:pt idx="13">
                  <c:v>0.22393776834695009</c:v>
                </c:pt>
                <c:pt idx="14">
                  <c:v>0.22934362934362934</c:v>
                </c:pt>
                <c:pt idx="15">
                  <c:v>0.12498496515280377</c:v>
                </c:pt>
              </c:numCache>
            </c:numRef>
          </c:val>
          <c:extLst>
            <c:ext xmlns:c16="http://schemas.microsoft.com/office/drawing/2014/chart" uri="{C3380CC4-5D6E-409C-BE32-E72D297353CC}">
              <c16:uniqueId val="{00000000-A862-4C8B-9E8C-EA5E0780FB14}"/>
            </c:ext>
          </c:extLst>
        </c:ser>
        <c:dLbls>
          <c:showLegendKey val="0"/>
          <c:showVal val="0"/>
          <c:showCatName val="0"/>
          <c:showSerName val="0"/>
          <c:showPercent val="0"/>
          <c:showBubbleSize val="0"/>
        </c:dLbls>
        <c:gapWidth val="219"/>
        <c:overlap val="-27"/>
        <c:axId val="427257903"/>
        <c:axId val="1"/>
      </c:barChart>
      <c:catAx>
        <c:axId val="4272579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wrap="square" anchor="ctr" anchorCtr="1"/>
          <a:lstStyle/>
          <a:p>
            <a:pPr>
              <a:defRPr sz="900" b="0" i="0" u="none" strike="noStrike" kern="1200" baseline="0">
                <a:solidFill>
                  <a:srgbClr val="333333"/>
                </a:solidFill>
                <a:latin typeface="Calibri"/>
                <a:ea typeface="Calibri"/>
                <a:cs typeface="Calibri"/>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9525" cap="flat" cmpd="sng" algn="ctr">
            <a:noFill/>
            <a:prstDash val="solid"/>
            <a:round/>
          </a:ln>
          <a:effectLst/>
        </c:spPr>
        <c:txPr>
          <a:bodyPr rot="0" spcFirstLastPara="1" vertOverflow="ellipsis" wrap="square" anchor="ctr" anchorCtr="1"/>
          <a:lstStyle/>
          <a:p>
            <a:pPr>
              <a:defRPr sz="900" b="0" i="0" u="none" strike="noStrike" kern="1200" baseline="0">
                <a:solidFill>
                  <a:srgbClr val="333333"/>
                </a:solidFill>
                <a:latin typeface="Calibri"/>
                <a:ea typeface="Calibri"/>
                <a:cs typeface="Calibri"/>
              </a:defRPr>
            </a:pPr>
            <a:endParaRPr lang="ru-RU"/>
          </a:p>
        </c:txPr>
        <c:crossAx val="427257903"/>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Рынок!$A$5</c:f>
              <c:strCache>
                <c:ptCount val="1"/>
                <c:pt idx="0">
                  <c:v>Капитал всех акций биржи, 100 млн юаней</c:v>
                </c:pt>
              </c:strCache>
            </c:strRef>
          </c:tx>
          <c:spPr>
            <a:solidFill>
              <a:schemeClr val="bg2">
                <a:lumMod val="25000"/>
              </a:schemeClr>
            </a:solidFill>
            <a:ln>
              <a:noFill/>
            </a:ln>
            <a:effectLst/>
          </c:spPr>
          <c:invertIfNegative val="0"/>
          <c:cat>
            <c:numRef>
              <c:f>Рынок!$B$1:$P$1</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Рынок!$B$5:$P$5</c:f>
              <c:numCache>
                <c:formatCode>General</c:formatCode>
                <c:ptCount val="15"/>
                <c:pt idx="0">
                  <c:v>15410.39</c:v>
                </c:pt>
                <c:pt idx="1">
                  <c:v>16659.97</c:v>
                </c:pt>
                <c:pt idx="2">
                  <c:v>21939.51</c:v>
                </c:pt>
                <c:pt idx="3">
                  <c:v>23466.65</c:v>
                </c:pt>
                <c:pt idx="4">
                  <c:v>24617.62</c:v>
                </c:pt>
                <c:pt idx="5">
                  <c:v>25751.69</c:v>
                </c:pt>
                <c:pt idx="6">
                  <c:v>27085.17</c:v>
                </c:pt>
                <c:pt idx="7">
                  <c:v>30235.537</c:v>
                </c:pt>
                <c:pt idx="8">
                  <c:v>32707.760999999999</c:v>
                </c:pt>
                <c:pt idx="9">
                  <c:v>35288.347000000002</c:v>
                </c:pt>
                <c:pt idx="10">
                  <c:v>37708.961000000003</c:v>
                </c:pt>
                <c:pt idx="11">
                  <c:v>40199.42</c:v>
                </c:pt>
                <c:pt idx="12">
                  <c:v>40199</c:v>
                </c:pt>
                <c:pt idx="13">
                  <c:v>42601</c:v>
                </c:pt>
                <c:pt idx="14">
                  <c:v>45720</c:v>
                </c:pt>
              </c:numCache>
            </c:numRef>
          </c:val>
          <c:extLst>
            <c:ext xmlns:c16="http://schemas.microsoft.com/office/drawing/2014/chart" uri="{C3380CC4-5D6E-409C-BE32-E72D297353CC}">
              <c16:uniqueId val="{00000000-96E8-420B-8BC1-1F0723D141E9}"/>
            </c:ext>
          </c:extLst>
        </c:ser>
        <c:dLbls>
          <c:showLegendKey val="0"/>
          <c:showVal val="0"/>
          <c:showCatName val="0"/>
          <c:showSerName val="0"/>
          <c:showPercent val="0"/>
          <c:showBubbleSize val="0"/>
        </c:dLbls>
        <c:gapWidth val="219"/>
        <c:overlap val="-27"/>
        <c:axId val="170197839"/>
        <c:axId val="14935999"/>
      </c:barChart>
      <c:catAx>
        <c:axId val="170197839"/>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35999"/>
        <c:crosses val="autoZero"/>
        <c:auto val="1"/>
        <c:lblAlgn val="ctr"/>
        <c:lblOffset val="100"/>
        <c:noMultiLvlLbl val="0"/>
      </c:catAx>
      <c:valAx>
        <c:axId val="149359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1978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Рынок!$A$7</c:f>
              <c:strCache>
                <c:ptCount val="1"/>
                <c:pt idx="0">
                  <c:v>Рыночная капитализация, 100 млн юаней</c:v>
                </c:pt>
              </c:strCache>
            </c:strRef>
          </c:tx>
          <c:spPr>
            <a:solidFill>
              <a:schemeClr val="bg2">
                <a:lumMod val="25000"/>
              </a:schemeClr>
            </a:solidFill>
            <a:ln>
              <a:noFill/>
            </a:ln>
            <a:effectLst/>
          </c:spPr>
          <c:invertIfNegative val="0"/>
          <c:cat>
            <c:numRef>
              <c:f>Рынок!$B$1:$P$1</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Рынок!$B$7:$P$7</c:f>
              <c:numCache>
                <c:formatCode>General</c:formatCode>
                <c:ptCount val="15"/>
                <c:pt idx="0">
                  <c:v>97251.91</c:v>
                </c:pt>
                <c:pt idx="1">
                  <c:v>184655.21</c:v>
                </c:pt>
                <c:pt idx="2">
                  <c:v>179007.24</c:v>
                </c:pt>
                <c:pt idx="3">
                  <c:v>148376.22</c:v>
                </c:pt>
                <c:pt idx="4">
                  <c:v>158698.44</c:v>
                </c:pt>
                <c:pt idx="5">
                  <c:v>151165.26999999999</c:v>
                </c:pt>
                <c:pt idx="6">
                  <c:v>243974.02</c:v>
                </c:pt>
                <c:pt idx="7">
                  <c:v>295194.20199999999</c:v>
                </c:pt>
                <c:pt idx="8">
                  <c:v>284607.63099999999</c:v>
                </c:pt>
                <c:pt idx="9">
                  <c:v>331324.81699999998</c:v>
                </c:pt>
                <c:pt idx="10">
                  <c:v>269515.01500000001</c:v>
                </c:pt>
                <c:pt idx="11">
                  <c:v>355519.70500000002</c:v>
                </c:pt>
                <c:pt idx="12">
                  <c:v>355520</c:v>
                </c:pt>
                <c:pt idx="13">
                  <c:v>455322</c:v>
                </c:pt>
                <c:pt idx="14">
                  <c:v>506720</c:v>
                </c:pt>
              </c:numCache>
            </c:numRef>
          </c:val>
          <c:extLst>
            <c:ext xmlns:c16="http://schemas.microsoft.com/office/drawing/2014/chart" uri="{C3380CC4-5D6E-409C-BE32-E72D297353CC}">
              <c16:uniqueId val="{00000000-9633-450A-8DC2-089D3FE692AC}"/>
            </c:ext>
          </c:extLst>
        </c:ser>
        <c:dLbls>
          <c:showLegendKey val="0"/>
          <c:showVal val="0"/>
          <c:showCatName val="0"/>
          <c:showSerName val="0"/>
          <c:showPercent val="0"/>
          <c:showBubbleSize val="0"/>
        </c:dLbls>
        <c:gapWidth val="219"/>
        <c:overlap val="-27"/>
        <c:axId val="170197839"/>
        <c:axId val="14935999"/>
      </c:barChart>
      <c:catAx>
        <c:axId val="170197839"/>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35999"/>
        <c:crosses val="autoZero"/>
        <c:auto val="1"/>
        <c:lblAlgn val="ctr"/>
        <c:lblOffset val="100"/>
        <c:noMultiLvlLbl val="0"/>
      </c:catAx>
      <c:valAx>
        <c:axId val="149359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1978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Рынок!$A$8</c:f>
              <c:strCache>
                <c:ptCount val="1"/>
                <c:pt idx="0">
                  <c:v>Рыночная капитализация торгуемых акций, 100 млн юаней</c:v>
                </c:pt>
              </c:strCache>
            </c:strRef>
          </c:tx>
          <c:spPr>
            <a:solidFill>
              <a:schemeClr val="bg2">
                <a:lumMod val="25000"/>
              </a:schemeClr>
            </a:solidFill>
            <a:ln>
              <a:noFill/>
            </a:ln>
            <a:effectLst/>
          </c:spPr>
          <c:invertIfNegative val="0"/>
          <c:cat>
            <c:numRef>
              <c:f>Рынок!$B$1:$P$1</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Рынок!$B$8:$P$8</c:f>
              <c:numCache>
                <c:formatCode>General</c:formatCode>
                <c:ptCount val="15"/>
                <c:pt idx="0">
                  <c:v>32305.91</c:v>
                </c:pt>
                <c:pt idx="1">
                  <c:v>114804.99</c:v>
                </c:pt>
                <c:pt idx="2">
                  <c:v>142337.44</c:v>
                </c:pt>
                <c:pt idx="3">
                  <c:v>122851.36</c:v>
                </c:pt>
                <c:pt idx="4">
                  <c:v>134294.45000000001</c:v>
                </c:pt>
                <c:pt idx="5">
                  <c:v>136526.38</c:v>
                </c:pt>
                <c:pt idx="6">
                  <c:v>220495.87</c:v>
                </c:pt>
                <c:pt idx="7">
                  <c:v>254127.84400000001</c:v>
                </c:pt>
                <c:pt idx="8">
                  <c:v>240006.24</c:v>
                </c:pt>
                <c:pt idx="9">
                  <c:v>281365.67300000001</c:v>
                </c:pt>
                <c:pt idx="10">
                  <c:v>232698.747</c:v>
                </c:pt>
                <c:pt idx="11">
                  <c:v>301254.52399999998</c:v>
                </c:pt>
                <c:pt idx="12">
                  <c:v>301255</c:v>
                </c:pt>
                <c:pt idx="13">
                  <c:v>380013</c:v>
                </c:pt>
                <c:pt idx="14">
                  <c:v>420157</c:v>
                </c:pt>
              </c:numCache>
            </c:numRef>
          </c:val>
          <c:extLst>
            <c:ext xmlns:c16="http://schemas.microsoft.com/office/drawing/2014/chart" uri="{C3380CC4-5D6E-409C-BE32-E72D297353CC}">
              <c16:uniqueId val="{00000000-6DB3-439F-B5FC-F4FC42D437C4}"/>
            </c:ext>
          </c:extLst>
        </c:ser>
        <c:dLbls>
          <c:showLegendKey val="0"/>
          <c:showVal val="0"/>
          <c:showCatName val="0"/>
          <c:showSerName val="0"/>
          <c:showPercent val="0"/>
          <c:showBubbleSize val="0"/>
        </c:dLbls>
        <c:gapWidth val="219"/>
        <c:overlap val="-27"/>
        <c:axId val="170197839"/>
        <c:axId val="14935999"/>
      </c:barChart>
      <c:catAx>
        <c:axId val="170197839"/>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35999"/>
        <c:crosses val="autoZero"/>
        <c:auto val="1"/>
        <c:lblAlgn val="ctr"/>
        <c:lblOffset val="100"/>
        <c:noMultiLvlLbl val="0"/>
      </c:catAx>
      <c:valAx>
        <c:axId val="149359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1978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Рынок!$A$9</c:f>
              <c:strCache>
                <c:ptCount val="1"/>
                <c:pt idx="0">
                  <c:v>Оборот биржи, 100 млн юаней</c:v>
                </c:pt>
              </c:strCache>
            </c:strRef>
          </c:tx>
          <c:spPr>
            <a:solidFill>
              <a:schemeClr val="bg2">
                <a:lumMod val="25000"/>
              </a:schemeClr>
            </a:solidFill>
            <a:ln>
              <a:noFill/>
            </a:ln>
            <a:effectLst/>
          </c:spPr>
          <c:invertIfNegative val="0"/>
          <c:cat>
            <c:numRef>
              <c:f>Рынок!$B$1:$P$1</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Рынок!$B$9:$P$9</c:f>
              <c:numCache>
                <c:formatCode>General</c:formatCode>
                <c:ptCount val="15"/>
                <c:pt idx="0">
                  <c:v>271842.03000000003</c:v>
                </c:pt>
                <c:pt idx="1">
                  <c:v>441874.67</c:v>
                </c:pt>
                <c:pt idx="2">
                  <c:v>398395.73</c:v>
                </c:pt>
                <c:pt idx="3">
                  <c:v>454651.56</c:v>
                </c:pt>
                <c:pt idx="4">
                  <c:v>547535.23</c:v>
                </c:pt>
                <c:pt idx="5">
                  <c:v>865098.34</c:v>
                </c:pt>
                <c:pt idx="6">
                  <c:v>1281497.98</c:v>
                </c:pt>
                <c:pt idx="7">
                  <c:v>2663690.84</c:v>
                </c:pt>
                <c:pt idx="8">
                  <c:v>2838724.47</c:v>
                </c:pt>
                <c:pt idx="9">
                  <c:v>3063862.43</c:v>
                </c:pt>
                <c:pt idx="10">
                  <c:v>2646248.7999999998</c:v>
                </c:pt>
                <c:pt idx="11">
                  <c:v>2834818.76</c:v>
                </c:pt>
                <c:pt idx="12">
                  <c:v>2934204</c:v>
                </c:pt>
                <c:pt idx="13">
                  <c:v>4678320</c:v>
                </c:pt>
                <c:pt idx="14">
                  <c:v>5451708</c:v>
                </c:pt>
              </c:numCache>
            </c:numRef>
          </c:val>
          <c:extLst>
            <c:ext xmlns:c16="http://schemas.microsoft.com/office/drawing/2014/chart" uri="{C3380CC4-5D6E-409C-BE32-E72D297353CC}">
              <c16:uniqueId val="{00000000-D1AE-4036-A18D-457AE488C349}"/>
            </c:ext>
          </c:extLst>
        </c:ser>
        <c:dLbls>
          <c:showLegendKey val="0"/>
          <c:showVal val="0"/>
          <c:showCatName val="0"/>
          <c:showSerName val="0"/>
          <c:showPercent val="0"/>
          <c:showBubbleSize val="0"/>
        </c:dLbls>
        <c:gapWidth val="219"/>
        <c:overlap val="-27"/>
        <c:axId val="170197839"/>
        <c:axId val="14935999"/>
      </c:barChart>
      <c:catAx>
        <c:axId val="170197839"/>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35999"/>
        <c:crosses val="autoZero"/>
        <c:auto val="1"/>
        <c:lblAlgn val="ctr"/>
        <c:lblOffset val="100"/>
        <c:noMultiLvlLbl val="0"/>
      </c:catAx>
      <c:valAx>
        <c:axId val="149359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1978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Рынок!$A$10</c:f>
              <c:strCache>
                <c:ptCount val="1"/>
                <c:pt idx="0">
                  <c:v>Оборот рынка акций, 100 млн юаней</c:v>
                </c:pt>
              </c:strCache>
            </c:strRef>
          </c:tx>
          <c:spPr>
            <a:solidFill>
              <a:schemeClr val="bg2">
                <a:lumMod val="25000"/>
              </a:schemeClr>
            </a:solidFill>
            <a:ln>
              <a:noFill/>
            </a:ln>
            <a:effectLst/>
          </c:spPr>
          <c:invertIfNegative val="0"/>
          <c:cat>
            <c:numRef>
              <c:f>Рынок!$B$1:$P$1</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Рынок!$B$10:$P$10</c:f>
              <c:numCache>
                <c:formatCode>General</c:formatCode>
                <c:ptCount val="15"/>
                <c:pt idx="0">
                  <c:v>180429.95</c:v>
                </c:pt>
                <c:pt idx="1">
                  <c:v>346511.91</c:v>
                </c:pt>
                <c:pt idx="2">
                  <c:v>304312.01</c:v>
                </c:pt>
                <c:pt idx="3">
                  <c:v>237560.45</c:v>
                </c:pt>
                <c:pt idx="4">
                  <c:v>164545.01</c:v>
                </c:pt>
                <c:pt idx="5">
                  <c:v>230266.03</c:v>
                </c:pt>
                <c:pt idx="6">
                  <c:v>377162.12</c:v>
                </c:pt>
                <c:pt idx="7">
                  <c:v>1330992.102</c:v>
                </c:pt>
                <c:pt idx="8">
                  <c:v>501700.42</c:v>
                </c:pt>
                <c:pt idx="9">
                  <c:v>507770.1</c:v>
                </c:pt>
                <c:pt idx="10">
                  <c:v>401965.01</c:v>
                </c:pt>
                <c:pt idx="11">
                  <c:v>543844.01</c:v>
                </c:pt>
                <c:pt idx="12">
                  <c:v>532596</c:v>
                </c:pt>
                <c:pt idx="13">
                  <c:v>1008696</c:v>
                </c:pt>
                <c:pt idx="14">
                  <c:v>1241688</c:v>
                </c:pt>
              </c:numCache>
            </c:numRef>
          </c:val>
          <c:extLst>
            <c:ext xmlns:c16="http://schemas.microsoft.com/office/drawing/2014/chart" uri="{C3380CC4-5D6E-409C-BE32-E72D297353CC}">
              <c16:uniqueId val="{00000000-2FEC-4CEB-A292-BBF8FD89ECCB}"/>
            </c:ext>
          </c:extLst>
        </c:ser>
        <c:dLbls>
          <c:showLegendKey val="0"/>
          <c:showVal val="0"/>
          <c:showCatName val="0"/>
          <c:showSerName val="0"/>
          <c:showPercent val="0"/>
          <c:showBubbleSize val="0"/>
        </c:dLbls>
        <c:gapWidth val="219"/>
        <c:overlap val="-27"/>
        <c:axId val="170197839"/>
        <c:axId val="14935999"/>
      </c:barChart>
      <c:catAx>
        <c:axId val="170197839"/>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35999"/>
        <c:crosses val="autoZero"/>
        <c:auto val="1"/>
        <c:lblAlgn val="ctr"/>
        <c:lblOffset val="100"/>
        <c:noMultiLvlLbl val="0"/>
      </c:catAx>
      <c:valAx>
        <c:axId val="149359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1978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Рынок!$A$14</c:f>
              <c:strCache>
                <c:ptCount val="1"/>
                <c:pt idx="0">
                  <c:v>Рыночная капитализация, млрд долл</c:v>
                </c:pt>
              </c:strCache>
            </c:strRef>
          </c:tx>
          <c:spPr>
            <a:solidFill>
              <a:schemeClr val="bg2">
                <a:lumMod val="25000"/>
              </a:schemeClr>
            </a:solidFill>
            <a:ln>
              <a:noFill/>
            </a:ln>
            <a:effectLst/>
          </c:spPr>
          <c:invertIfNegative val="0"/>
          <c:cat>
            <c:numRef>
              <c:f>Рынок!$B$1:$P$1</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Рынок!$B$14:$P$14</c:f>
              <c:numCache>
                <c:formatCode>General</c:formatCode>
                <c:ptCount val="15"/>
                <c:pt idx="0">
                  <c:v>1.3993080575539569</c:v>
                </c:pt>
                <c:pt idx="1">
                  <c:v>2.7035901903367496</c:v>
                </c:pt>
                <c:pt idx="2">
                  <c:v>2.6441246676514036</c:v>
                </c:pt>
                <c:pt idx="3">
                  <c:v>2.2968455108359134</c:v>
                </c:pt>
                <c:pt idx="4">
                  <c:v>2.5150307448494456</c:v>
                </c:pt>
                <c:pt idx="5">
                  <c:v>2.4420883683360253</c:v>
                </c:pt>
                <c:pt idx="6">
                  <c:v>3.9735182410423455</c:v>
                </c:pt>
                <c:pt idx="7">
                  <c:v>4.7382696950240764</c:v>
                </c:pt>
                <c:pt idx="8">
                  <c:v>4.2862595030120483</c:v>
                </c:pt>
                <c:pt idx="9">
                  <c:v>4.9085158074074071</c:v>
                </c:pt>
                <c:pt idx="10">
                  <c:v>4.0712237915407856</c:v>
                </c:pt>
                <c:pt idx="11">
                  <c:v>5.1524594927536231</c:v>
                </c:pt>
                <c:pt idx="12">
                  <c:v>4.3660144927536235</c:v>
                </c:pt>
                <c:pt idx="13">
                  <c:v>5.9563166144200625</c:v>
                </c:pt>
                <c:pt idx="14">
                  <c:v>5.9093811533052039</c:v>
                </c:pt>
              </c:numCache>
            </c:numRef>
          </c:val>
          <c:extLst>
            <c:ext xmlns:c16="http://schemas.microsoft.com/office/drawing/2014/chart" uri="{C3380CC4-5D6E-409C-BE32-E72D297353CC}">
              <c16:uniqueId val="{00000000-41C8-4772-B24F-2464262D208C}"/>
            </c:ext>
          </c:extLst>
        </c:ser>
        <c:dLbls>
          <c:showLegendKey val="0"/>
          <c:showVal val="0"/>
          <c:showCatName val="0"/>
          <c:showSerName val="0"/>
          <c:showPercent val="0"/>
          <c:showBubbleSize val="0"/>
        </c:dLbls>
        <c:gapWidth val="219"/>
        <c:overlap val="-27"/>
        <c:axId val="170197839"/>
        <c:axId val="14935999"/>
      </c:barChart>
      <c:catAx>
        <c:axId val="170197839"/>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35999"/>
        <c:crosses val="autoZero"/>
        <c:auto val="1"/>
        <c:lblAlgn val="ctr"/>
        <c:lblOffset val="100"/>
        <c:noMultiLvlLbl val="0"/>
      </c:catAx>
      <c:valAx>
        <c:axId val="149359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1978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2871D62E-27A0-4F4F-A996-E54C0ACBDD8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88590</Words>
  <Characters>504969</Characters>
  <Application>Microsoft Office Word</Application>
  <DocSecurity>0</DocSecurity>
  <Lines>4208</Lines>
  <Paragraphs>1184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592375</CharactersWithSpaces>
  <SharedDoc>false</SharedDoc>
  <HLinks>
    <vt:vector size="288" baseType="variant">
      <vt:variant>
        <vt:i4>5308434</vt:i4>
      </vt:variant>
      <vt:variant>
        <vt:i4>213</vt:i4>
      </vt:variant>
      <vt:variant>
        <vt:i4>0</vt:i4>
      </vt:variant>
      <vt:variant>
        <vt:i4>5</vt:i4>
      </vt:variant>
      <vt:variant>
        <vt:lpwstr>https://www.oxfordeconomics.com/data-sets</vt:lpwstr>
      </vt:variant>
      <vt:variant>
        <vt:lpwstr/>
      </vt:variant>
      <vt:variant>
        <vt:i4>5177408</vt:i4>
      </vt:variant>
      <vt:variant>
        <vt:i4>210</vt:i4>
      </vt:variant>
      <vt:variant>
        <vt:i4>0</vt:i4>
      </vt:variant>
      <vt:variant>
        <vt:i4>5</vt:i4>
      </vt:variant>
      <vt:variant>
        <vt:lpwstr>https://bankunderground.co.uk/2017/03/02/low-for-long-whatdoes-this-mean-for-defined-benefit-pensions-in-the-uk/</vt:lpwstr>
      </vt:variant>
      <vt:variant>
        <vt:lpwstr/>
      </vt:variant>
      <vt:variant>
        <vt:i4>1114116</vt:i4>
      </vt:variant>
      <vt:variant>
        <vt:i4>207</vt:i4>
      </vt:variant>
      <vt:variant>
        <vt:i4>0</vt:i4>
      </vt:variant>
      <vt:variant>
        <vt:i4>5</vt:i4>
      </vt:variant>
      <vt:variant>
        <vt:lpwstr>http://www.pbc.gov.cn/diaochatongjisi/116219/116225/11871/index1.html</vt:lpwstr>
      </vt:variant>
      <vt:variant>
        <vt:lpwstr/>
      </vt:variant>
      <vt:variant>
        <vt:i4>6684708</vt:i4>
      </vt:variant>
      <vt:variant>
        <vt:i4>204</vt:i4>
      </vt:variant>
      <vt:variant>
        <vt:i4>0</vt:i4>
      </vt:variant>
      <vt:variant>
        <vt:i4>5</vt:i4>
      </vt:variant>
      <vt:variant>
        <vt:lpwstr>http://ru.ccb.com/russia/lng/index.html</vt:lpwstr>
      </vt:variant>
      <vt:variant>
        <vt:lpwstr/>
      </vt:variant>
      <vt:variant>
        <vt:i4>2883638</vt:i4>
      </vt:variant>
      <vt:variant>
        <vt:i4>201</vt:i4>
      </vt:variant>
      <vt:variant>
        <vt:i4>0</vt:i4>
      </vt:variant>
      <vt:variant>
        <vt:i4>5</vt:i4>
      </vt:variant>
      <vt:variant>
        <vt:lpwstr>https://www.boc.ru/about_bank/financial_performance/</vt:lpwstr>
      </vt:variant>
      <vt:variant>
        <vt:lpwstr/>
      </vt:variant>
      <vt:variant>
        <vt:i4>-1178072879</vt:i4>
      </vt:variant>
      <vt:variant>
        <vt:i4>198</vt:i4>
      </vt:variant>
      <vt:variant>
        <vt:i4>0</vt:i4>
      </vt:variant>
      <vt:variant>
        <vt:i4>5</vt:i4>
      </vt:variant>
      <vt:variant>
        <vt:lpwstr>https://moscow.icbc.com.cn/ICBC/海外分行/莫斯科网站/ru/信息披露2/报表披露/</vt:lpwstr>
      </vt:variant>
      <vt:variant>
        <vt:lpwstr/>
      </vt:variant>
      <vt:variant>
        <vt:i4>917582</vt:i4>
      </vt:variant>
      <vt:variant>
        <vt:i4>195</vt:i4>
      </vt:variant>
      <vt:variant>
        <vt:i4>0</vt:i4>
      </vt:variant>
      <vt:variant>
        <vt:i4>5</vt:i4>
      </vt:variant>
      <vt:variant>
        <vt:lpwstr>http://www.ru.abchina.com/ru/default.html</vt:lpwstr>
      </vt:variant>
      <vt:variant>
        <vt:lpwstr/>
      </vt:variant>
      <vt:variant>
        <vt:i4>7340074</vt:i4>
      </vt:variant>
      <vt:variant>
        <vt:i4>192</vt:i4>
      </vt:variant>
      <vt:variant>
        <vt:i4>0</vt:i4>
      </vt:variant>
      <vt:variant>
        <vt:i4>5</vt:i4>
      </vt:variant>
      <vt:variant>
        <vt:lpwstr>http://xyf.mofcom.gov.cn/article/tj/zh/</vt:lpwstr>
      </vt:variant>
      <vt:variant>
        <vt:lpwstr/>
      </vt:variant>
      <vt:variant>
        <vt:i4>4784145</vt:i4>
      </vt:variant>
      <vt:variant>
        <vt:i4>189</vt:i4>
      </vt:variant>
      <vt:variant>
        <vt:i4>0</vt:i4>
      </vt:variant>
      <vt:variant>
        <vt:i4>5</vt:i4>
      </vt:variant>
      <vt:variant>
        <vt:lpwstr>http://yzs.mofcom.gov.cn/article/date/202103/20210303041594.shtml</vt:lpwstr>
      </vt:variant>
      <vt:variant>
        <vt:lpwstr/>
      </vt:variant>
      <vt:variant>
        <vt:i4>3473470</vt:i4>
      </vt:variant>
      <vt:variant>
        <vt:i4>186</vt:i4>
      </vt:variant>
      <vt:variant>
        <vt:i4>0</vt:i4>
      </vt:variant>
      <vt:variant>
        <vt:i4>5</vt:i4>
      </vt:variant>
      <vt:variant>
        <vt:lpwstr>http://www.cbirc.gov.cn/cn/view/pages/ItemDetail.html?docId=171047&amp;itemId=954&amp;generaltype=0</vt:lpwstr>
      </vt:variant>
      <vt:variant>
        <vt:lpwstr/>
      </vt:variant>
      <vt:variant>
        <vt:i4>3997705</vt:i4>
      </vt:variant>
      <vt:variant>
        <vt:i4>183</vt:i4>
      </vt:variant>
      <vt:variant>
        <vt:i4>0</vt:i4>
      </vt:variant>
      <vt:variant>
        <vt:i4>5</vt:i4>
      </vt:variant>
      <vt:variant>
        <vt:lpwstr>http://www.gov.cn/gzdt/2012-03/19/content_2094524.htm</vt:lpwstr>
      </vt:variant>
      <vt:variant>
        <vt:lpwstr/>
      </vt:variant>
      <vt:variant>
        <vt:i4>8323194</vt:i4>
      </vt:variant>
      <vt:variant>
        <vt:i4>180</vt:i4>
      </vt:variant>
      <vt:variant>
        <vt:i4>0</vt:i4>
      </vt:variant>
      <vt:variant>
        <vt:i4>5</vt:i4>
      </vt:variant>
      <vt:variant>
        <vt:lpwstr>http://www.pbc.gov.cn/jinrongwendingju/146766/146772/146776/index.html</vt:lpwstr>
      </vt:variant>
      <vt:variant>
        <vt:lpwstr/>
      </vt:variant>
      <vt:variant>
        <vt:i4>8323075</vt:i4>
      </vt:variant>
      <vt:variant>
        <vt:i4>177</vt:i4>
      </vt:variant>
      <vt:variant>
        <vt:i4>0</vt:i4>
      </vt:variant>
      <vt:variant>
        <vt:i4>5</vt:i4>
      </vt:variant>
      <vt:variant>
        <vt:lpwstr>http://www.stats.gov.cn/ztjc/zthd/sjtjr/d10j/70cj/201909/t20190906_1696331.html</vt:lpwstr>
      </vt:variant>
      <vt:variant>
        <vt:lpwstr/>
      </vt:variant>
      <vt:variant>
        <vt:i4>2424951</vt:i4>
      </vt:variant>
      <vt:variant>
        <vt:i4>174</vt:i4>
      </vt:variant>
      <vt:variant>
        <vt:i4>0</vt:i4>
      </vt:variant>
      <vt:variant>
        <vt:i4>5</vt:i4>
      </vt:variant>
      <vt:variant>
        <vt:lpwstr>http://www.stats.gov.cn/tjsj/ndsj/</vt:lpwstr>
      </vt:variant>
      <vt:variant>
        <vt:lpwstr/>
      </vt:variant>
      <vt:variant>
        <vt:i4>1769548</vt:i4>
      </vt:variant>
      <vt:variant>
        <vt:i4>171</vt:i4>
      </vt:variant>
      <vt:variant>
        <vt:i4>0</vt:i4>
      </vt:variant>
      <vt:variant>
        <vt:i4>5</vt:i4>
      </vt:variant>
      <vt:variant>
        <vt:lpwstr>http://www.cdb.com.cn/bgxz/kcxfzbg1/kcx2019/</vt:lpwstr>
      </vt:variant>
      <vt:variant>
        <vt:lpwstr/>
      </vt:variant>
      <vt:variant>
        <vt:i4>3014695</vt:i4>
      </vt:variant>
      <vt:variant>
        <vt:i4>168</vt:i4>
      </vt:variant>
      <vt:variant>
        <vt:i4>0</vt:i4>
      </vt:variant>
      <vt:variant>
        <vt:i4>5</vt:i4>
      </vt:variant>
      <vt:variant>
        <vt:lpwstr>http://www.adbc.com.cn/pdfToJpg/2018shzrbg/2018shzrbg/mobile/index.html</vt:lpwstr>
      </vt:variant>
      <vt:variant>
        <vt:lpwstr/>
      </vt:variant>
      <vt:variant>
        <vt:i4>589914</vt:i4>
      </vt:variant>
      <vt:variant>
        <vt:i4>165</vt:i4>
      </vt:variant>
      <vt:variant>
        <vt:i4>0</vt:i4>
      </vt:variant>
      <vt:variant>
        <vt:i4>5</vt:i4>
      </vt:variant>
      <vt:variant>
        <vt:lpwstr>http://www.eximbank.gov.cn/aboutExim/annals/2020/</vt:lpwstr>
      </vt:variant>
      <vt:variant>
        <vt:lpwstr/>
      </vt:variant>
      <vt:variant>
        <vt:i4>5505039</vt:i4>
      </vt:variant>
      <vt:variant>
        <vt:i4>162</vt:i4>
      </vt:variant>
      <vt:variant>
        <vt:i4>0</vt:i4>
      </vt:variant>
      <vt:variant>
        <vt:i4>5</vt:i4>
      </vt:variant>
      <vt:variant>
        <vt:lpwstr>http://www.cdb.com.cn/bgxz/ndbg/ndbg2021/</vt:lpwstr>
      </vt:variant>
      <vt:variant>
        <vt:lpwstr/>
      </vt:variant>
      <vt:variant>
        <vt:i4>6225934</vt:i4>
      </vt:variant>
      <vt:variant>
        <vt:i4>159</vt:i4>
      </vt:variant>
      <vt:variant>
        <vt:i4>0</vt:i4>
      </vt:variant>
      <vt:variant>
        <vt:i4>5</vt:i4>
      </vt:variant>
      <vt:variant>
        <vt:lpwstr>http://www.adbc.com.cn/en/n1064/n1071/index.html</vt:lpwstr>
      </vt:variant>
      <vt:variant>
        <vt:lpwstr/>
      </vt:variant>
      <vt:variant>
        <vt:i4>7077930</vt:i4>
      </vt:variant>
      <vt:variant>
        <vt:i4>156</vt:i4>
      </vt:variant>
      <vt:variant>
        <vt:i4>0</vt:i4>
      </vt:variant>
      <vt:variant>
        <vt:i4>5</vt:i4>
      </vt:variant>
      <vt:variant>
        <vt:lpwstr>http://www.cbrc.gov.cn/chinese/home/docViewPage/110007.html</vt:lpwstr>
      </vt:variant>
      <vt:variant>
        <vt:lpwstr/>
      </vt:variant>
      <vt:variant>
        <vt:i4>8126514</vt:i4>
      </vt:variant>
      <vt:variant>
        <vt:i4>153</vt:i4>
      </vt:variant>
      <vt:variant>
        <vt:i4>0</vt:i4>
      </vt:variant>
      <vt:variant>
        <vt:i4>5</vt:i4>
      </vt:variant>
      <vt:variant>
        <vt:lpwstr>https://pdf.dfcfw.com/pdf/H2_AN201807301171528996_1.pdf?1647693902000.pdf</vt:lpwstr>
      </vt:variant>
      <vt:variant>
        <vt:lpwstr/>
      </vt:variant>
      <vt:variant>
        <vt:i4>7929912</vt:i4>
      </vt:variant>
      <vt:variant>
        <vt:i4>150</vt:i4>
      </vt:variant>
      <vt:variant>
        <vt:i4>0</vt:i4>
      </vt:variant>
      <vt:variant>
        <vt:i4>5</vt:i4>
      </vt:variant>
      <vt:variant>
        <vt:lpwstr>https://pdf.dfcfw.com/pdf/H2_AN201704120497526207_1.pdf?1647100895000.pdf</vt:lpwstr>
      </vt:variant>
      <vt:variant>
        <vt:lpwstr/>
      </vt:variant>
      <vt:variant>
        <vt:i4>720914</vt:i4>
      </vt:variant>
      <vt:variant>
        <vt:i4>147</vt:i4>
      </vt:variant>
      <vt:variant>
        <vt:i4>0</vt:i4>
      </vt:variant>
      <vt:variant>
        <vt:i4>5</vt:i4>
      </vt:variant>
      <vt:variant>
        <vt:lpwstr>https://pdf.dfcfw.com/pdf/H2_AN201703300452013354_1.pdf</vt:lpwstr>
      </vt:variant>
      <vt:variant>
        <vt:lpwstr/>
      </vt:variant>
      <vt:variant>
        <vt:i4>7602236</vt:i4>
      </vt:variant>
      <vt:variant>
        <vt:i4>144</vt:i4>
      </vt:variant>
      <vt:variant>
        <vt:i4>0</vt:i4>
      </vt:variant>
      <vt:variant>
        <vt:i4>5</vt:i4>
      </vt:variant>
      <vt:variant>
        <vt:lpwstr>https://pdf.dfcfw.com/pdf/H2_AN201710120947054345_1.pdf?1647110709000.pdf</vt:lpwstr>
      </vt:variant>
      <vt:variant>
        <vt:lpwstr/>
      </vt:variant>
      <vt:variant>
        <vt:i4>7405631</vt:i4>
      </vt:variant>
      <vt:variant>
        <vt:i4>141</vt:i4>
      </vt:variant>
      <vt:variant>
        <vt:i4>0</vt:i4>
      </vt:variant>
      <vt:variant>
        <vt:i4>5</vt:i4>
      </vt:variant>
      <vt:variant>
        <vt:lpwstr>https://pdf.dfcfw.com/pdf/H2_AN201305030003228792_1.pdf?1646486692000.pdf</vt:lpwstr>
      </vt:variant>
      <vt:variant>
        <vt:lpwstr/>
      </vt:variant>
      <vt:variant>
        <vt:i4>2883643</vt:i4>
      </vt:variant>
      <vt:variant>
        <vt:i4>138</vt:i4>
      </vt:variant>
      <vt:variant>
        <vt:i4>0</vt:i4>
      </vt:variant>
      <vt:variant>
        <vt:i4>5</vt:i4>
      </vt:variant>
      <vt:variant>
        <vt:lpwstr>http://www.eximbank.gov.cn/info/WhitePOGF/202001/P020200115377992690034.pdf</vt:lpwstr>
      </vt:variant>
      <vt:variant>
        <vt:lpwstr/>
      </vt:variant>
      <vt:variant>
        <vt:i4>3276837</vt:i4>
      </vt:variant>
      <vt:variant>
        <vt:i4>135</vt:i4>
      </vt:variant>
      <vt:variant>
        <vt:i4>0</vt:i4>
      </vt:variant>
      <vt:variant>
        <vt:i4>5</vt:i4>
      </vt:variant>
      <vt:variant>
        <vt:lpwstr>http://english.eximbank.gov.cn/News/WhitePOGF/201807/P020180718416279996548.pdf</vt:lpwstr>
      </vt:variant>
      <vt:variant>
        <vt:lpwstr/>
      </vt:variant>
      <vt:variant>
        <vt:i4>4718712</vt:i4>
      </vt:variant>
      <vt:variant>
        <vt:i4>132</vt:i4>
      </vt:variant>
      <vt:variant>
        <vt:i4>0</vt:i4>
      </vt:variant>
      <vt:variant>
        <vt:i4>5</vt:i4>
      </vt:variant>
      <vt:variant>
        <vt:lpwstr>http://www.gov.cn/xinwen/2021-01/10/content_5578615.htm</vt:lpwstr>
      </vt:variant>
      <vt:variant>
        <vt:lpwstr/>
      </vt:variant>
      <vt:variant>
        <vt:i4>68419695</vt:i4>
      </vt:variant>
      <vt:variant>
        <vt:i4>129</vt:i4>
      </vt:variant>
      <vt:variant>
        <vt:i4>0</vt:i4>
      </vt:variant>
      <vt:variant>
        <vt:i4>5</vt:i4>
      </vt:variant>
      <vt:variant>
        <vt:lpwstr>https://gufo.me/dict/dal/структура</vt:lpwstr>
      </vt:variant>
      <vt:variant>
        <vt:lpwstr/>
      </vt:variant>
      <vt:variant>
        <vt:i4>4522055</vt:i4>
      </vt:variant>
      <vt:variant>
        <vt:i4>126</vt:i4>
      </vt:variant>
      <vt:variant>
        <vt:i4>0</vt:i4>
      </vt:variant>
      <vt:variant>
        <vt:i4>5</vt:i4>
      </vt:variant>
      <vt:variant>
        <vt:lpwstr>https://gufo.me/dict/bes</vt:lpwstr>
      </vt:variant>
      <vt:variant>
        <vt:lpwstr/>
      </vt:variant>
      <vt:variant>
        <vt:i4>7733249</vt:i4>
      </vt:variant>
      <vt:variant>
        <vt:i4>123</vt:i4>
      </vt:variant>
      <vt:variant>
        <vt:i4>0</vt:i4>
      </vt:variant>
      <vt:variant>
        <vt:i4>5</vt:i4>
      </vt:variant>
      <vt:variant>
        <vt:lpwstr>http://www.mirkin.ru/_docs/metodika3.pdf</vt:lpwstr>
      </vt:variant>
      <vt:variant>
        <vt:lpwstr/>
      </vt:variant>
      <vt:variant>
        <vt:i4>2556016</vt:i4>
      </vt:variant>
      <vt:variant>
        <vt:i4>45</vt:i4>
      </vt:variant>
      <vt:variant>
        <vt:i4>0</vt:i4>
      </vt:variant>
      <vt:variant>
        <vt:i4>5</vt:i4>
      </vt:variant>
      <vt:variant>
        <vt:lpwstr>http://www.nbim.no/en/</vt:lpwstr>
      </vt:variant>
      <vt:variant>
        <vt:lpwstr/>
      </vt:variant>
      <vt:variant>
        <vt:i4>7077914</vt:i4>
      </vt:variant>
      <vt:variant>
        <vt:i4>39</vt:i4>
      </vt:variant>
      <vt:variant>
        <vt:i4>0</vt:i4>
      </vt:variant>
      <vt:variant>
        <vt:i4>5</vt:i4>
      </vt:variant>
      <vt:variant>
        <vt:lpwstr>http://translate.googleusercontent.com/translate_c?hl=ru&amp;sl=en&amp;u=http://en.wikipedia.org/wiki/Dollar&amp;prev=/search%3Fq%3Dinsurance%2Bcompanies%2Bassets%2Bunder%2Bmanagement%26hl%3Dru%26newwindow%3D1%26prmd%3Divns&amp;rurl=translate.google.ru&amp;usg=ALkJrhjEsws0hyRGJWDqdRzg_xTWWwhaug</vt:lpwstr>
      </vt:variant>
      <vt:variant>
        <vt:lpwstr/>
      </vt:variant>
      <vt:variant>
        <vt:i4>6488079</vt:i4>
      </vt:variant>
      <vt:variant>
        <vt:i4>36</vt:i4>
      </vt:variant>
      <vt:variant>
        <vt:i4>0</vt:i4>
      </vt:variant>
      <vt:variant>
        <vt:i4>5</vt:i4>
      </vt:variant>
      <vt:variant>
        <vt:lpwstr>http://translate.googleusercontent.com/translate_c?hl=ru&amp;sl=en&amp;u=http://en.wikipedia.org/wiki/Investment&amp;prev=/search%3Fq%3Dinsurance%2Bcompanies%2Bassets%2Bunder%2Bmanagement%26hl%3Dru%26newwindow%3D1%26prmd%3Divns&amp;rurl=translate.google.ru&amp;usg=ALkJrhj1XX3WGPyMYoye8LifUnQ65Kfkjg</vt:lpwstr>
      </vt:variant>
      <vt:variant>
        <vt:lpwstr/>
      </vt:variant>
      <vt:variant>
        <vt:i4>73335811</vt:i4>
      </vt:variant>
      <vt:variant>
        <vt:i4>3</vt:i4>
      </vt:variant>
      <vt:variant>
        <vt:i4>0</vt:i4>
      </vt:variant>
      <vt:variant>
        <vt:i4>5</vt:i4>
      </vt:variant>
      <vt:variant>
        <vt:lpwstr>https://ru.wikipedia.org/wiki/Структура_(философия)</vt:lpwstr>
      </vt:variant>
      <vt:variant>
        <vt:lpwstr/>
      </vt:variant>
      <vt:variant>
        <vt:i4>67108940</vt:i4>
      </vt:variant>
      <vt:variant>
        <vt:i4>36</vt:i4>
      </vt:variant>
      <vt:variant>
        <vt:i4>0</vt:i4>
      </vt:variant>
      <vt:variant>
        <vt:i4>5</vt:i4>
      </vt:variant>
      <vt:variant>
        <vt:lpwstr>https://ru.wikipedia.org/wiki/Ставка_процента</vt:lpwstr>
      </vt:variant>
      <vt:variant>
        <vt:lpwstr/>
      </vt:variant>
      <vt:variant>
        <vt:i4>5832759</vt:i4>
      </vt:variant>
      <vt:variant>
        <vt:i4>33</vt:i4>
      </vt:variant>
      <vt:variant>
        <vt:i4>0</vt:i4>
      </vt:variant>
      <vt:variant>
        <vt:i4>5</vt:i4>
      </vt:variant>
      <vt:variant>
        <vt:lpwstr>https://en.wikipedia.org/wiki/Business_reporting</vt:lpwstr>
      </vt:variant>
      <vt:variant>
        <vt:lpwstr/>
      </vt:variant>
      <vt:variant>
        <vt:i4>5112838</vt:i4>
      </vt:variant>
      <vt:variant>
        <vt:i4>30</vt:i4>
      </vt:variant>
      <vt:variant>
        <vt:i4>0</vt:i4>
      </vt:variant>
      <vt:variant>
        <vt:i4>5</vt:i4>
      </vt:variant>
      <vt:variant>
        <vt:lpwstr>https://ru.wikipedia.org/wiki/Семантика_(программирование)</vt:lpwstr>
      </vt:variant>
      <vt:variant>
        <vt:lpwstr/>
      </vt:variant>
      <vt:variant>
        <vt:i4>4850807</vt:i4>
      </vt:variant>
      <vt:variant>
        <vt:i4>27</vt:i4>
      </vt:variant>
      <vt:variant>
        <vt:i4>0</vt:i4>
      </vt:variant>
      <vt:variant>
        <vt:i4>5</vt:i4>
      </vt:variant>
      <vt:variant>
        <vt:lpwstr>https://ru.wikipedia.org/wiki/Открытый_стандарт</vt:lpwstr>
      </vt:variant>
      <vt:variant>
        <vt:lpwstr/>
      </vt:variant>
      <vt:variant>
        <vt:i4>68026441</vt:i4>
      </vt:variant>
      <vt:variant>
        <vt:i4>24</vt:i4>
      </vt:variant>
      <vt:variant>
        <vt:i4>0</vt:i4>
      </vt:variant>
      <vt:variant>
        <vt:i4>5</vt:i4>
      </vt:variant>
      <vt:variant>
        <vt:lpwstr>https://ru.wikipedia.org/wiki/Английский_язык</vt:lpwstr>
      </vt:variant>
      <vt:variant>
        <vt:lpwstr/>
      </vt:variant>
      <vt:variant>
        <vt:i4>68026441</vt:i4>
      </vt:variant>
      <vt:variant>
        <vt:i4>21</vt:i4>
      </vt:variant>
      <vt:variant>
        <vt:i4>0</vt:i4>
      </vt:variant>
      <vt:variant>
        <vt:i4>5</vt:i4>
      </vt:variant>
      <vt:variant>
        <vt:lpwstr>https://ru.wikipedia.org/wiki/Английский_язык</vt:lpwstr>
      </vt:variant>
      <vt:variant>
        <vt:lpwstr/>
      </vt:variant>
      <vt:variant>
        <vt:i4>68026441</vt:i4>
      </vt:variant>
      <vt:variant>
        <vt:i4>18</vt:i4>
      </vt:variant>
      <vt:variant>
        <vt:i4>0</vt:i4>
      </vt:variant>
      <vt:variant>
        <vt:i4>5</vt:i4>
      </vt:variant>
      <vt:variant>
        <vt:lpwstr>https://ru.wikipedia.org/wiki/Английский_язык</vt:lpwstr>
      </vt:variant>
      <vt:variant>
        <vt:lpwstr/>
      </vt:variant>
      <vt:variant>
        <vt:i4>72352848</vt:i4>
      </vt:variant>
      <vt:variant>
        <vt:i4>15</vt:i4>
      </vt:variant>
      <vt:variant>
        <vt:i4>0</vt:i4>
      </vt:variant>
      <vt:variant>
        <vt:i4>5</vt:i4>
      </vt:variant>
      <vt:variant>
        <vt:lpwstr>https://ru.wikipedia.org/w/index.php?title=Доступность_(информатика)&amp;action=edit&amp;redlink=1</vt:lpwstr>
      </vt:variant>
      <vt:variant>
        <vt:lpwstr/>
      </vt:variant>
      <vt:variant>
        <vt:i4>68026441</vt:i4>
      </vt:variant>
      <vt:variant>
        <vt:i4>12</vt:i4>
      </vt:variant>
      <vt:variant>
        <vt:i4>0</vt:i4>
      </vt:variant>
      <vt:variant>
        <vt:i4>5</vt:i4>
      </vt:variant>
      <vt:variant>
        <vt:lpwstr>https://ru.wikipedia.org/wiki/Английский_язык</vt:lpwstr>
      </vt:variant>
      <vt:variant>
        <vt:lpwstr/>
      </vt:variant>
      <vt:variant>
        <vt:i4>1442909</vt:i4>
      </vt:variant>
      <vt:variant>
        <vt:i4>9</vt:i4>
      </vt:variant>
      <vt:variant>
        <vt:i4>0</vt:i4>
      </vt:variant>
      <vt:variant>
        <vt:i4>5</vt:i4>
      </vt:variant>
      <vt:variant>
        <vt:lpwstr>https://ru.wikipedia.org/wiki/Согласованность_данных</vt:lpwstr>
      </vt:variant>
      <vt:variant>
        <vt:lpwstr/>
      </vt:variant>
      <vt:variant>
        <vt:i4>5833841</vt:i4>
      </vt:variant>
      <vt:variant>
        <vt:i4>6</vt:i4>
      </vt:variant>
      <vt:variant>
        <vt:i4>0</vt:i4>
      </vt:variant>
      <vt:variant>
        <vt:i4>5</vt:i4>
      </vt:variant>
      <vt:variant>
        <vt:lpwstr>https://ru.wikipedia.org/wiki/Распределённые_вычисления</vt:lpwstr>
      </vt:variant>
      <vt:variant>
        <vt:lpwstr/>
      </vt:variant>
      <vt:variant>
        <vt:i4>4456471</vt:i4>
      </vt:variant>
      <vt:variant>
        <vt:i4>3</vt:i4>
      </vt:variant>
      <vt:variant>
        <vt:i4>0</vt:i4>
      </vt:variant>
      <vt:variant>
        <vt:i4>5</vt:i4>
      </vt:variant>
      <vt:variant>
        <vt:lpwstr>https://ru.wikipedia.org/wiki/Эвристика</vt:lpwstr>
      </vt:variant>
      <vt:variant>
        <vt:lpwstr/>
      </vt:variant>
      <vt:variant>
        <vt:i4>6357024</vt:i4>
      </vt:variant>
      <vt:variant>
        <vt:i4>0</vt:i4>
      </vt:variant>
      <vt:variant>
        <vt:i4>0</vt:i4>
      </vt:variant>
      <vt:variant>
        <vt:i4>5</vt:i4>
      </vt:variant>
      <vt:variant>
        <vt:lpwstr>https://cyberleninka.ru/journal/n/uchenye-zapiski-tambovskogo-otdeleniya-rosmu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Kruglova</dc:creator>
  <cp:keywords/>
  <dc:description/>
  <cp:lastModifiedBy>Mikhaylov Alex</cp:lastModifiedBy>
  <cp:revision>2</cp:revision>
  <cp:lastPrinted>2023-10-17T12:40:00Z</cp:lastPrinted>
  <dcterms:created xsi:type="dcterms:W3CDTF">2024-10-10T10:02:00Z</dcterms:created>
  <dcterms:modified xsi:type="dcterms:W3CDTF">2024-10-10T10:02:00Z</dcterms:modified>
</cp:coreProperties>
</file>